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Catálogo de problemas de negocio — proyecto integrador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Herramientas para la Ciencia de Datos — Sesión 01. Diez problemas sugeridos para el proyecto integrador, derivados del catálogo de datasets del curso (accesos verificados el 17/07/2026). Cada equipo elige UNO (o propone uno propio con datos accesibles y aprobación del docente) y lo desarrolla en la ficha de la sesión CRISP-DM y el Canvas. La técnica indicada solo se nombra aquí: se aprende en la sesión correspondiente del curso.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Principio del curso — la réplica se ancla en el paper.</w:t>
      </w:r>
      <w:r>
        <w:rPr>
          <w:color w:val="2D2D2D"/>
        </w:rPr>
        <w:t xml:space="preserve"> En cada sesión, el </w:t>
      </w:r>
      <w:r>
        <w:rPr>
          <w:b/>
          <w:color w:val="2D2D2D"/>
        </w:rPr>
        <w:t>dataset de replicación proviene del paper seminal de la técnica</w:t>
      </w:r>
      <w:r>
        <w:rPr>
          <w:color w:val="2D2D2D"/>
        </w:rPr>
        <w:t xml:space="preserve"> (con su cita académica: autores, año y publicación), y con él se reproduce el resultado original del artículo. Kaggle y fuentes similares aportan únicamente el </w:t>
      </w:r>
      <w:r>
        <w:rPr>
          <w:b/>
          <w:color w:val="2D2D2D"/>
        </w:rPr>
        <w:t>caso de negocio</w:t>
      </w:r>
      <w:r>
        <w:rPr>
          <w:color w:val="2D2D2D"/>
        </w:rPr>
        <w:t xml:space="preserve"> del laboratorio; nunca son la fuente primaria de la réplica. Por eso cada problema de este catálogo indica el paper de referencia de su técnica y el dataset con el que la sesión replica ese paper.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Cómo usar este catálogo</w:t>
      </w:r>
    </w:p>
    <w:p>
      <w:pPr>
        <w:pStyle w:val="ListBullet"/>
        <w:spacing w:after="40"/>
      </w:pPr>
      <w:r>
        <w:t xml:space="preserve">Elegir por interés en el </w:t>
      </w:r>
      <w:r>
        <w:rPr>
          <w:b/>
        </w:rPr>
        <w:t>problema de negocio</w:t>
      </w:r>
      <w:r>
        <w:t>, no por la técnica: la decisión importa más que el algoritmo.</w:t>
      </w:r>
    </w:p>
    <w:p>
      <w:pPr>
        <w:pStyle w:val="ListBullet"/>
        <w:spacing w:after="40"/>
      </w:pPr>
      <w:r>
        <w:t>Verificar el acceso al dataset ANTES de comprometerse con el problema y registrar la fecha en la ficha de la sesión (formato DD/MM/YYYY).</w:t>
      </w:r>
    </w:p>
    <w:p>
      <w:pPr>
        <w:pStyle w:val="ListBullet"/>
        <w:spacing w:after="40"/>
      </w:pPr>
      <w:r>
        <w:t>Ocho problemas usan datasets de descarga directa sin registro; los dos marcados con «Kaggle» requieren una cuenta gratuita (instrucciones al final).</w:t>
      </w:r>
    </w:p>
    <w:p>
      <w:pPr>
        <w:pStyle w:val="ListBullet"/>
        <w:spacing w:after="40"/>
      </w:pPr>
      <w:r>
        <w:t xml:space="preserve">El </w:t>
      </w:r>
      <w:r>
        <w:rPr>
          <w:b/>
        </w:rPr>
        <w:t>paper de referencia</w:t>
      </w:r>
      <w:r>
        <w:t xml:space="preserve"> de cada problema no es lectura previa para elegir: se estudia (y se replica con su dataset) en la sesión indicada. Aquí figura para que se sepa desde el inicio en qué evidencia académica se apoya cada técnica.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1 — Retención de clientes en telecomunicaciones (churn)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una operadora de telecomunicaciones pierde cada mes una fracción de sus clientes y captar uno nuevo cuesta varias veces más que retener uno existente. El presupuesto de retención es limitado y hoy se reparte sin criterio de riesgo. Para dimensionar el premio (cifra </w:t>
      </w:r>
      <w:r>
        <w:rPr>
          <w:b/>
        </w:rPr>
        <w:t>ilustrativa</w:t>
      </w:r>
      <w:r>
        <w:t>): con 100 000 clientes, una fuga mensual del 3% y un margen de S/ 40 por cliente-mes, la operadora deja de percibir del orden de 100 000 × 3% × S/ 40 ≈ S/ 120 000 al mes; recuperar aunque sea una parte de esos clientes es el valor que persigue el proyecto.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clientes tienen mayor probabilidad de cancelar el servicio y a cuáles dirigir la campaña de retención del próximo mes?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9">
        <w:r>
          <w:rPr>
            <w:color w:val="E4002B"/>
            <w:u w:val="single"/>
          </w:rPr>
          <w:t xml:space="preserve">Telco Customer Churn — Kaggle</w:t>
        </w:r>
      </w:hyperlink>
      <w:r>
        <w:t xml:space="preserve"> (7 043 clientes con servicios contratados, cargos y bandera de fuga). </w:t>
      </w:r>
      <w:r>
        <w:rPr>
          <w:b/>
        </w:rPr>
        <w:t>Requiere cuenta gratuita de Kaggle</w:t>
      </w:r>
      <w:r>
        <w:t xml:space="preserve"> — ver instrucciones al final.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regresión logística (Sesión 09) — estima la probabilidad de un evento binario, como cancelar o no cancelar.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Nelder &amp; Wedderburn (1972), </w:t>
      </w:r>
      <w:r>
        <w:rPr>
          <w:i/>
        </w:rPr>
        <w:t>Generalized Linear Models</w:t>
      </w:r>
      <w:r>
        <w:t xml:space="preserve">, JRSS-A 135(3). La Sesión 09 replica el ejemplo de regresión logística de ESL cap. 4 (Hastie, Tibshirani &amp; Friedman, 2009) con el dataset </w:t>
      </w:r>
      <w:r>
        <w:rPr>
          <w:b/>
        </w:rPr>
        <w:t>South African Heart Disease (SAheart)</w:t>
      </w:r>
      <w:r>
        <w:t>; el Telco Churn de Kaggle es solo el caso de negocio.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2 — Optimización de la inversión publicitaria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una empresa reparte su presupuesto publicitario entre TV, radio y prensa sin evidencia de cuánto aporta cada canal a las ventas. La gerencia comercial sospecha que parte del gasto no rinde.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¿cuánto varían las ventas por cada mil dólares adicionales en cada canal y cómo debería reasignarse el presupuesto?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0">
        <w:r>
          <w:rPr>
            <w:color w:val="E4002B"/>
            <w:u w:val="single"/>
          </w:rPr>
          <w:t xml:space="preserve">Advertising.csv — ISLR</w:t>
        </w:r>
      </w:hyperlink>
      <w:r>
        <w:t xml:space="preserve"> (200 mercados con inversión por canal y ventas).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regresión lineal simple y múltiple (Sesiones 03 y 04) — cuantifica el efecto de una o varias variables sobre un resultado numérico.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Galton (1886), </w:t>
      </w:r>
      <w:r>
        <w:rPr>
          <w:i/>
        </w:rPr>
        <w:t>Regression Towards Mediocrity in Hereditary Stature</w:t>
      </w:r>
      <w:r>
        <w:t xml:space="preserve"> — el artículo que dio origen al término «regresión», replicado en la Sesión 03 con el dataset </w:t>
      </w:r>
      <w:r>
        <w:rPr>
          <w:b/>
        </w:rPr>
        <w:t>GaltonFamilies</w:t>
      </w:r>
      <w:r>
        <w:t xml:space="preserve"> (Rdatasets), junto con Anscombe (1973), </w:t>
      </w:r>
      <w:r>
        <w:rPr>
          <w:i/>
        </w:rPr>
        <w:t>Graphs in Statistical Analysis</w:t>
      </w:r>
      <w:r>
        <w:t xml:space="preserve">, The American Statistician 27(1). La Sesión 04 replica el análisis de regresión múltiple de De Cock (2011) con </w:t>
      </w:r>
      <w:r>
        <w:rPr>
          <w:b/>
        </w:rPr>
        <w:t>Ames Housing</w:t>
      </w:r>
      <w:r>
        <w:t>. El Advertising de ISLR es el caso de negocio del laboratorio.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3 — Segmentación de clientes de un retail online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una tienda online británica de regalos trata a todos sus clientes por igual en sus campañas de correo. Marketing intuye que conviven mayoristas, compradores ocasionales y clientes dormidos, pero no puede identificarlos.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grupos naturales de clientes existen según recencia, frecuencia y monto de compra, y qué campaña corresponde a cada grupo?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1">
        <w:r>
          <w:rPr>
            <w:color w:val="E4002B"/>
            <w:u w:val="single"/>
          </w:rPr>
          <w:t xml:space="preserve">Online Retail II — UCI</w:t>
        </w:r>
      </w:hyperlink>
      <w:r>
        <w:t xml:space="preserve"> (más de 1 millón de transacciones 2009–2011).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clustering (Sesión 07) — descubre grupos de observaciones similares sin necesidad de etiquetas previas.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Ward (1963), </w:t>
      </w:r>
      <w:r>
        <w:rPr>
          <w:i/>
        </w:rPr>
        <w:t>Hierarchical Grouping to Optimize an Objective Function</w:t>
      </w:r>
      <w:r>
        <w:t xml:space="preserve">, JASA 58(301), y Ester, Kriegel, Sander &amp; Xu (1996), </w:t>
      </w:r>
      <w:r>
        <w:rPr>
          <w:i/>
        </w:rPr>
        <w:t>A Density-Based Algorithm for Discovering Clusters</w:t>
      </w:r>
      <w:r>
        <w:t xml:space="preserve"> (DBSCAN), Proc. KDD-96. El Online Retail II de UCI es el caso de negocio para la segmentación RFM del laboratorio.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4 — Venta cruzada y canasta de mercado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el mismo retail online quiere aumentar el ticket promedio mediante la sugerencia de productos complementarios al momento de la compra. Hoy las promociones conjuntas se arman por intuición del área comercial.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productos se compran juntos con mayor frecuencia y qué combinaciones conviene promocionar o ubicar contiguas?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1">
        <w:r>
          <w:rPr>
            <w:color w:val="E4002B"/>
            <w:u w:val="single"/>
          </w:rPr>
          <w:t xml:space="preserve">Online Retail II — UCI</w:t>
        </w:r>
      </w:hyperlink>
      <w:r>
        <w:t xml:space="preserve"> (las mismas transacciones, vistas como canastas).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reglas de asociación / market basket analysis (Sesión 08) — encuentra combinaciones de productos que aparecen juntas más de lo esperado.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Agrawal, Imieliński &amp; Swami (1993), </w:t>
      </w:r>
      <w:r>
        <w:rPr>
          <w:i/>
        </w:rPr>
        <w:t>Mining Association Rules between Sets of Items in Large Databases</w:t>
      </w:r>
      <w:r>
        <w:t xml:space="preserve">, Proc. ACM SIGMOD, y Agrawal &amp; Srikant (1994), </w:t>
      </w:r>
      <w:r>
        <w:rPr>
          <w:i/>
        </w:rPr>
        <w:t>Fast Algorithms for Mining Association Rules</w:t>
      </w:r>
      <w:r>
        <w:t xml:space="preserve"> (Apriori), Proc. VLDB. La Sesión 08 replica el benchmarking de Apriori/FP-Growth con el dataset </w:t>
      </w:r>
      <w:r>
        <w:rPr>
          <w:b/>
        </w:rPr>
        <w:t>T10I4D100K</w:t>
      </w:r>
      <w:r>
        <w:t xml:space="preserve"> (repositorio FIMI); el retail de UCI es el caso de negocio.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5 — Pronóstico de tráfico para planificar capacidad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 medio digital debe dimensionar servidores, pauta publicitaria y turnos del equipo editorial según el tráfico esperado, que presenta estacionalidad semanal y picos ligados a eventos. Sobredimensionar cuesta dinero; subdimensionar degrada el servicio.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¿cuántas visitas se esperan cada día del próximo trimestre y cuándo ocurrirán los picos?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2">
        <w:r>
          <w:rPr>
            <w:color w:val="E4002B"/>
            <w:u w:val="single"/>
          </w:rPr>
          <w:t xml:space="preserve">Visitas diarias a la página de Wikipedia de Peyton Manning — ejemplos de Prophet</w:t>
        </w:r>
      </w:hyperlink>
      <w:r>
        <w:t xml:space="preserve"> (serie diaria 2007–2016, en escala logarítmica).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series temporales (Sesión 11) — modela tendencia y estacionalidad para pronosticar valores futuros.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Taylor &amp; Letham (2018), </w:t>
      </w:r>
      <w:r>
        <w:rPr>
          <w:i/>
        </w:rPr>
        <w:t>Forecasting at Scale</w:t>
      </w:r>
      <w:r>
        <w:t xml:space="preserve"> (Prophet), The American Statistician 72(1) — la serie de Peyton Manning es el ejemplo oficial de ese paper, por lo que aquí el dataset de réplica y el del problema coinciden. La sesión replica además la «Serie G» </w:t>
      </w:r>
      <w:r>
        <w:rPr>
          <w:b/>
        </w:rPr>
        <w:t>AirPassengers</w:t>
      </w:r>
      <w:r>
        <w:t xml:space="preserve"> de Box &amp; Jenkins (1970), </w:t>
      </w:r>
      <w:r>
        <w:rPr>
          <w:i/>
        </w:rPr>
        <w:t>Time Series Analysis: Forecasting and Control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6 — Priorización de zonas para prevención del delito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 gobierno local dispone de un fondo limitado para programas de prevención y debe decidir en qué comunidades focalizarlo. Se dispone de más de cien indicadores socioeconómicos por comunidad y no es obvio cuáles importan.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indicadores se asocian con mayor tasa de delitos violentos y qué comunidades deberían priorizarse? Este problema exige además un análisis ético cuidadoso: ¿qué sesgos históricos arrastran los datos policiales?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3">
        <w:r>
          <w:rPr>
            <w:color w:val="E4002B"/>
            <w:u w:val="single"/>
          </w:rPr>
          <w:t xml:space="preserve">Communities and Crime — UCI</w:t>
        </w:r>
      </w:hyperlink>
      <w:r>
        <w:t xml:space="preserve"> (1 994 comunidades de EE. UU., 128 variables).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regularización (Sesión 05) — ajusta modelos con muchas variables y ayuda a seleccionar las realmente relevantes.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Tibshirani (1996), </w:t>
      </w:r>
      <w:r>
        <w:rPr>
          <w:i/>
        </w:rPr>
        <w:t>Regression Shrinkage and Selection via the Lasso</w:t>
      </w:r>
      <w:r>
        <w:t xml:space="preserve">, JRSS-B 58(1), y Hoerl &amp; Kennard (1970), </w:t>
      </w:r>
      <w:r>
        <w:rPr>
          <w:i/>
        </w:rPr>
        <w:t>Ridge Regression: Biased Estimation for Nonorthogonal Problems</w:t>
      </w:r>
      <w:r>
        <w:t xml:space="preserve">, Technometrics 12(1). La Sesión 05 replica los </w:t>
      </w:r>
      <w:r>
        <w:rPr>
          <w:i/>
        </w:rPr>
        <w:t>coefficient paths</w:t>
      </w:r>
      <w:r>
        <w:t xml:space="preserve"> del LASSO con el dataset </w:t>
      </w:r>
      <w:r>
        <w:rPr>
          <w:b/>
        </w:rPr>
        <w:t>Prostate cancer</w:t>
      </w:r>
      <w:r>
        <w:t xml:space="preserve"> (Stamey et al., 1989), el ejemplo de Tibshirani (1996) y de ESL cap. 3; Communities and Crime es el caso de negocio de alta dimensión.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7 — Autenticación del origen de un producto (vinos)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una importadora sospecha que parte de los vinos que recibe no corresponde a la cepa declarada en la etiqueta, lo que expone a la empresa a fraude y sanciones. El laboratorio entrega 13 mediciones químicas por botella, difíciles de interpretar a simple vista.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¿puede identificarse la cepa de origen a partir del análisis químico y qué mediciones concentran la información útil?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4">
        <w:r>
          <w:rPr>
            <w:color w:val="E4002B"/>
            <w:u w:val="single"/>
          </w:rPr>
          <w:t xml:space="preserve">Wine — UCI</w:t>
        </w:r>
      </w:hyperlink>
      <w:r>
        <w:t xml:space="preserve"> (178 muestras, 13 variables químicas, 3 cepas).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reducción de dimensionalidad (Sesión 06) — resume muchas variables correlacionadas en pocas componentes — y clasificadores clásicos (Sesión 10) — asignan cada observación a una clase.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Hotelling (1933), </w:t>
      </w:r>
      <w:r>
        <w:rPr>
          <w:i/>
        </w:rPr>
        <w:t>Analysis of a Complex of Statistical Variables into Principal Components</w:t>
      </w:r>
      <w:r>
        <w:t xml:space="preserve">, J. Educ. Psychology 24 (PCA), y Fisher (1936), </w:t>
      </w:r>
      <w:r>
        <w:rPr>
          <w:i/>
        </w:rPr>
        <w:t>The Use of Multiple Measurements in Taxonomic Problems</w:t>
      </w:r>
      <w:r>
        <w:t xml:space="preserve">, Annals of Eugenics 7(2) (LDA). La Sesión 10 replica las fronteras LDA/QDA con </w:t>
      </w:r>
      <w:r>
        <w:rPr>
          <w:b/>
        </w:rPr>
        <w:t>Iris</w:t>
      </w:r>
      <w:r>
        <w:t xml:space="preserve">, el dataset original del artículo de Fisher; la Sesión 06 usa Wine e Iris para el PCA y el biplot, y </w:t>
      </w:r>
      <w:r>
        <w:rPr>
          <w:b/>
        </w:rPr>
        <w:t>MNIST</w:t>
      </w:r>
      <w:r>
        <w:t xml:space="preserve"> para replicar t-SNE (van der Maaten &amp; Hinton, 2008, JMLR 9) y UMAP (McInnes, Healy &amp; Melville, 2018, arXiv:1802.03426).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8 — Evaluación de impacto de un programa de capacitación laboral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 ministerio de trabajo financió un programa de capacitación para personas desempleadas y debe decidir si lo escala a nivel nacional. Comparar sin ajustar los ingresos de participantes y no participantes induce a error: los grupos no eran comparables desde el inicio.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¿el programa aumentó realmente los ingresos de los participantes y cuánto? ¿Se justifica escalarlo?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5">
        <w:r>
          <w:rPr>
            <w:color w:val="E4002B"/>
            <w:u w:val="single"/>
          </w:rPr>
          <w:t xml:space="preserve">NSW (National Supported Work) — réplica de Dehejia y Wahba, NBER</w:t>
        </w:r>
      </w:hyperlink>
      <w:r>
        <w:t xml:space="preserve"> (datos del experimento y grupos de comparación observacionales).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inferencia causal (Sesión 12) — distingue correlación de efecto causal para evaluar intervenciones.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Rubin (1974), </w:t>
      </w:r>
      <w:r>
        <w:rPr>
          <w:i/>
        </w:rPr>
        <w:t>Estimating Causal Effects of Treatments in Randomized and Nonrandomized Studies</w:t>
      </w:r>
      <w:r>
        <w:t xml:space="preserve">, J. Educ. Psychology 66(5), y Rosenbaum &amp; Rubin (1983), </w:t>
      </w:r>
      <w:r>
        <w:rPr>
          <w:i/>
        </w:rPr>
        <w:t>The Central Role of the Propensity Score</w:t>
      </w:r>
      <w:r>
        <w:t xml:space="preserve">, Biometrika 70(1). El dataset NSW es justamente la réplica de Dehejia y Wahba del experimento LaLonde usada en la Sesión 12 para el PSM; la sesión replica además el DiD de Card &amp; Krueger (1994), </w:t>
      </w:r>
      <w:r>
        <w:rPr>
          <w:i/>
        </w:rPr>
        <w:t>Minimum Wages and Employment: A Case Study</w:t>
      </w:r>
      <w:r>
        <w:t>, American Economic Review 84(4).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9 — Recomendación de contenidos en una plataforma de streaming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una plataforma de películas compite por el tiempo de sus usuarios: si la portada no muestra títulos relevantes, el usuario se va. Con miles de títulos y millones de valoraciones, la curaduría manual no escala.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películas mostrar a cada usuario para maximizar la relevancia de la portada y la retención?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6">
        <w:r>
          <w:rPr>
            <w:color w:val="E4002B"/>
            <w:u w:val="single"/>
          </w:rPr>
          <w:t xml:space="preserve">MovieLens — GroupLens</w:t>
        </w:r>
      </w:hyperlink>
      <w:r>
        <w:t xml:space="preserve"> (valoraciones de películas por usuario; usar la versión de 100 000 valoraciones). Descarga directa, verificado ✓.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sistemas de recomendación (Sesión 14) — predicen qué ítems interesarán a cada usuario a partir de su historial y el de usuarios similares.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Koren, Bell &amp; Volinsky (2009), </w:t>
      </w:r>
      <w:r>
        <w:rPr>
          <w:i/>
        </w:rPr>
        <w:t>Matrix Factorization Techniques for Recommender Systems</w:t>
      </w:r>
      <w:r>
        <w:t xml:space="preserve">, IEEE Computer 42(8). </w:t>
      </w:r>
      <w:r>
        <w:rPr>
          <w:b/>
        </w:rPr>
        <w:t>MovieLens</w:t>
      </w:r>
      <w:r>
        <w:t xml:space="preserve"> es el sustituto canónico del </w:t>
      </w:r>
      <w:r>
        <w:rPr>
          <w:i/>
        </w:rPr>
        <w:t>Netflix Prize</w:t>
      </w:r>
      <w:r>
        <w:t xml:space="preserve"> (ya no distribuido) con el que la Sesión 14 replica esa factorización de matrices; el propio dataset está documentado en Harper &amp; Konstan (2015), </w:t>
      </w:r>
      <w:r>
        <w:rPr>
          <w:i/>
        </w:rPr>
        <w:t>The MovieLens Datasets: History and Context</w:t>
      </w:r>
      <w:r>
        <w:t>, ACM TiiS 5(4). Aquí el dataset de réplica y el del problema coinciden.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Problema 10 — Experimento A/B en un juego móvil</w:t>
      </w:r>
    </w:p>
    <w:p>
      <w:pPr>
        <w:pStyle w:val="ListBullet"/>
        <w:spacing w:after="40"/>
      </w:pPr>
      <w:r>
        <w:rPr>
          <w:b/>
        </w:rPr>
        <w:t>Contexto de negocio:</w:t>
      </w:r>
      <w:r>
        <w:t xml:space="preserve"> un estudio de videojuegos probó dos versiones de su juego Cookie Cats: la primera compuerta de espera en el nivel 30 o en el nivel 40. Cada jugador nuevo recibió una versión al azar y se midió su retención a 1 y 7 días.</w:t>
      </w:r>
    </w:p>
    <w:p>
      <w:pPr>
        <w:pStyle w:val="ListBullet"/>
        <w:spacing w:after="40"/>
      </w:pPr>
      <w:r>
        <w:rPr>
          <w:b/>
        </w:rPr>
        <w:t>Pregunta / decisión:</w:t>
      </w:r>
      <w:r>
        <w:t xml:space="preserve"> ¿qué versión retiene más jugadores y es la diferencia suficientemente sólida para lanzarla a todos los usuarios?</w:t>
      </w:r>
    </w:p>
    <w:p>
      <w:pPr>
        <w:pStyle w:val="ListBullet"/>
        <w:spacing w:after="40"/>
      </w:pPr>
      <w:r>
        <w:rPr>
          <w:b/>
        </w:rPr>
        <w:t>Dataset:</w:t>
      </w:r>
      <w:r>
        <w:t xml:space="preserve"> </w:t>
      </w:r>
      <w:hyperlink r:id="rId17">
        <w:r>
          <w:rPr>
            <w:color w:val="E4002B"/>
            <w:u w:val="single"/>
          </w:rPr>
          <w:t xml:space="preserve">Mobile Games A/B Testing (Cookie Cats) — Kaggle</w:t>
        </w:r>
      </w:hyperlink>
      <w:r>
        <w:t xml:space="preserve"> (90 189 jugadores, grupo asignado y retención). </w:t>
      </w:r>
      <w:r>
        <w:rPr>
          <w:b/>
        </w:rPr>
        <w:t>Requiere cuenta gratuita de Kaggle</w:t>
      </w:r>
      <w:r>
        <w:t xml:space="preserve"> — ver instrucciones al final.</w:t>
      </w:r>
    </w:p>
    <w:p>
      <w:pPr>
        <w:pStyle w:val="ListBullet"/>
        <w:spacing w:after="40"/>
      </w:pPr>
      <w:r>
        <w:rPr>
          <w:b/>
        </w:rPr>
        <w:t>Técnica y sesión:</w:t>
      </w:r>
      <w:r>
        <w:t xml:space="preserve"> estadística inferencial y A/B testing (Sesión 02) — determina si la diferencia observada entre dos grupos es real o atribuible al azar.</w:t>
      </w:r>
    </w:p>
    <w:p>
      <w:pPr>
        <w:pStyle w:val="ListBullet"/>
        <w:spacing w:after="40"/>
      </w:pPr>
      <w:r>
        <w:rPr>
          <w:b/>
        </w:rPr>
        <w:t>Paper de referencia de la técnica:</w:t>
      </w:r>
      <w:r>
        <w:t xml:space="preserve"> Kohavi, Longbotham, Sommerfield &amp; Henne (2009), </w:t>
      </w:r>
      <w:r>
        <w:rPr>
          <w:i/>
        </w:rPr>
        <w:t>Controlled experiments on the web</w:t>
      </w:r>
      <w:r>
        <w:t xml:space="preserve">, Data Mining and Knowledge Discovery 18(1) (A/B testing), y Student (1908), origen de la prueba t, que la Sesión 02 replica con el dataset </w:t>
      </w:r>
      <w:r>
        <w:rPr>
          <w:b/>
        </w:rPr>
        <w:t>Sleep</w:t>
      </w:r>
      <w:r>
        <w:t xml:space="preserve"> (Student/Gosset, vía Rdatasets o </w:t>
      </w:r>
      <w:r>
        <w:rPr>
          <w:rFonts w:ascii="Consolas" w:hAnsi="Consolas"/>
          <w:color w:val="9B1B30"/>
          <w:sz w:val="19"/>
        </w:rPr>
        <w:t>statsmodels</w:t>
      </w:r>
      <w:r>
        <w:t>). Cookie Cats de Kaggle es solo el caso de negocio con un experimento A/B real.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Resumen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Dataset (fuente)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Sesión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Paper de la técnica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Churn en telecomunicaciones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Telco Customer Churn (Kaggle)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Cuenta gratuita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Nelder &amp; Wedderburn (1972), JRSS-A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Inversión publicitaria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Advertising (ISLR)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S03–S04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Galton (1886); De Cock (2011)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Segmentación de clientes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Online Retail II (UCI)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Ward (1963), JASA; Ester et al. (1996), KDD-96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 cruzada / canastas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Online Retail II (UCI)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S08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Agrawal &amp; Srikant (1994), VLDB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Pronóstico de tráfico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Wikipedia Peyton Manning (Prophet)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S11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Taylor &amp; Letham (2018), Am. Stat.; Box &amp; Jenkins (1970)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Prevención del delito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Communities and Crime (UCI)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Tibshirani (1996), JRSS-B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Autenticación de vinos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Wine (UCI)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S06 y S10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Hotelling (1933); Fisher (1936), Ann. Eugenics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Impacto de capacitación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NSW — Dehejia (NBER)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S12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Rosenbaum &amp; Rubin (1983), Biometrika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Recomendación de películas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MovieLens (GroupLens)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Directo ✓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S14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Koren, Bell &amp; Volinsky (2009), IEEE Computer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A/B testing en juego móvil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Cookie Cats (Kaggle)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Cuenta gratuita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S02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Kohavi et al. (2009), DMKD; Student (1908)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Acceso a los datasets de Kaggle (problemas 1 y 10)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 xml:space="preserve">Crear una cuenta gratuita en </w:t>
      </w:r>
      <w:hyperlink r:id="rId18">
        <w:r>
          <w:rPr>
            <w:color w:val="E4002B"/>
            <w:u w:val="single"/>
          </w:rPr>
          <w:t xml:space="preserve">kaggle.com</w:t>
        </w:r>
      </w:hyperlink>
      <w:r>
        <w:t xml:space="preserve"> (correo electrónico o cuenta de Google; no pide tarjeta).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>Abrir el enlace del dataset indicado en el problema e iniciar sesión.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Pulsar el botón </w:t>
      </w:r>
      <w:r>
        <w:rPr>
          <w:b/>
        </w:rPr>
        <w:t>Download</w:t>
      </w:r>
      <w:r>
        <w:t xml:space="preserve"> (parte superior derecha): se descarga un archivo.zip.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t>Descomprimir el.zip y subir el archivo.csv resultante a Google Colab (icono de carpeta del panel izquierdo → «Subir a almacenamiento de la sesión») o guardarlo junto al notebook.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t>Registrar en la ficha de la sesión CRISP-DM la fecha de descarga (DD/MM/YYYY). No se requiere API ni configuración adicional.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Propuesta propia: también puede plantearse un problema distinto (por ejemplo, con datos abiertos del Estado peruano o de la organización donde se trabaja), siempre que los datos sean accesibles, no expongan información personal identificable y el docente apruebe la ficha de la sesión en la Sesión 02.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Dónde se usa este catálogo</w:t>
      </w:r>
    </w:p>
    <w:p>
      <w:pPr>
        <w:pStyle w:val="ListBullet"/>
        <w:spacing w:after="40"/>
      </w:pPr>
      <w:r>
        <w:rPr>
          <w:b/>
        </w:rPr>
        <w:t>Notebook de la sesión</w:t>
      </w:r>
      <w:r>
        <w:t xml:space="preserve"> — </w:t>
      </w:r>
      <w:r>
        <w:rPr>
          <w:rFonts w:ascii="Consolas" w:hAnsi="Consolas"/>
          <w:color w:val="9B1B30"/>
          <w:sz w:val="19"/>
        </w:rPr>
        <w:t>S01_roadmap.ipynb</w:t>
      </w:r>
      <w:r>
        <w:t>: en la sección de laboratorio se consulta este catálogo para elegir el problema y mapearlo sobre las fases de CRISP-DM.</w:t>
      </w:r>
    </w:p>
    <w:p>
      <w:pPr>
        <w:pStyle w:val="ListBullet"/>
        <w:spacing w:after="40"/>
      </w:pPr>
      <w:r>
        <w:rPr>
          <w:b/>
        </w:rPr>
        <w:t>Guía de laboratorio</w:t>
      </w:r>
      <w:r>
        <w:t xml:space="preserve"> — </w:t>
      </w:r>
      <w:r>
        <w:rPr>
          <w:rFonts w:ascii="Consolas" w:hAnsi="Consolas"/>
          <w:color w:val="9B1B30"/>
          <w:sz w:val="19"/>
        </w:rPr>
        <w:t>laboratorio/Guia Laboratorio S01.docx</w:t>
      </w:r>
      <w:r>
        <w:t xml:space="preserve"> (carpeta </w:t>
      </w:r>
      <w:r>
        <w:rPr>
          <w:rFonts w:ascii="Consolas" w:hAnsi="Consolas"/>
          <w:color w:val="9B1B30"/>
          <w:sz w:val="19"/>
        </w:rPr>
        <w:t>laboratorio/</w:t>
      </w:r>
      <w:r>
        <w:t>): guía los pasos del trabajo en parejas; la elección del problema de este catálogo es uno de sus pasos numerados.</w:t>
      </w:r>
    </w:p>
    <w:p>
      <w:pPr>
        <w:pStyle w:val="ListBullet"/>
        <w:spacing w:after="40"/>
      </w:pPr>
      <w:r>
        <w:rPr>
          <w:b/>
        </w:rPr>
        <w:t>Ficha de proyecto CRISP-DM</w:t>
      </w:r>
      <w:r>
        <w:t xml:space="preserve"> — </w:t>
      </w:r>
      <w:r>
        <w:rPr>
          <w:rFonts w:ascii="Consolas" w:hAnsi="Consolas"/>
          <w:color w:val="9B1B30"/>
          <w:sz w:val="19"/>
        </w:rPr>
        <w:t>plantillas/Ficha Proyecto CRISP-DM.docx</w:t>
      </w:r>
      <w:r>
        <w:t>: el problema elegido se desarrolla en la ficha de la sesión, que constituye el entregable evaluable de la sesión (</w:t>
      </w:r>
      <w:r>
        <w:rPr>
          <w:rFonts w:ascii="Consolas" w:hAnsi="Consolas"/>
          <w:color w:val="9B1B30"/>
          <w:sz w:val="19"/>
        </w:rPr>
        <w:t>evaluacion/Entregable.docx</w:t>
      </w:r>
      <w:r>
        <w:t>).</w:t>
      </w:r>
    </w:p>
    <w:p>
      <w:pPr>
        <w:pStyle w:val="ListBullet"/>
        <w:spacing w:after="40"/>
      </w:pPr>
      <w:r>
        <w:rPr>
          <w:b/>
        </w:rPr>
        <w:t>Canvas de proyecto de datos</w:t>
      </w:r>
      <w:r>
        <w:t xml:space="preserve"> — </w:t>
      </w:r>
      <w:r>
        <w:rPr>
          <w:rFonts w:ascii="Consolas" w:hAnsi="Consolas"/>
          <w:color w:val="9B1B30"/>
          <w:sz w:val="19"/>
        </w:rPr>
        <w:t>plantillas/Canvas Proyecto Datos.docx</w:t>
      </w:r>
      <w:r>
        <w:t>: versión de una página del mismo problema, para completar en clase.</w:t>
      </w:r>
    </w:p>
    <w:p>
      <w:pPr>
        <w:pStyle w:val="ListBullet"/>
        <w:spacing w:after="40"/>
      </w:pPr>
      <w:r>
        <w:rPr>
          <w:b/>
        </w:rPr>
        <w:t>Proyecto integrador</w:t>
      </w:r>
      <w:r>
        <w:t xml:space="preserve"> — </w:t>
      </w:r>
      <w:r>
        <w:rPr>
          <w:rFonts w:ascii="Consolas" w:hAnsi="Consolas"/>
          <w:color w:val="9B1B30"/>
          <w:sz w:val="19"/>
        </w:rPr>
        <w:t>Proyecto_Integrador/guia_proyecto.md</w:t>
      </w:r>
      <w:r>
        <w:t xml:space="preserve"> y </w:t>
      </w:r>
      <w:r>
        <w:rPr>
          <w:rFonts w:ascii="Consolas" w:hAnsi="Consolas"/>
          <w:color w:val="9B1B30"/>
          <w:sz w:val="19"/>
        </w:rPr>
        <w:t>Proyecto_Integrador/rubrica_proyecto.md</w:t>
      </w:r>
      <w:r>
        <w:t>: el problema elegido aquí se convierte en el proyecto transversal del curso, con avance en el examen parcial y sustentación en el final.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Catálogo de problemas de negocio — proyecto integrador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blastchar/telco-customer-churn" TargetMode="External"/><Relationship Id="rId10" Type="http://schemas.openxmlformats.org/officeDocument/2006/relationships/hyperlink" Target="https://www.statlearning.com/s/Advertising.csv" TargetMode="External"/><Relationship Id="rId11" Type="http://schemas.openxmlformats.org/officeDocument/2006/relationships/hyperlink" Target="https://archive.ics.uci.edu/dataset/502/online+retail+ii" TargetMode="External"/><Relationship Id="rId12" Type="http://schemas.openxmlformats.org/officeDocument/2006/relationships/hyperlink" Target="https://raw.githubusercontent.com/facebook/prophet/main/examples/example_wp_log_peyton_manning.csv" TargetMode="External"/><Relationship Id="rId13" Type="http://schemas.openxmlformats.org/officeDocument/2006/relationships/hyperlink" Target="https://archive.ics.uci.edu/dataset/183/communities+and+crime" TargetMode="External"/><Relationship Id="rId14" Type="http://schemas.openxmlformats.org/officeDocument/2006/relationships/hyperlink" Target="https://archive.ics.uci.edu/dataset/109/wine" TargetMode="External"/><Relationship Id="rId15" Type="http://schemas.openxmlformats.org/officeDocument/2006/relationships/hyperlink" Target="https://users.nber.org/~rdehejia/nswdata2.html" TargetMode="External"/><Relationship Id="rId16" Type="http://schemas.openxmlformats.org/officeDocument/2006/relationships/hyperlink" Target="https://grouplens.org/datasets/movielens/" TargetMode="External"/><Relationship Id="rId17" Type="http://schemas.openxmlformats.org/officeDocument/2006/relationships/hyperlink" Target="https://www.kaggle.com/datasets/yufengsui/mobile-games-ab-testing" TargetMode="External"/><Relationship Id="rId18" Type="http://schemas.openxmlformats.org/officeDocument/2006/relationships/hyperlink" Target="https://www.kaggle.com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