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7A1526"/>
          <w:spacing w:val="40"/>
          <w:sz w:val="15"/>
          <w:szCs w:val="15"/>
        </w:rPr>
        <w:t xml:space="preserve">UPC · FACULTAD DE NEGOCIOS · PROGRAMA ADMINISTRACIÓN Y CIENCIA DE DATOS PARA NEGOCIOS</w:t>
      </w:r>
    </w:p>
    <w:p>
      <w:pPr>
        <w:spacing w:after="40"/>
      </w:pPr>
      <w:r>
        <w:rPr>
          <w:rFonts w:ascii="Cambria" w:cs="Cambria" w:eastAsia="Cambria" w:hAnsi="Cambria"/>
          <w:b/>
          <w:bCs/>
          <w:color w:val="2D2D2D"/>
          <w:sz w:val="36"/>
          <w:szCs w:val="36"/>
        </w:rPr>
        <w:t xml:space="preserve">Entregable evaluable — Sesión S05</w:t>
      </w:r>
    </w:p>
    <w:p>
      <w:pPr>
        <w:pBdr>
          <w:bottom w:val="single" w:color="E4002B" w:sz="18" w:space="10"/>
        </w:pBdr>
        <w:spacing w:after="160"/>
      </w:pPr>
      <w:r>
        <w:rPr>
          <w:rFonts w:ascii="Cambria" w:cs="Cambria" w:eastAsia="Cambria" w:hAnsi="Cambria"/>
          <w:color w:val="7A1526"/>
          <w:sz w:val="28"/>
          <w:szCs w:val="28"/>
        </w:rPr>
        <w:t xml:space="preserve">OLS vs. RIDGE vs. LASSO vs. Elastic Net en alta dimensión (Communities and Crime)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CURSO</w:t>
            </w:r>
          </w:p>
        </w:tc>
        <w:tc>
          <w:tcPr>
            <w:tcW w:type="dxa" w:w="78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Herramientas para la Ciencia de Datos · Sesión 05 · Regularización: Ridge, LASSO y Elastic Net · Entregable evaluable · Material del estudiante</w:t>
            </w:r>
          </w:p>
        </w:tc>
      </w:tr>
      <w:tr>
        <w:tc>
          <w:tcPr>
            <w:tcW w:type="dxa" w:w="22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MODALIDAD</w:t>
            </w:r>
          </w:p>
        </w:tc>
        <w:tc>
          <w:tcPr>
            <w:tcW w:type="dxa" w:w="78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Trabajo en parejas durante el laboratorio · entrega individual</w:t>
            </w:r>
          </w:p>
        </w:tc>
      </w:tr>
      <w:tr>
        <w:tc>
          <w:tcPr>
            <w:tcW w:type="dxa" w:w="22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CALIFICACIÓN</w:t>
            </w:r>
          </w:p>
        </w:tc>
        <w:tc>
          <w:tcPr>
            <w:tcW w:type="dxa" w:w="78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Escala vigesimal 0–20, según la rúbrica de la sección 4 de este documento</w:t>
            </w:r>
          </w:p>
        </w:tc>
      </w:tr>
      <w:tr>
        <w:tc>
          <w:tcPr>
            <w:tcW w:type="dxa" w:w="22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CUADERNO</w:t>
            </w:r>
          </w:p>
        </w:tc>
        <w:tc>
          <w:tcPr>
            <w:tcW w:type="dxa" w:w="78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notebook/S05_regularizacion.ipynb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(todo el análisis se desarrolla y reproduce aquí)</w:t>
            </w:r>
          </w:p>
        </w:tc>
      </w:tr>
    </w:tbl>
    <w:p>
      <w:pPr>
        <w:spacing w:after="150"/>
      </w:pPr>
    </w:p>
    <w:p>
      <w:pPr>
        <w:spacing w:after="180" w:line="265"/>
      </w:pPr>
      <w:r>
        <w:rPr>
          <w:rFonts w:ascii="Cambria" w:cs="Cambria" w:eastAsia="Cambria" w:hAnsi="Cambria"/>
          <w:color w:val="3A3A3A"/>
          <w:sz w:val="18"/>
          <w:szCs w:val="18"/>
        </w:rPr>
        <w:t xml:space="preserve">Material del estudiante. Trabajo evaluable de la Sesión 5. Español impersonal. </w:t>
      </w:r>
      <w:r>
        <w:rPr>
          <w:rFonts w:ascii="Cambria" w:cs="Cambria" w:eastAsia="Cambria" w:hAnsi="Cambria"/>
          <w:b/>
          <w:bCs/>
          <w:color w:val="3A3A3A"/>
          <w:sz w:val="18"/>
          <w:szCs w:val="18"/>
        </w:rPr>
        <w:t xml:space="preserve">El entregable se completa con: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 la plantilla 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plantillas/comparacion_modelos_regularizacion.docx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 (tabla de métricas + paths de regularización) y la guía visual 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plantillas/guia_L1_vs_L2.docx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. Todo el análisis se desarrolla en el cuaderno 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notebook/S05_regularizacion.ipynb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. Los ejercicios previos están en 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evaluacion/drills.docx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, el diccionario de variables en 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data/diccionario_datos.md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 y las lecturas en la bibliografía de la sesión.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A1526" w:color="auto" w:val="clear"/>
            <w:tcMar>
              <w:top w:type="dxa" w:w="180"/>
              <w:left w:type="dxa" w:w="150"/>
              <w:bottom w:type="dxa" w:w="180"/>
              <w:right w:type="dxa" w:w="15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30"/>
                <w:sz w:val="15"/>
                <w:szCs w:val="15"/>
              </w:rPr>
              <w:t xml:space="preserve">OBJETIVO DEL ENTREGABLE</w:t>
            </w:r>
          </w:p>
          <w:p>
            <w:pPr>
              <w:spacing w:line="280"/>
            </w:pPr>
            <w:r>
              <w:rPr>
                <w:rFonts w:ascii="Cambria" w:cs="Cambria" w:eastAsia="Cambria" w:hAnsi="Cambria"/>
                <w:color w:val="FFFFFF"/>
                <w:sz w:val="21"/>
                <w:szCs w:val="21"/>
              </w:rPr>
              <w:t xml:space="preserve">Ajustar, elegir por validación cruzada y comparar cuatro modelos —OLS, RIDGE, LASSO y Elastic Net— sobre un dataset de alta dimensión (Communities and Crime), diagnosticar un supuesto pertinente de la regularización, medir la estabilidad de la selección de variables del LASSO y emitir una recomendación que equilibre interpretabilidad y desempeño, con su valor expresado en un rango monetario honesto.</w:t>
            </w:r>
          </w:p>
        </w:tc>
      </w:tr>
    </w:tbl>
    <w:p>
      <w:pPr>
        <w:spacing w:after="200"/>
      </w:pPr>
    </w:p>
    <w:p>
      <w:pPr>
        <w:keepNext/>
        <w:spacing w:after="110" w:before="240"/>
      </w:pPr>
      <w:r>
        <w:rPr>
          <w:rFonts w:ascii="Calibri" w:cs="Calibri" w:eastAsia="Calibri" w:hAnsi="Calibri"/>
          <w:b/>
          <w:bCs/>
          <w:color w:val="7A1526"/>
          <w:sz w:val="21"/>
          <w:szCs w:val="21"/>
        </w:rPr>
        <w:t xml:space="preserve">Contenido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6180"/>
        <w:gridCol w:w="2400"/>
      </w:tblGrid>
      <w:tr>
        <w:tc>
          <w:tcPr>
            <w:tcW w:type="dxa" w:w="15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7"/>
                <w:szCs w:val="17"/>
              </w:rPr>
              <w:t xml:space="preserve">Sección 1</w:t>
            </w:r>
          </w:p>
        </w:tc>
        <w:tc>
          <w:tcPr>
            <w:tcW w:type="dxa" w:w="61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Contexto</w:t>
            </w:r>
          </w:p>
        </w:tc>
        <w:tc>
          <w:tcPr>
            <w:tcW w:type="dxa" w:w="24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6E6E6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7"/>
                <w:szCs w:val="17"/>
              </w:rPr>
              <w:t xml:space="preserve">Sección 2</w:t>
            </w:r>
          </w:p>
        </w:tc>
        <w:tc>
          <w:tcPr>
            <w:tcW w:type="dxa" w:w="61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La tarea (ocho puntos, en este orden)</w:t>
            </w:r>
          </w:p>
        </w:tc>
        <w:tc>
          <w:tcPr>
            <w:tcW w:type="dxa" w:w="24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6E6E6E"/>
                <w:sz w:val="17"/>
                <w:szCs w:val="17"/>
              </w:rPr>
              <w:t xml:space="preserve">máx. 4 páginas + anexos</w:t>
            </w:r>
          </w:p>
        </w:tc>
      </w:tr>
      <w:tr>
        <w:tc>
          <w:tcPr>
            <w:tcW w:type="dxa" w:w="15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7"/>
                <w:szCs w:val="17"/>
              </w:rPr>
              <w:t xml:space="preserve">Sección 3</w:t>
            </w:r>
          </w:p>
        </w:tc>
        <w:tc>
          <w:tcPr>
            <w:tcW w:type="dxa" w:w="61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Formato de entrega</w:t>
            </w:r>
          </w:p>
        </w:tc>
        <w:tc>
          <w:tcPr>
            <w:tcW w:type="dxa" w:w="24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6E6E6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7"/>
                <w:szCs w:val="17"/>
              </w:rPr>
              <w:t xml:space="preserve">Sección 4</w:t>
            </w:r>
          </w:p>
        </w:tc>
        <w:tc>
          <w:tcPr>
            <w:tcW w:type="dxa" w:w="61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Rúbrica de evaluación</w:t>
            </w:r>
          </w:p>
        </w:tc>
        <w:tc>
          <w:tcPr>
            <w:tcW w:type="dxa" w:w="24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6E6E6E"/>
                <w:sz w:val="17"/>
                <w:szCs w:val="17"/>
              </w:rPr>
              <w:t xml:space="preserve">vigesimal, total 20</w:t>
            </w:r>
          </w:p>
        </w:tc>
      </w:tr>
    </w:tbl>
    <w:p>
      <w:pPr>
        <w:spacing w:after="220"/>
      </w:pP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7A1526"/>
          <w:sz w:val="24"/>
          <w:szCs w:val="24"/>
        </w:rPr>
        <w:t xml:space="preserve">1.  </w:t>
      </w:r>
      <w:r>
        <w:rPr>
          <w:rFonts w:ascii="Calibri" w:cs="Calibri" w:eastAsia="Calibri" w:hAnsi="Calibri"/>
          <w:b/>
          <w:bCs/>
          <w:color w:val="7A1526"/>
          <w:spacing w:val="20"/>
          <w:sz w:val="24"/>
          <w:szCs w:val="24"/>
        </w:rPr>
        <w:t xml:space="preserve">CONTEXTO</w:t>
      </w:r>
    </w:p>
    <w:p>
      <w:pPr>
        <w:keepNext/>
        <w:pBdr>
          <w:bottom w:val="single" w:color="E4002B" w:sz="14" w:space="8"/>
        </w:pBdr>
        <w:spacing w:after="140"/>
      </w:pPr>
      <w:r>
        <w:rPr>
          <w:rFonts w:ascii="Cambria" w:cs="Cambria" w:eastAsia="Cambria" w:hAnsi="Cambria"/>
          <w:i/>
          <w:iCs/>
          <w:color w:val="6E6E6E"/>
          <w:sz w:val="19"/>
          <w:szCs w:val="19"/>
        </w:rPr>
        <w:t xml:space="preserve">Communities and Crime (Redmond, 2009) y el problema de alta dimensión</w:t>
      </w:r>
      <w:r>
        <w:rPr>
          <w:rFonts w:ascii="Cambria" w:cs="Cambria" w:eastAsia="Cambria" w:hAnsi="Cambria"/>
          <w:b/>
          <w:bCs/>
          <w:color w:val="7A1526"/>
          <w:sz w:val="19"/>
          <w:szCs w:val="19"/>
        </w:rPr>
        <w:t xml:space="preserve"/>
      </w:r>
    </w:p>
    <w:p>
      <w:pPr>
        <w:spacing w:line="270"/>
      </w:pPr>
      <w:r>
        <w:rPr>
          <w:rFonts w:ascii="Cambria" w:cs="Cambria" w:eastAsia="Cambria" w:hAnsi="Cambria"/>
          <w:color w:val="2D2D2D"/>
          <w:sz w:val="20"/>
          <w:szCs w:val="20"/>
        </w:rPr>
        <w:t xml:space="preserve">El dataset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Communities and Crime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(Redmond, 2009; UCI id 183) describe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1994 comunidades de EE. UU.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con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122 predictores en crudo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socioeconómicos (censo de 1990) y policiales (encuesta LEMAS de 1990), todos normalizados al rango [0, 1], y una variable objetivo: la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tasa de crímenes violentos por 100 000 habitantes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(</w:t>
      </w:r>
      <w:r>
        <w:rPr>
          <w:rFonts w:ascii="Consolas" w:cs="Consolas" w:eastAsia="Consolas" w:hAnsi="Consolas"/>
          <w:color w:val="7A1526"/>
          <w:sz w:val="18"/>
          <w:szCs w:val="18"/>
        </w:rPr>
        <w:t xml:space="preserve">ViolentCrimesPerPop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, también en [0, 1]). Tras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descartar el bloque policial LEMAS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(~22 columnas con ~84 % faltante) quedan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100 predictores modelados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. Ver </w:t>
      </w:r>
      <w:r>
        <w:rPr>
          <w:rFonts w:ascii="Consolas" w:cs="Consolas" w:eastAsia="Consolas" w:hAnsi="Consolas"/>
          <w:color w:val="7A1526"/>
          <w:sz w:val="18"/>
          <w:szCs w:val="18"/>
        </w:rPr>
        <w:t xml:space="preserve">data/diccionario_datos.md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.</w:t>
      </w:r>
    </w:p>
    <w:p>
      <w:pPr>
        <w:spacing w:after="220"/>
      </w:pPr>
    </w:p>
    <w:p>
      <w:pPr>
        <w:spacing w:line="270"/>
      </w:pPr>
      <w:r>
        <w:rPr>
          <w:rFonts w:ascii="Cambria" w:cs="Cambria" w:eastAsia="Cambria" w:hAnsi="Cambria"/>
          <w:color w:val="2D2D2D"/>
          <w:sz w:val="20"/>
          <w:szCs w:val="20"/>
        </w:rPr>
        <w:t xml:space="preserve">Es un caso de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alta dimensión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: muchos predictores, buena parte de ellos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correlacionados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entre sí, y un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bloque policial (LEMAS)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con ~84 % de valores faltantes. Es exactamente el escenario donde el OLS pleno se vuelve inestable y donde la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regularización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(RIDGE, LASSO, Elastic Net) aporta control de varianza y selección automática de variables. Una unidad de análisis criminal necesita un modelo con capacidad predictiva adecuada sobre la tasa de crimen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y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que sea explicable: qué factores la mueven y con cuántas variables basta.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7A1526"/>
          <w:sz w:val="24"/>
          <w:szCs w:val="24"/>
        </w:rPr>
        <w:t xml:space="preserve">2.  </w:t>
      </w:r>
      <w:r>
        <w:rPr>
          <w:rFonts w:ascii="Calibri" w:cs="Calibri" w:eastAsia="Calibri" w:hAnsi="Calibri"/>
          <w:b/>
          <w:bCs/>
          <w:color w:val="7A1526"/>
          <w:spacing w:val="20"/>
          <w:sz w:val="24"/>
          <w:szCs w:val="24"/>
        </w:rPr>
        <w:t xml:space="preserve">TAREA</w:t>
      </w:r>
    </w:p>
    <w:p>
      <w:pPr>
        <w:keepNext/>
        <w:pBdr>
          <w:bottom w:val="single" w:color="E4002B" w:sz="14" w:space="8"/>
        </w:pBdr>
        <w:spacing w:after="140"/>
      </w:pPr>
      <w:r>
        <w:rPr>
          <w:rFonts w:ascii="Cambria" w:cs="Cambria" w:eastAsia="Cambria" w:hAnsi="Cambria"/>
          <w:i/>
          <w:iCs/>
          <w:color w:val="6E6E6E"/>
          <w:sz w:val="19"/>
          <w:szCs w:val="19"/>
        </w:rPr>
        <w:t xml:space="preserve">Ajustar, elegir por CV y comparar cuatro modelos — informe máx. 4 páginas + anexos</w:t>
      </w:r>
      <w:r>
        <w:rPr>
          <w:rFonts w:ascii="Cambria" w:cs="Cambria" w:eastAsia="Cambria" w:hAnsi="Cambria"/>
          <w:b/>
          <w:bCs/>
          <w:color w:val="7A1526"/>
          <w:sz w:val="19"/>
          <w:szCs w:val="19"/>
        </w:rPr>
        <w:t xml:space="preserve"/>
      </w:r>
    </w:p>
    <w:p>
      <w:pPr>
        <w:spacing w:line="270"/>
      </w:pPr>
      <w:r>
        <w:rPr>
          <w:rFonts w:ascii="Cambria" w:cs="Cambria" w:eastAsia="Cambria" w:hAnsi="Cambria"/>
          <w:color w:val="2D2D2D"/>
          <w:sz w:val="20"/>
          <w:szCs w:val="20"/>
        </w:rPr>
        <w:t xml:space="preserve">Ajustar, elegir por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validación cruzada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y comparar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cuatro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modelos —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OLS, RIDGE, LASSO y Elastic Net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— sobre </w:t>
      </w:r>
      <w:r>
        <w:rPr>
          <w:rFonts w:ascii="Cambria" w:cs="Cambria" w:eastAsia="Cambria" w:hAnsi="Cambria"/>
          <w:i/>
          <w:iCs/>
          <w:color w:val="2D2D2D"/>
          <w:sz w:val="20"/>
          <w:szCs w:val="20"/>
        </w:rPr>
        <w:t xml:space="preserve">Communities and Crime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, y emitir una recomendación que equilibre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interpretabilidad y desempeño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. El informe (máx. 4 páginas + anexos del cuaderno) debe contener, en este orden:</w:t>
      </w:r>
    </w:p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2.1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Preparación de datos de alta dimensión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Cargar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communities.csv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y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descartar las 5 columnas no predictivas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state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county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community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communityname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fold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). Tratar los faltantes con criterio: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descartar el bloque policial LEMAS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(~22 columnas con ~84 % de NaN; imputar el 84 % introduciría sesgo) e imputar los faltantes residuales (p. ej.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OtherPerCap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) por la media.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Estandarizar los predictores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(obligatorio antes de regularizar) con StandardScaler (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z_ij = (x_ij − x̄_j) / s_j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: media 0, varianza 1): se ajusta el escalador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solo con el train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para no filtrar información. Partir en train/test (p. ej. 70/30) con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semilla fija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random_state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=42). Reportar el nº final de predictores y de observaciones.</w:t>
            </w:r>
          </w:p>
        </w:tc>
      </w:tr>
    </w:tbl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2.2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Diagnóstico de un supuesto (obligatorio)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Identificar y reportar al menos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un supuesto pertinente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de la regularización —p. ej.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multicolinealidad severa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entre predictores o la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necesidad de estandarización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— y explicar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cómo se diagnostica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y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cómo se corrige y por qué método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(la multicolinealidad, con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RIDGE / Elastic Net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, que al penalizar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Σβj²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reparten el peso entre predictores correlacionados y estabilizan los coeficientes; la escala, al estandarizar con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z_ij = (x_ij − x̄_j) / s_j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vía StandardScaler en Pipeline ajustado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solo en train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).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Con 100 predictores el diagnóstico no se hace igual que con 8: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en lugar de calcular 100 VIF, se usa la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matriz de correlaciones filtrada por pares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—X.corr, triángulo superior, listar solo los pares con |r| &gt; 0,8— y se reporta cuántos pares superan el umbral, los 5–10 más altos y las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familias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que forman; si se quiere una cifra de VIF, se calcula solo para los 10 predictores de mayor |coef|. El procedimiento paso a paso está en el recuadro «Cómo se hace esto con 100 columnas» del Paso 6.3 de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laboratorio/GUIA_LABORATORIO_S05.docx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. Remitir a la guía de supuestos de la sesión (Parte 1.2 «multicolinealidad» y Parte 2.1 «estandarización»).</w:t>
            </w:r>
          </w:p>
        </w:tc>
      </w:tr>
    </w:tbl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2.3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OLS de referencia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Ajustar LinearRegression sobre los predictores estandarizados y reportar su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MSE de test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MSE = (1/n)·Σ(yi − ŷi)²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). Comentar por qué el OLS pleno, con tantos predictores correlacionados, es el candidato con mayor riesgo de varianza.</w:t>
            </w:r>
          </w:p>
        </w:tc>
      </w:tr>
    </w:tbl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2.4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RIDGE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Ajustar RidgeCV (minimiza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RSS + λ·Σβj²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, con λ por CV sobre una malla,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random_state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fijo donde aplique). Reportar el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MSE de test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y verificar que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ningún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coeficiente queda exactamente en cero (Ridge contrae hacia cero, no selecciona).</w:t>
            </w:r>
          </w:p>
        </w:tc>
      </w:tr>
    </w:tbl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2.5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LASSO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Ajustar LassoCV (minimiza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RSS + λ·Σ|βj|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, con λ por CV). Reportar el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MSE de test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, el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nº de variables con coeficiente </w:t>
            </w:r>
            <w:r>
              <w:rPr>
                <w:rFonts w:ascii="Calibri" w:cs="Calibri" w:eastAsia="Calibri" w:hAnsi="Calibri"/>
                <w:b/>
                <w:bCs/>
                <w:color w:val="3A3A3A"/>
                <w:sz w:val="18"/>
                <w:szCs w:val="18"/>
              </w:rPr>
              <w:t xml:space="preserve">≠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 0 —junto con la semilla usada—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y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cuáles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son (las de mayor |coef|). Trazar el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path de regularización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lasso_path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) y señalar el orden en que las variables entran en cero: las que resisten hasta λ grande son las más importantes.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Con 100 predictores el path se grafica y destaca solo las 8–10 variables de mayor |coef| en color, con el resto en gris fino de fondo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(procedimiento en el recuadro del Paso 6.3 del laboratorio); un gráfico con 100 curvas superpuestas no es un diagnóstico.</w:t>
            </w:r>
          </w:p>
        </w:tc>
      </w:tr>
    </w:tbl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2.6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Elastic Net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Ajustar ElasticNetCV (minimiza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RSS + λ·[α·Σ|βj| + (1−α)·Σβj²]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) con una malla de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l1_ratio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(α, la mezcla)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y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de alpha (λ, la fuerza) por CV. Reportar el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l1_ratio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y λ elegidos, el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MSE de test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y comparar su selección de variables con la del LASSO puro (¿estabiliza grupos correlacionados?).</w:t>
            </w:r>
          </w:p>
        </w:tc>
      </w:tr>
    </w:tbl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2.7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Comparación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Consolidar en una tabla los cuatro modelos: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MSE de test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,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nº de variables activas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y λ/α elegidos. Interpretar con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honestidad estadística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: ¿la diferencia de MSE frente al OLS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supera ~1 Std Error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o cae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dentro del ruido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? (diferencias menores a ~1 SE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no son concluyentes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: no se proclama ganador por decimales). ¿Cuál logra el mejor equilibrio entre error y parsimonia? Discutir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λ_min vs. λ_1se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(máximo desempeño vs. máxima simplicidad) y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reportar los dos modelos con su nº de variables y su MSE de test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. LassoCV no expone λ_1se: se calcula manualmente desde alphas_ y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mse_path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_ (media entre folds,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se = sd/√k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, techo = mínimo + se, y λ_1se = el mayor λ bajo ese techo); el procedimiento está en el recuadro del Paso 6.3 del laboratorio.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Además, medir la estabilidad de la selección (obligatorio).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Reejecutar el LASSO con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al menos otra semilla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de partición y reportar cómo cambia el nº de variables activas y cuántas se repiten entre ambas listas. Sirve para no confundir el resultado de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una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ejecución con una propiedad del problema.</w:t>
            </w:r>
          </w:p>
        </w:tc>
      </w:tr>
    </w:tbl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2.8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Recomendación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Recomendación accionable para la unidad de análisis, que justifique el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equilibrio interpretabilidad vs. desempeño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: qué modelo se pondría en producción y por qué, qué variables concentran la señal, y qué advertencias comunicar (la selección del LASSO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no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es causal ni perfectamente estable; la lista de variables se contrasta con conocimiento de dominio).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Cerrar el valor en moneda: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fijar un costo de recolección y mantenimiento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por indicador/año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(ilustrativo, a sustituir por el costo real de la unidad; en este caso se usa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US$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, por ser un dataset de EE. UU.) y estimar el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ahorro anual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de descartar las variables que el LASSO deja fuera, al mismo error — </w:t>
            </w:r>
            <w:r>
              <w:rPr>
                <w:rFonts w:ascii="Cambria" w:cs="Cambria" w:eastAsia="Cambria" w:hAnsi="Cambria"/>
                <w:i/>
                <w:iCs/>
                <w:color w:val="3A3A3A"/>
                <w:sz w:val="18"/>
                <w:szCs w:val="18"/>
              </w:rPr>
              <w:t xml:space="preserve">costo por indicador × nº de variables descartadas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(con 62/100 se descartan 38, y a US$ 1 200 por indicador son ≈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US$ 45 600/año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).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Reportarlo como rango, no como cifra cerrada: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el conteo depende de la semilla, así que el ahorro también (con las semillas de referencia, entre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US$ 22 800 y US$ 67 200 al año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). Prometer una cifra exacta cuando el dato varía con la partición es el error de honestidad que este punto penaliza.</w:t>
            </w:r>
          </w:p>
        </w:tc>
      </w:tr>
    </w:tbl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7A1526"/>
          <w:sz w:val="24"/>
          <w:szCs w:val="24"/>
        </w:rPr>
        <w:t xml:space="preserve">3.  </w:t>
      </w:r>
      <w:r>
        <w:rPr>
          <w:rFonts w:ascii="Calibri" w:cs="Calibri" w:eastAsia="Calibri" w:hAnsi="Calibri"/>
          <w:b/>
          <w:bCs/>
          <w:color w:val="7A1526"/>
          <w:spacing w:val="20"/>
          <w:sz w:val="24"/>
          <w:szCs w:val="24"/>
        </w:rPr>
        <w:t xml:space="preserve">FORMATO DE ENTREGA</w:t>
      </w:r>
    </w:p>
    <w:p>
      <w:pPr>
        <w:keepNext/>
        <w:pBdr>
          <w:bottom w:val="single" w:color="E4002B" w:sz="14" w:space="8"/>
        </w:pBdr>
        <w:spacing w:after="140"/>
      </w:pPr>
      <w:r>
        <w:rPr>
          <w:rFonts w:ascii="Cambria" w:cs="Cambria" w:eastAsia="Cambria" w:hAnsi="Cambria"/>
          <w:i/>
          <w:iCs/>
          <w:color w:val="6E6E6E"/>
          <w:sz w:val="19"/>
          <w:szCs w:val="19"/>
        </w:rPr>
        <w:t xml:space="preserve"/>
      </w:r>
      <w:r>
        <w:rPr>
          <w:rFonts w:ascii="Cambria" w:cs="Cambria" w:eastAsia="Cambria" w:hAnsi="Cambria"/>
          <w:b/>
          <w:bCs/>
          <w:color w:val="7A1526"/>
          <w:sz w:val="19"/>
          <w:szCs w:val="19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"/>
        <w:gridCol w:w="9380"/>
      </w:tblGrid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1.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Informe en.md o.docx con las figuras y tablas exportadas desde el cuaderno.</w:t>
            </w:r>
          </w:p>
        </w:tc>
      </w:tr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2.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El análisis reproducible en 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notebook/S05_regularizacion.ipynb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; los resultados numéricos (coeficientes de los 4 modelos, λ/α elegidos, nº de variables activas, MSE de test y datos del path) volcados a 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resultados/S05_resultados.xlsx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(hoja 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communities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) y las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figuras de resultados generadas al leer ese Excel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(convención del curso).</w:t>
            </w:r>
          </w:p>
        </w:tc>
      </w:tr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3.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Toda cifra citada en el informe debe existir en el cuaderno o en el Excel de resultados. Semilla 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random_state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=42 en toda partición/CV,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declarada explícitamente junto a cada conteo de variables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. Los pliegues de la CV se construyen con KFold(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n_splits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=10, shuffle=True, 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random_state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=42), no con cv=10 entero: barajar es obligatorio salvo que el orden de las filas signifique algo (tiempo o grupos).</w:t>
            </w:r>
          </w:p>
        </w:tc>
      </w:tr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4.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Prohibido: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usar PCA/PCR/PLS u otra reducción de dimensiones para seleccionar variables (materia de S06); aquí la selección es por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LASSO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.</w:t>
            </w:r>
          </w:p>
        </w:tc>
      </w:tr>
    </w:tbl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7A1526"/>
          <w:sz w:val="24"/>
          <w:szCs w:val="24"/>
        </w:rPr>
        <w:t xml:space="preserve">4.  </w:t>
      </w:r>
      <w:r>
        <w:rPr>
          <w:rFonts w:ascii="Calibri" w:cs="Calibri" w:eastAsia="Calibri" w:hAnsi="Calibri"/>
          <w:b/>
          <w:bCs/>
          <w:color w:val="7A1526"/>
          <w:spacing w:val="20"/>
          <w:sz w:val="24"/>
          <w:szCs w:val="24"/>
        </w:rPr>
        <w:t xml:space="preserve">RÚBRICA DE EVALUACIÓN</w:t>
      </w:r>
    </w:p>
    <w:p>
      <w:pPr>
        <w:keepNext/>
        <w:pBdr>
          <w:bottom w:val="single" w:color="E4002B" w:sz="14" w:space="8"/>
        </w:pBdr>
        <w:spacing w:after="140"/>
      </w:pPr>
      <w:r>
        <w:rPr>
          <w:rFonts w:ascii="Cambria" w:cs="Cambria" w:eastAsia="Cambria" w:hAnsi="Cambria"/>
          <w:i/>
          <w:iCs/>
          <w:color w:val="6E6E6E"/>
          <w:sz w:val="19"/>
          <w:szCs w:val="19"/>
        </w:rPr>
        <w:t xml:space="preserve">Escala vigesimal, 0–20 · seis criterios × cuatro niveles</w:t>
      </w:r>
      <w:r>
        <w:rPr>
          <w:rFonts w:ascii="Cambria" w:cs="Cambria" w:eastAsia="Cambria" w:hAnsi="Cambria"/>
          <w:b/>
          <w:bCs/>
          <w:color w:val="7A1526"/>
          <w:sz w:val="19"/>
          <w:szCs w:val="19"/>
        </w:rPr>
        <w:t xml:space="preserve">   |   total 20 puntos</w:t>
      </w:r>
    </w:p>
    <w:p>
      <w:pPr>
        <w:spacing w:line="270"/>
      </w:pPr>
      <w:r>
        <w:rPr>
          <w:rFonts w:ascii="Cambria" w:cs="Cambria" w:eastAsia="Cambria" w:hAnsi="Cambria"/>
          <w:color w:val="2D2D2D"/>
          <w:sz w:val="20"/>
          <w:szCs w:val="20"/>
        </w:rPr>
        <w:t xml:space="preserve">Seis criterios × cuatro niveles. La columna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Peso (máx.)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es el puntaje del nivel </w:t>
      </w:r>
      <w:r>
        <w:rPr>
          <w:rFonts w:ascii="Cambria" w:cs="Cambria" w:eastAsia="Cambria" w:hAnsi="Cambria"/>
          <w:i/>
          <w:iCs/>
          <w:color w:val="2D2D2D"/>
          <w:sz w:val="20"/>
          <w:szCs w:val="20"/>
        </w:rPr>
        <w:t xml:space="preserve">Excelente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; los pesos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suman exactamente 20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. Cada nivel otorga el puntaje indicado entre paréntesis.</w:t>
      </w:r>
    </w:p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20"/>
        <w:gridCol w:w="1638"/>
        <w:gridCol w:w="1638"/>
        <w:gridCol w:w="1638"/>
        <w:gridCol w:w="1638"/>
        <w:gridCol w:w="908"/>
      </w:tblGrid>
      <w:tr>
        <w:trPr>
          <w:tblHeader/>
        </w:trPr>
        <w:tc>
          <w:tcPr>
            <w:tcW w:type="dxa" w:w="2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CRITERIO</w:t>
            </w:r>
          </w:p>
        </w:tc>
        <w:tc>
          <w:tcPr>
            <w:tcW w:type="dxa" w:w="1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INSUFICIENTE</w:t>
            </w:r>
          </w:p>
        </w:tc>
        <w:tc>
          <w:tcPr>
            <w:tcW w:type="dxa" w:w="1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BÁSICO</w:t>
            </w:r>
          </w:p>
        </w:tc>
        <w:tc>
          <w:tcPr>
            <w:tcW w:type="dxa" w:w="1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COMPETENTE</w:t>
            </w:r>
          </w:p>
        </w:tc>
        <w:tc>
          <w:tcPr>
            <w:tcW w:type="dxa" w:w="1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EXCELENTE</w:t>
            </w:r>
          </w:p>
        </w:tc>
        <w:tc>
          <w:tcPr>
            <w:tcW w:type="dxa" w:w="9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PESO</w:t>
            </w:r>
          </w:p>
        </w:tc>
      </w:tr>
      <w:tr>
        <w:trPr>
          <w:cantSplit/>
        </w:trPr>
        <w:tc>
          <w:tcPr>
            <w:tcW w:type="dxa" w:w="26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b/>
                <w:bCs/>
                <w:color w:val="7A1526"/>
                <w:sz w:val="17"/>
                <w:szCs w:val="17"/>
              </w:rPr>
              <w:t xml:space="preserve">C1. Preparación de alta dimensión + diagnóstico de un supuesto (faltantes LEMAS, escalado, split sin fuga)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No prepara los datos o usa las columnas no predictivas / no escala.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(0)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Escala pero maneja mal los faltantes (imputa el bloque LEMAS al 84 %) o ajusta el escalador sobre todo el conjunto (fuga).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(1)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Descarta las 22 columnas LEMAS e imputa residuales, escala y parte con semilla; la cuenta cierra en 100 predictores.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(2)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Preparación completa y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justificada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(descarte de LEMAS argumentado, imputación residual, StandardScaler ajustado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solo en train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, semilla fija, nº de predictores reportado)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y diagnostica al menos un supuesto pertinente con la técnica adecuada a 100 columnas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—correlaciones filtradas por pares con |r| &gt; 0,8 y sus familias, o VIF de los 10 predictores dominantes; ver el recuadro «Cómo se hace esto con 100 columnas» del Paso 6.3 del laboratorio—, que diga cómo se identifica y cómo se corrige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por método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, según la guía de supuestos de la sesión.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(3)</w:t>
            </w:r>
          </w:p>
        </w:tc>
        <w:tc>
          <w:tcPr>
            <w:tcW w:type="dxa" w:w="90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26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b/>
                <w:bCs/>
                <w:color w:val="7A1526"/>
                <w:sz w:val="17"/>
                <w:szCs w:val="17"/>
              </w:rPr>
              <w:t xml:space="preserve">C2. Ajuste de los 4 modelos y elección de λ/α por CV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Falta </w:t>
            </w:r>
            <w:r>
              <w:rPr>
                <w:rFonts w:ascii="Calibri" w:cs="Calibri" w:eastAsia="Calibri" w:hAnsi="Calibri"/>
                <w:color w:val="2D2D2D"/>
                <w:sz w:val="16"/>
                <w:szCs w:val="16"/>
              </w:rPr>
              <w:t xml:space="preserve">≥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1 modelo o fija λ/α de forma arbitraria.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(0)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Ajusta los 4 pero elige λ/α sin CV o solo para alguno.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(2)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Ajusta OLS/Ridge/LASSO/Elastic Net y elige λ (y α) por CV (RidgeCV/LassoCV/ElasticNetCV).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(3)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Los 4 modelos con λ/α por CV, malla razonada, </w:t>
            </w:r>
            <w:r>
              <w:rPr>
                <w:rFonts w:ascii="Consolas" w:cs="Consolas" w:eastAsia="Consolas" w:hAnsi="Consolas"/>
                <w:color w:val="7A1526"/>
                <w:sz w:val="14"/>
                <w:szCs w:val="14"/>
              </w:rPr>
              <w:t xml:space="preserve">l1_ratio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de Elastic Net elegido por CV y semilla fija; procedimiento reproducible.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(4)</w:t>
            </w:r>
          </w:p>
        </w:tc>
        <w:tc>
          <w:tcPr>
            <w:tcW w:type="dxa" w:w="90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26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b/>
                <w:bCs/>
                <w:color w:val="7A1526"/>
                <w:sz w:val="17"/>
                <w:szCs w:val="17"/>
              </w:rPr>
              <w:t xml:space="preserve">C3. MSE de test comparado e interpretación de la mejora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No reporta el error de test o lo hace sobre train.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(0)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Reporta el MSE de test de algún modelo sin comparar.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(1)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Tabla comparativa de MSE de test de los 4 modelos.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(2)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Tabla comparativa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interpretada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: regularizar </w:t>
            </w:r>
            <w:r>
              <w:rPr>
                <w:rFonts w:ascii="Calibri" w:cs="Calibri" w:eastAsia="Calibri" w:hAnsi="Calibri"/>
                <w:color w:val="2D2D2D"/>
                <w:sz w:val="16"/>
                <w:szCs w:val="16"/>
              </w:rPr>
              <w:t xml:space="preserve">≤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OLS, ordena la mejora y comenta la magnitud de las diferencias (no proclama ganador por diferencias triviales).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(3)</w:t>
            </w:r>
          </w:p>
        </w:tc>
        <w:tc>
          <w:tcPr>
            <w:tcW w:type="dxa" w:w="90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26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b/>
                <w:bCs/>
                <w:color w:val="7A1526"/>
                <w:sz w:val="17"/>
                <w:szCs w:val="17"/>
              </w:rPr>
              <w:t xml:space="preserve">C4. Selección de variables por LASSO (nº, cuáles, path) vs. Ridge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No reporta variables seleccionadas.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(0)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Reporta el nº de variables del LASSO sin decir cuáles, ni a qué λ, ni con qué semilla.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(2)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Reporta nº y cuáles variables sobreviven al LASSO (a un λ y una semilla explícitos) y contrasta con Ridge (no anula).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(3)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Nº y variables del LASSO a un λ y una semilla explícitos,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path de regularización trazado con la técnica de alta dimensión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(top 8–10 destacadas sobre el resto en gris) y leído como jerarquía de importancia, contraste con Ridge, comentario del efecto de agrupamiento del Elastic Net y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evidencia de que la lista no es estable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(reejecución con otra semilla: cuántas variables cambian).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(4)</w:t>
            </w:r>
          </w:p>
        </w:tc>
        <w:tc>
          <w:tcPr>
            <w:tcW w:type="dxa" w:w="90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26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b/>
                <w:bCs/>
                <w:color w:val="7A1526"/>
                <w:sz w:val="17"/>
                <w:szCs w:val="17"/>
              </w:rPr>
              <w:t xml:space="preserve">C5. Reproducibilidad y convención Excel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Sin cuaderno reproducible ni Excel de resultados.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(0)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Cuaderno presente pero cifras no trazables o sin Excel.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(1)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Resultados volcados a </w:t>
            </w:r>
            <w:r>
              <w:rPr>
                <w:rFonts w:ascii="Consolas" w:cs="Consolas" w:eastAsia="Consolas" w:hAnsi="Consolas"/>
                <w:color w:val="7A1526"/>
                <w:sz w:val="14"/>
                <w:szCs w:val="14"/>
              </w:rPr>
              <w:t xml:space="preserve">S05_resultados.xlsx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(hoja </w:t>
            </w:r>
            <w:r>
              <w:rPr>
                <w:rFonts w:ascii="Consolas" w:cs="Consolas" w:eastAsia="Consolas" w:hAnsi="Consolas"/>
                <w:color w:val="7A1526"/>
                <w:sz w:val="14"/>
                <w:szCs w:val="14"/>
              </w:rPr>
              <w:t xml:space="preserve">communities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) y cuaderno reproducible, pero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sin generar las gráficas al leer el Excel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o con alguna cifra no trazable.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(1,5)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Resultados en </w:t>
            </w:r>
            <w:r>
              <w:rPr>
                <w:rFonts w:ascii="Consolas" w:cs="Consolas" w:eastAsia="Consolas" w:hAnsi="Consolas"/>
                <w:color w:val="7A1526"/>
                <w:sz w:val="14"/>
                <w:szCs w:val="14"/>
              </w:rPr>
              <w:t xml:space="preserve">S05_resultados.xlsx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,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gráficas generadas al leer el Excel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, semilla fija y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toda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cifra del informe trazable.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(2)</w:t>
            </w:r>
          </w:p>
        </w:tc>
        <w:tc>
          <w:tcPr>
            <w:tcW w:type="dxa" w:w="90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26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b/>
                <w:bCs/>
                <w:color w:val="7A1526"/>
                <w:sz w:val="17"/>
                <w:szCs w:val="17"/>
              </w:rPr>
              <w:t xml:space="preserve">C6. Recomendación: interpretabilidad vs. desempeño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Sin recomendación o incoherente con el análisis.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(0)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Recomendación presente pero sin justificar el equilibrio.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(1)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Recomendación clara que menciona interpretabilidad y desempeño.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(2)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Decisión accionable que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justifica el equilibrio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al comparar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los dos modelos, λ_min y λ_1se, calculados y reportados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(nº de variables y MSE de cada uno; λ_1se se obtiene de </w:t>
            </w:r>
            <w:r>
              <w:rPr>
                <w:rFonts w:ascii="Consolas" w:cs="Consolas" w:eastAsia="Consolas" w:hAnsi="Consolas"/>
                <w:color w:val="7A1526"/>
                <w:sz w:val="14"/>
                <w:szCs w:val="14"/>
              </w:rPr>
              <w:t xml:space="preserve">mse_path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_ según el procedimiento del Paso 6.3 del laboratorio) y el coste de variables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expresado como rango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, sostenida en MSE + selección + path, en lenguaje de negocio,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sin afirmar causalidad ni suponer estabilidad perfecta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de la selección del LASSO.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(4)</w:t>
            </w:r>
          </w:p>
        </w:tc>
        <w:tc>
          <w:tcPr>
            <w:tcW w:type="dxa" w:w="90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4</w:t>
            </w:r>
          </w:p>
        </w:tc>
      </w:tr>
    </w:tbl>
    <w:p>
      <w:pPr>
        <w:spacing w:after="8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D9D9D9" w:sz="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8"/>
                <w:szCs w:val="18"/>
              </w:rPr>
              <w:t xml:space="preserve">Puntaje total = C1 + C2 + C3 + C4 + C5 + C6 = 3 + 4 + 3 + 4 + 2 + 4 = 20 puntos.</w:t>
            </w:r>
          </w:p>
        </w:tc>
      </w:tr>
    </w:tbl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4.1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Honestidad analítica: la referencia y la dependencia de la semilla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No hay una única preparación "correcta", pero el modelo debe ser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coherente con la evidencia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. Como referencia, tras descartar el bloque LEMAS (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→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100 predictores modelados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), escalar y partir 70/30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con la semilla 42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, el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OLS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(100 predictores) alcanza un MSE de test ≈ 0.01753; el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LASSO por CV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conserva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62 de 100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variables (deja fuera 38) con un MSE de test ≈ 0.01747 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→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iguala el error del OLS con menos variables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: ese es el mensaje central del entregable (interpretabilidad </w:t>
            </w:r>
            <w:r>
              <w:rPr>
                <w:rFonts w:ascii="Cambria" w:cs="Cambria" w:eastAsia="Cambria" w:hAnsi="Cambria"/>
                <w:i/>
                <w:iCs/>
                <w:color w:val="3A3A3A"/>
                <w:sz w:val="18"/>
                <w:szCs w:val="18"/>
              </w:rPr>
              <w:t xml:space="preserve">y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desempeño). RIDGE iguala al OLS (≈ 0.01744) pero mantiene las 100 variables; Elastic Net deja 72 de 100 (≈ 0.01747).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Estas cifras dependen de la semilla y no se califican como constantes.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Con siete semillas del split, el LASSO conserva entre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44 y 81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variables, el Elastic Net entre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42 y 82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y el MSE va de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0.01744 a 0.02043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; además, de las 62 variables de la ejecución de referencia solo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33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aparecen en las siete.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Un trabajo con otra semilla que reporte 68 o 74 variables es igual de correcto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, siempre que declare su semilla; lo que no se acepta es publicar un conteo sin semilla ni afirmar que la selección es estable sin haberlo comprobado. Lo que sí debe reproducirse es la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conclusión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: el LASSO iguala el error del OLS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con siempre menos variables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. Un trabajo que impute el bloque LEMAS al 84 %, no escale, elija λ de forma arbitraria, parta la CV sin barajar los pliegues o elija el modelo por el error de entrenamiento no puede alcanzar C1/C2/C3 altos.</w:t>
            </w:r>
          </w:p>
        </w:tc>
      </w:tr>
    </w:tbl>
    <w:p>
      <w:pPr>
        <w:spacing w:after="220"/>
      </w:pPr>
    </w:p>
    <w:p>
      <w:pPr>
        <w:spacing w:after="260" w:line="265"/>
      </w:pPr>
      <w:r>
        <w:rPr>
          <w:rFonts w:ascii="Cambria" w:cs="Cambria" w:eastAsia="Cambria" w:hAnsi="Cambria"/>
          <w:i/>
          <w:iCs/>
          <w:color w:val="6E6E6E"/>
          <w:sz w:val="18"/>
          <w:szCs w:val="18"/>
        </w:rPr>
        <w:t xml:space="preserve">El desempeño en este entregable se refuerza con el </w:t>
      </w:r>
      <w:r>
        <w:rPr>
          <w:rFonts w:ascii="Cambria" w:cs="Cambria" w:eastAsia="Cambria" w:hAnsi="Cambria"/>
          <w:b/>
          <w:bCs/>
          <w:i/>
          <w:iCs/>
          <w:color w:val="6E6E6E"/>
          <w:sz w:val="18"/>
          <w:szCs w:val="18"/>
        </w:rPr>
        <w:t xml:space="preserve">control corto</w:t>
      </w:r>
      <w:r>
        <w:rPr>
          <w:rFonts w:ascii="Cambria" w:cs="Cambria" w:eastAsia="Cambria" w:hAnsi="Cambria"/>
          <w:i/>
          <w:iCs/>
          <w:color w:val="6E6E6E"/>
          <w:sz w:val="18"/>
          <w:szCs w:val="18"/>
        </w:rPr>
        <w:t xml:space="preserve"> de cierre y con los ítems [S05] del banco de exámenes. Alimenta la fase «Modelado» del proyecto integrador. Lecturas de apoyo: ISLR cap. 6.1–6.4 (regularización) y Sección 5.1 (CV), en la bibliografía de la sesión.</w:t>
      </w:r>
    </w:p>
    <w:sectPr>
      <w:headerReference w:type="default" r:id="rId7"/>
      <w:footerReference w:type="default" r:id="rId8"/>
      <w:pgSz w:w="12240" w:h="15840" w:orient="portrait"/>
      <w:pgMar w:top="108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E6E6E"/>
        <w:sz w:val="14"/>
        <w:szCs w:val="14"/>
      </w:rPr>
      <w:t xml:space="preserve">Herramientas para la Ciencia de Datos, UPC, Facultad de Negocios     |     </w:t>
    </w:r>
    <w:r>
      <w:rPr>
        <w:rFonts w:ascii="Calibri" w:cs="Calibri" w:eastAsia="Calibri" w:hAnsi="Calibri"/>
        <w:b/>
        <w:bCs/>
        <w:color w:val="7A152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FE2E6" w:sz="4" w:space="4"/>
      </w:pBdr>
      <w:spacing w:after="120"/>
    </w:pPr>
    <w:r>
      <w:rPr>
        <w:rFonts w:ascii="Calibri" w:cs="Calibri" w:eastAsia="Calibri" w:hAnsi="Calibri"/>
        <w:color w:val="6E6E6E"/>
        <w:sz w:val="15"/>
        <w:szCs w:val="15"/>
      </w:rPr>
      <w:t xml:space="preserve">Entregable evaluable — Sesión S05: OLS vs. RIDGE vs. LASSO vs. Elastic Net en alta dimensión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color w:val="2D2D2D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Entregable evaluable — Sesión S05</dc:title>
  <dc:creator>UPC</dc:creator>
  <dc:description>OLS vs. RIDGE vs. LASSO vs. Elastic Net en alta dimensión (Communities and Crime)</dc:description>
  <cp:lastModifiedBy>Un-named</cp:lastModifiedBy>
  <cp:revision>1</cp:revision>
  <dcterms:created xsi:type="dcterms:W3CDTF">2026-09-14T20:46:16.210Z</dcterms:created>
  <dcterms:modified xsi:type="dcterms:W3CDTF">2026-09-14T20:46:16.211Z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