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7A1526"/>
          <w:spacing w:val="40"/>
          <w:sz w:val="15"/>
          <w:szCs w:val="15"/>
        </w:rPr>
        <w:t xml:space="preserve">UPC · FACULTAD DE NEGOCIOS · PROGRAMA ADMINISTRACIÓN Y CIENCIA DE DATOS PARA NEGOCIOS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2D2D2D"/>
          <w:sz w:val="36"/>
          <w:szCs w:val="36"/>
        </w:rPr>
        <w:t xml:space="preserve">Drills — Sesión S11</w:t>
      </w:r>
    </w:p>
    <w:p>
      <w:pPr>
        <w:pBdr>
          <w:bottom w:val="single" w:color="E4002B" w:sz="18" w:space="10"/>
        </w:pBdr>
        <w:spacing w:after="160"/>
      </w:pPr>
      <w:r>
        <w:rPr>
          <w:rFonts w:ascii="Cambria" w:cs="Cambria" w:eastAsia="Cambria" w:hAnsi="Cambria"/>
          <w:color w:val="7A1526"/>
          <w:sz w:val="28"/>
          <w:szCs w:val="28"/>
        </w:rPr>
        <w:t xml:space="preserve">Series temporales: descomposición, estacionariedad, ARIMA/SARIMA, ETS/Holt-Winters, Prophet y backtesting de origen móvil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CURSO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Herramientas para la Ciencia de Datos · Sesión 11 · Series temporales: descomposición, estacionariedad, ARIMA/SARIMA, ETS/Holt-Winters, Prophet y backtesting de origen móvil · Drills (ejercicios cortos) · Material del estudiante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MODALIDAD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Se resuelven en parejas · entrega individual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CALIFICACIÓN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El desempeño se refuerza en el control corto de cierre de la sesión y se evalúa de forma integral en el entregable (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evaluacion/entregable.docx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CUADERNO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notebook/S11_series_temporales.ipynb</w:t>
            </w:r>
          </w:p>
        </w:tc>
      </w:tr>
    </w:tbl>
    <w:p>
      <w:pPr>
        <w:spacing w:after="150"/>
      </w:pPr>
    </w:p>
    <w:p>
      <w:pPr>
        <w:spacing w:after="180" w:line="265"/>
      </w:pPr>
      <w:r>
        <w:rPr>
          <w:rFonts w:ascii="Cambria" w:cs="Cambria" w:eastAsia="Cambria" w:hAnsi="Cambria"/>
          <w:color w:val="3A3A3A"/>
          <w:sz w:val="18"/>
          <w:szCs w:val="18"/>
        </w:rPr>
        <w:t xml:space="preserve">Material del estudiante. Tres ejercicios de práctica de la Sesión 11 (Series temporales: descomposición, estacionariedad, ARIMA/SARIMA, ETS/Holt-Winters, Prophet y backtesting de origen móvil). Se resuelven en parejas; la entrega es individual. Español impersonal. </w:t>
      </w: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Material de apoyo: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el cuaderno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notebook/S11_series_temporales.ipynb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, la guía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plantillas/guia_acf_pacf.docx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(leer ACF/PACF para identificar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(p,d,q)(P,D,Q)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— Drill 1), la plantilla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plantillas/plantilla_pronostico_backtesting.docx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(pronóstico con intervalos y rolling-origin — Drills 2 y 3), el diccionario de variables en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data/diccionario_datos.md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y las lecturas en la bibliografía de la sesión. El entregable evaluable de la sesión está en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evaluacion/entregable.docx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. Convención del curso: el análisis se apoya en statsmodels.tsa (SARIMAX,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STL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, adfuller, kpss, acf/pacf, ExponentialSmoothing), pmdarima (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auto_arima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), prophet, pandas y numpy. </w:t>
      </w: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Convención de signos MA: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statsmodels (y R forecast) escriben la parte MA con el </w:t>
      </w: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operador de rezago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B (backshift,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By_t = y_(t-1)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; es el mismo operador que la guía llama B y que statsmodels rotula «L» en los nombres de coeficientes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ma.L1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/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ma.S.L12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) como (1+θB), por lo que los coeficientes MA/SMA del modelo aerolínea salen </w:t>
      </w: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negativos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; Box &amp; Jenkins (1970) usan (1-θB) y los reportan </w:t>
      </w: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positivos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— es la </w:t>
      </w: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misma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solución. </w:t>
      </w: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Fuera de alcance (no usar):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inferencia causal (S12), análisis de supervivencia (S13) ni sistemas de recomendación (S14); el forecasting con ML de esta sesión usa </w:t>
      </w: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features temporales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, no re-explica ningún modelo de clasificación/regresión previo. Los Drills 1 y 2 se razonan </w:t>
      </w: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de forma manual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sobre correlogramas y patrones estacionales (papel y lápiz); el Drill 3 interpreta la </w:t>
      </w: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tabla de backtesting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que produce el cuaderno sobre la serie mensual de demanda (Store Item Demand, tienda 1, producto 1).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1526" w:color="auto" w:val="clear"/>
            <w:tcMar>
              <w:top w:type="dxa" w:w="180"/>
              <w:left w:type="dxa" w:w="150"/>
              <w:bottom w:type="dxa" w:w="180"/>
              <w:right w:type="dxa" w:w="15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30"/>
                <w:sz w:val="15"/>
                <w:szCs w:val="15"/>
              </w:rPr>
              <w:t xml:space="preserve">OBJETIVO DE LOS DRILLS</w:t>
            </w:r>
          </w:p>
          <w:p>
            <w:pPr>
              <w:spacing w:line="280"/>
            </w:pPr>
            <w:r>
              <w:rPr>
                <w:rFonts w:ascii="Cambria" w:cs="Cambria" w:eastAsia="Cambria" w:hAnsi="Cambria"/>
                <w:color w:val="FFFFFF"/>
                <w:sz w:val="21"/>
                <w:szCs w:val="21"/>
              </w:rPr>
              <w:t xml:space="preserve">Practicar, en ejercicios cortos, las destrezas que califica la rúbrica del entregable: identificar el orden SARIMA a partir de la ACF/PACF, decidir entre estacionalidad aditiva y multiplicativa, e implementar y leer un backtesting de origen móvil comparado contra la línea base seasonal-naive.</w:t>
            </w:r>
          </w:p>
        </w:tc>
      </w:tr>
    </w:tbl>
    <w:p>
      <w:pPr>
        <w:spacing w:after="200"/>
      </w:pPr>
    </w:p>
    <w:p>
      <w:pPr>
        <w:keepNext/>
        <w:spacing w:after="110" w:before="240"/>
      </w:pPr>
      <w:r>
        <w:rPr>
          <w:rFonts w:ascii="Calibri" w:cs="Calibri" w:eastAsia="Calibri" w:hAnsi="Calibri"/>
          <w:b/>
          <w:bCs/>
          <w:color w:val="7A1526"/>
          <w:sz w:val="21"/>
          <w:szCs w:val="21"/>
        </w:rPr>
        <w:t xml:space="preserve">Contenido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6180"/>
        <w:gridCol w:w="2400"/>
      </w:tblGrid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Drill 1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Identificar (p,d,q)(P,D,Q) a partir de la ACF/PACF de una serie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Drill 2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Comparar Holt-Winters aditivo vs. multiplicativo según el patrón estacional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Drill 3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Implementar validación rolling-origin y comparar tres modelos por sMAPE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220"/>
      </w:pP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1.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DRILL 1 — IDENTIFICAR (P,D,Q)(P,D,Q) A PARTIR DE LA ACF/PACF DE UNA SERIE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/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Se trabaja con la serie mensual de pasajeros aéreos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AirPassengers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(144 meses, ene-1949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→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dic-1960), el caso canónico de Box &amp; Jenkins. La serie es multiplicativa (la amplitud estacional crece con el nivel), así que se modela sobre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log(passengers)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.</w:t>
      </w:r>
    </w:p>
    <w:p>
      <w:pPr>
        <w:spacing w:after="220"/>
      </w:pPr>
    </w:p>
    <w:p>
      <w:pPr>
        <w:spacing w:line="270"/>
      </w:pP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(a) Decisión de las diferencias d y D.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Sobre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log(passengers)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, el cuaderno obtiene:</w:t>
      </w:r>
    </w:p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Serie evaluada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ADF (H0: raíz unitaria)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KPSS (H0: estacionaria)</w:t>
            </w:r>
          </w:p>
        </w:tc>
      </w:tr>
      <w:tr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7A1526"/>
                <w:sz w:val="16"/>
                <w:szCs w:val="16"/>
              </w:rPr>
              <w:t xml:space="preserve">log(passengers)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 (sin diferenciar)</w:t>
            </w:r>
          </w:p>
        </w:tc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p ≈ </w:t>
            </w:r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0.42</w:t>
            </w:r>
          </w:p>
        </w:tc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p ≈ </w:t>
            </w:r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0.01</w:t>
            </w:r>
          </w:p>
        </w:tc>
      </w:tr>
      <w:tr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7A1526"/>
                <w:sz w:val="16"/>
                <w:szCs w:val="16"/>
              </w:rPr>
              <w:t xml:space="preserve">log(passengers)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 diferenciada regular (d=1) + estacional (D=1)</w:t>
            </w:r>
          </w:p>
        </w:tc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p ≈ </w:t>
            </w:r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0.0002</w:t>
            </w:r>
          </w:p>
        </w:tc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p &gt; 0.10</w:t>
            </w:r>
          </w:p>
        </w:tc>
      </w:tr>
    </w:tbl>
    <w:p>
      <w:pPr>
        <w:spacing w:after="220"/>
      </w:pP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Además, la ACF de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log(passengers)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sin diferenciar decae muy despacio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y muestra picos altos en los rezagos 12, 24, 36.</w:t>
      </w:r>
    </w:p>
    <w:p>
      <w:pPr>
        <w:spacing w:after="220"/>
      </w:pP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Con esa evidencia, decidir d y D y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justificar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con la matriz de decisión ADF/KPSS (recordar que sus hipótesis nulas son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opuestas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).</w:t>
      </w:r>
    </w:p>
    <w:p>
      <w:pPr>
        <w:spacing w:after="220"/>
      </w:pPr>
    </w:p>
    <w:p>
      <w:pPr>
        <w:spacing w:line="270"/>
      </w:pP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(b) Identificar q y Q con la ACF de la serie ya estacionaria.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Sobre la serie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doblemente diferenciada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(regular + estacional; n = 131 observaciones, banda de significancia ≈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±1.96/√131 ≈ ±0.17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), el correlograma muestra:</w:t>
      </w:r>
    </w:p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20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Rezago</w:t>
            </w:r>
          </w:p>
        </w:tc>
        <w:tc>
          <w:tcPr>
            <w:tcW w:type="dxa" w:w="20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ACF</w:t>
            </w:r>
          </w:p>
        </w:tc>
        <w:tc>
          <w:tcPr>
            <w:tcW w:type="dxa" w:w="20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¿Sobresale de la banda ±0.17?</w:t>
            </w:r>
          </w:p>
        </w:tc>
        <w:tc>
          <w:tcPr>
            <w:tcW w:type="dxa" w:w="20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PACF</w:t>
            </w:r>
          </w:p>
        </w:tc>
        <w:tc>
          <w:tcPr>
            <w:tcW w:type="dxa" w:w="20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¿Sobresale?</w:t>
            </w:r>
          </w:p>
        </w:tc>
      </w:tr>
      <w:tr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1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−0.34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sí (negativo)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−0.34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2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+0.10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no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−0.11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3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−0.19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~límite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−0.15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4–11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entre −0.15 y +0.12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no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valores que </w:t>
            </w:r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decaen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12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−0.39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sí (negativo)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−0.33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13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+0.15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no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−0.20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~límite</w:t>
            </w:r>
          </w:p>
        </w:tc>
      </w:tr>
      <w:tr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24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−0.05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no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valores que </w:t>
            </w:r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aún decaen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no</w:t>
            </w:r>
          </w:p>
        </w:tc>
      </w:tr>
    </w:tbl>
    <w:p>
      <w:pPr>
        <w:spacing w:after="220"/>
      </w:pP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Se pide: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1.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Leer la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parte regular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: ¿la ACF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corta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tras algún rezago bajo mientras la PACF decae, o al revés? Según la regla de Box-Jenkins (ACF corta en q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→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MA(q); PACF corta en p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→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AR(p)), proponer p y q.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2.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Leer la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parte estacional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(rezagos múltiplos de 12): ¿qué sugiere el pico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negativo y significativo en el lag 12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de la ACF junto con una PACF que decae en los rezagos estacionales? Proponer P y Q.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3.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Escribir el modelo SARIMA completo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(p,d,q)(P,D,Q)_12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que resulta de (a) y (b), y nombrarlo.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4.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pmdarima.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auto_arima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se ejecuta como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confirmación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y devuelve un orden cercano. Explicar en una frase por qué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auto_arima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no sustituye la lectura manual de la ACF/PACF, sino que la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corrobora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.</w:t>
            </w:r>
          </w:p>
        </w:tc>
      </w:tr>
    </w:tbl>
    <w:p>
      <w:pPr>
        <w:spacing w:after="220"/>
      </w:pPr>
    </w:p>
    <w:p>
      <w:pPr>
        <w:spacing w:after="260" w:line="265"/>
      </w:pP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(Pista: el resultado es el modelo de solo dos parámetros más famoso de la disciplina; sus dos coeficientes salen </w:t>
      </w:r>
      <w:r>
        <w:rPr>
          <w:rFonts w:ascii="Cambria" w:cs="Cambria" w:eastAsia="Cambria" w:hAnsi="Cambria"/>
          <w:b/>
          <w:bCs/>
          <w:i/>
          <w:iCs/>
          <w:color w:val="6E6E6E"/>
          <w:sz w:val="18"/>
          <w:szCs w:val="18"/>
        </w:rPr>
        <w:t xml:space="preserve">negativos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 en statsmodels por la convención de signos.)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2.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DRILL 2 — COMPARAR HOLT-WINTERS ADITIVO VS. MULTIPLICATIVO SEGÚN EL PATRÓN ESTACIONAL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/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Holt-Winters modela nivel + tendencia + estacionalidad. La estacionalidad puede ser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aditiva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(la amplitud del ciclo es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constante en unidades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: nivel + S) o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multiplicativa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(la amplitud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crece proporcionalmente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con el nivel: nivel × S). Se observan dos series mensuales:</w:t>
      </w:r>
    </w:p>
    <w:p>
      <w:pPr>
        <w:spacing w:after="220"/>
      </w:pPr>
    </w:p>
    <w:p>
      <w:pPr>
        <w:spacing w:line="270"/>
      </w:pP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Serie A — AirPassengers (pasajeros/mes).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Anclas verificadas de la serie: primer valor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112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(ene-1949), último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432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(dic-1960), mínimo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104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(nov-1949), máximo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622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(jul-1960). El diferencial entre el pico del verano y el valle del invierno de cada año pasa de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unas decenas de pasajeros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al inicio de la serie a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más de 200 pasajeros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hacia 1960, mientras que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en proporción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el pico se mantiene en torno a un porcentaje similar por encima del nivel anual.</w:t>
      </w:r>
    </w:p>
    <w:p>
      <w:pPr>
        <w:spacing w:after="220"/>
      </w:pPr>
    </w:p>
    <w:p>
      <w:pPr>
        <w:spacing w:line="270"/>
      </w:pP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Serie B — sensores de una planta (unidades/mes, ilustrativa).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El pico estacional está siempre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≈ 500 unidades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por encima del valle, tanto los años en que el nivel medio es 2 000 como los años en que sube a 6 000; en proporción, el mismo pico pasa de ser un 25 % a un 8 % del nivel.</w:t>
      </w:r>
    </w:p>
    <w:p>
      <w:pPr>
        <w:spacing w:after="220"/>
      </w:pP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Se pide: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1.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Para cada serie, decidir si la estacionalidad es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aditiva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o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multiplicativa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y justificar con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cómo escala la amplitud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(¿suma siempre lo mismo en unidades, o crece con el nivel?). Relacionarlo con lo que muestra el panel seasonal de una descomposición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STL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2.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Para la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Serie A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, indicar las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dos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formas equivalentes de tratar la estacionalidad multiplicativa con las herramientas de la sesión: (i) Holt-Winters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multiplicativo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ExponentialSmoothing(..., seasonal='mul')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), o (ii)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transformar a log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y ajustar en la escala logarítmica (aditiva) — que es exactamente lo que hace el modelo aerolínea. Explicar por qué son intercambiables.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3.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Un analista propone usar Holt-Winters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multiplicativo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sobre la demanda diaria de un producto que registra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días con 0 ventas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. Señalar por qué falla y qué alternativa aplica (pista: el factor multiplicativo con y = 0).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4.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En una frase de negocio: ¿qué error de planeación de inventario se comete al elegir una estacionalidad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aditiva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cuando en realidad la demanda crece de forma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multiplicativa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?</w:t>
            </w:r>
          </w:p>
        </w:tc>
      </w:tr>
    </w:tbl>
    <w:p>
      <w:pPr>
        <w:spacing w:after="220"/>
      </w:pPr>
    </w:p>
    <w:p>
      <w:pPr>
        <w:spacing w:after="260" w:line="265"/>
      </w:pP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(Pista: mirar los ejes del panel estacional de </w:t>
      </w:r>
      <w:r>
        <w:rPr>
          <w:rFonts w:ascii="Consolas" w:cs="Consolas" w:eastAsia="Consolas" w:hAnsi="Consolas"/>
          <w:i/>
          <w:iCs/>
          <w:color w:val="7A1526"/>
          <w:sz w:val="16"/>
          <w:szCs w:val="16"/>
        </w:rPr>
        <w:t xml:space="preserve">STL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 — no la escala del panel de tendencia — y preguntarse si la banda estacional se </w:t>
      </w:r>
      <w:r>
        <w:rPr>
          <w:rFonts w:ascii="Cambria" w:cs="Cambria" w:eastAsia="Cambria" w:hAnsi="Cambria"/>
          <w:b/>
          <w:bCs/>
          <w:i/>
          <w:iCs/>
          <w:color w:val="6E6E6E"/>
          <w:sz w:val="18"/>
          <w:szCs w:val="18"/>
        </w:rPr>
        <w:t xml:space="preserve">ensancha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 con el tiempo.)</w:t>
      </w:r>
    </w:p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2.1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Robustez de datos — ¿qué pasaría si...?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Faltaran dos meses completos de la serie histórica —por un cambio de sistema de punto de venta— y esos huecos se rellenaran con ceros en vez de marcarse como datos faltantes? ¿Cómo distorsionaría eso la estacionalidad estimada y el pronóstico siguiente? </w:t>
            </w:r>
            <w:r>
              <w:rPr>
                <w:rFonts w:ascii="Cambria" w:cs="Cambria" w:eastAsia="Cambria" w:hAnsi="Cambria"/>
                <w:i/>
                <w:iCs/>
                <w:color w:val="3A3A3A"/>
                <w:sz w:val="18"/>
                <w:szCs w:val="18"/>
              </w:rPr>
              <w:t xml:space="preserve">(La identificación correcta de la estructura de la serie está en la guía de supuestos de la sesión.)</w:t>
            </w:r>
          </w:p>
        </w:tc>
      </w:tr>
    </w:tbl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3.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DRILL 3 — IMPLEMENTAR VALIDACIÓN ROLLING-ORIGIN Y COMPARAR TRES MODELOS POR SMAPE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/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Sobre la serie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mensual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de demanda de la tienda 1 — producto 1 de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Store Item Demand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(60 meses, 2013–2017), el cuaderno implementa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backtesting de origen móvil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con ventana expansiva (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initial=36, horizon=6, step=6, m=12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, en meses). Los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orígenes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de pronóstico son, por tanto, los meses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36, 42, 48 y 54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(4 cortes), y en cada uno se entrena con todo el pasado y se pronostican los 6 meses siguientes. Se comparan tres modelos por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sMAPE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medio sobre los cuatro orígenes; la línea base obligatoria es el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seasonal-naive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(repetir el mismo mes del año anterior). Resultado del cuaderno:</w:t>
      </w:r>
    </w:p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Modelo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sMAPE medio (%)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¿Supera al seasonal-naive?</w:t>
            </w:r>
          </w:p>
        </w:tc>
      </w:tr>
      <w:tr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seasonal-naive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 (línea base: </w:t>
            </w:r>
            <w:r>
              <w:rPr>
                <w:rFonts w:ascii="Consolas" w:cs="Consolas" w:eastAsia="Consolas" w:hAnsi="Consolas"/>
                <w:b/>
                <w:bCs/>
                <w:color w:val="7A1526"/>
                <w:sz w:val="16"/>
                <w:szCs w:val="16"/>
              </w:rPr>
              <w:t xml:space="preserve">F_t = y_(t-12)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)</w:t>
            </w:r>
          </w:p>
        </w:tc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5.78</w:t>
            </w:r>
          </w:p>
        </w:tc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— (referencia)</w:t>
            </w:r>
          </w:p>
        </w:tc>
      </w:tr>
      <w:tr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ETS Holt-Winters aditivo</w:t>
            </w:r>
          </w:p>
        </w:tc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5.50</w:t>
            </w:r>
          </w:p>
        </w:tc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sí (−0.28)</w:t>
            </w:r>
          </w:p>
        </w:tc>
      </w:tr>
      <w:tr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SARIMA</w:t>
            </w:r>
          </w:p>
        </w:tc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4.09</w:t>
            </w:r>
          </w:p>
        </w:tc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sí (−1.69)</w:t>
            </w:r>
          </w:p>
        </w:tc>
      </w:tr>
    </w:tbl>
    <w:p>
      <w:pPr>
        <w:spacing w:after="220"/>
      </w:pPr>
    </w:p>
    <w:p>
      <w:pPr>
        <w:spacing w:line="270"/>
      </w:pPr>
      <w:r>
        <w:rPr>
          <w:rFonts w:ascii="Cambria" w:cs="Cambria" w:eastAsia="Cambria" w:hAnsi="Cambria"/>
          <w:i/>
          <w:iCs/>
          <w:color w:val="2D2D2D"/>
          <w:sz w:val="20"/>
          <w:szCs w:val="20"/>
        </w:rPr>
        <w:t xml:space="preserve">(sMAPE en la definición de M4: </w:t>
      </w:r>
      <w:r>
        <w:rPr>
          <w:rFonts w:ascii="Consolas" w:cs="Consolas" w:eastAsia="Consolas" w:hAnsi="Consolas"/>
          <w:i/>
          <w:iCs/>
          <w:color w:val="7A1526"/>
          <w:sz w:val="18"/>
          <w:szCs w:val="18"/>
        </w:rPr>
        <w:t xml:space="preserve">sMAPE = (1/n)·Σt [2·|A_t − F_t| / (|A_t| + |F_t|)] × 100</w:t>
      </w:r>
      <w:r>
        <w:rPr>
          <w:rFonts w:ascii="Cambria" w:cs="Cambria" w:eastAsia="Cambria" w:hAnsi="Cambria"/>
          <w:i/>
          <w:iCs/>
          <w:color w:val="2D2D2D"/>
          <w:sz w:val="20"/>
          <w:szCs w:val="20"/>
        </w:rPr>
        <w:t xml:space="preserve">, rango 0–200 %; frente al </w:t>
      </w:r>
      <w:r>
        <w:rPr>
          <w:rFonts w:ascii="Consolas" w:cs="Consolas" w:eastAsia="Consolas" w:hAnsi="Consolas"/>
          <w:i/>
          <w:iCs/>
          <w:color w:val="7A1526"/>
          <w:sz w:val="18"/>
          <w:szCs w:val="18"/>
        </w:rPr>
        <w:t xml:space="preserve">RMSE = √[(1/n)·Σt (A_t − F_t)^2]</w:t>
      </w:r>
      <w:r>
        <w:rPr>
          <w:rFonts w:ascii="Cambria" w:cs="Cambria" w:eastAsia="Cambria" w:hAnsi="Cambria"/>
          <w:i/>
          <w:iCs/>
          <w:color w:val="2D2D2D"/>
          <w:sz w:val="20"/>
          <w:szCs w:val="20"/>
        </w:rPr>
        <w:t xml:space="preserve">, en unidades de la serie.)</w:t>
      </w:r>
    </w:p>
    <w:p>
      <w:pPr>
        <w:spacing w:after="220"/>
      </w:pP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Se pide: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1.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Identificar el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modelo campeón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y justificar el criterio (menor sMAPE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medio sobre los orígenes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, no el mejor en un origen aislado). ¿Por cuánto supera a la línea base?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2.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¿Por qué es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imprescindible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incluir el seasonal-naive en la tabla? ¿Qué se concluiría si el mejor modelo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no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lo superara?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3.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Explicar por qué un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K-fold aleatorio clásico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(mezclar meses al azar en train/test) daría una precisión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ilusoria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en esta serie, y qué garantiza en cambio el esquema de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origen móvil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. Nombrar el problema que se evita.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4.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Enumerar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dos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medidas concretas para asegurar que el backtesting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no tenga fuga de información temporal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(por ejemplo, al construir features de lag/rolling o al escalar). ¿Por qué el seasonal-naive de este esquema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solo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puede mirar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y_(t-12)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y nunca un valor posterior al origen?</w:t>
            </w:r>
          </w:p>
        </w:tc>
      </w:tr>
    </w:tbl>
    <w:p>
      <w:pPr>
        <w:spacing w:after="220"/>
      </w:pPr>
    </w:p>
    <w:p>
      <w:pPr>
        <w:spacing w:after="260" w:line="265"/>
      </w:pP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(Pista: la fuga temporal es el error central de la sesión; retoma el leakage de S10, pero ahora aplicado al </w:t>
      </w:r>
      <w:r>
        <w:rPr>
          <w:rFonts w:ascii="Cambria" w:cs="Cambria" w:eastAsia="Cambria" w:hAnsi="Cambria"/>
          <w:b/>
          <w:bCs/>
          <w:i/>
          <w:iCs/>
          <w:color w:val="6E6E6E"/>
          <w:sz w:val="18"/>
          <w:szCs w:val="18"/>
        </w:rPr>
        <w:t xml:space="preserve">eje del tiempo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.)</w:t>
      </w:r>
    </w:p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3.1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Proyección — ¿qué pasaría si...?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Aquí se pronosticó que la demanda subiría. ¿Qué pasaría si, además, alguien preguntara si esa subida la CAUSÓ una campaña de marketing reciente, y no simplemente la tendencia que la serie ya traía? ¿Alcanza un buen pronóstico para responder esa pregunta? </w:t>
            </w:r>
            <w:r>
              <w:rPr>
                <w:rFonts w:ascii="Cambria" w:cs="Cambria" w:eastAsia="Cambria" w:hAnsi="Cambria"/>
                <w:i/>
                <w:iCs/>
                <w:color w:val="3A3A3A"/>
                <w:sz w:val="18"/>
                <w:szCs w:val="18"/>
              </w:rPr>
              <w:t xml:space="preserve">(No se resuelve aquí — distinguir correlación de causalidad es el tema de la S12.)</w:t>
            </w:r>
          </w:p>
        </w:tc>
      </w:tr>
    </w:tbl>
    <w:p>
      <w:pPr>
        <w:spacing w:after="220"/>
      </w:pPr>
    </w:p>
    <w:p>
      <w:pPr>
        <w:spacing w:after="260" w:line="265"/>
      </w:pP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El procedimiento y las respuestas los conserva el docente. El desempeño en estos drills se refuerza en el </w:t>
      </w:r>
      <w:r>
        <w:rPr>
          <w:rFonts w:ascii="Cambria" w:cs="Cambria" w:eastAsia="Cambria" w:hAnsi="Cambria"/>
          <w:b/>
          <w:bCs/>
          <w:i/>
          <w:iCs/>
          <w:color w:val="6E6E6E"/>
          <w:sz w:val="18"/>
          <w:szCs w:val="18"/>
        </w:rPr>
        <w:t xml:space="preserve">control corto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 de cierre de la sesión y se evalúa de forma integral en </w:t>
      </w:r>
      <w:r>
        <w:rPr>
          <w:rFonts w:ascii="Consolas" w:cs="Consolas" w:eastAsia="Consolas" w:hAnsi="Consolas"/>
          <w:i/>
          <w:iCs/>
          <w:color w:val="7A1526"/>
          <w:sz w:val="16"/>
          <w:szCs w:val="16"/>
        </w:rPr>
        <w:t xml:space="preserve">evaluacion/entregable.docx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. Toda cifra proviene del </w:t>
      </w:r>
      <w:r>
        <w:rPr>
          <w:rFonts w:ascii="Consolas" w:cs="Consolas" w:eastAsia="Consolas" w:hAnsi="Consolas"/>
          <w:i/>
          <w:iCs/>
          <w:color w:val="7A1526"/>
          <w:sz w:val="16"/>
          <w:szCs w:val="16"/>
        </w:rPr>
        <w:t xml:space="preserve">cuaderno/resultados/S11_resultados.xlsx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 (operativo = venv); las cifras publicadas (coeficientes de R, MAPE de la documentación de Prophet) van etiquetadas como benchmark.</w:t>
      </w:r>
    </w:p>
    <w:sectPr>
      <w:headerReference w:type="default" r:id="rId7"/>
      <w:footerReference w:type="default" r:id="rId8"/>
      <w:pgSz w:w="12240" w:h="15840" w:orient="portrait"/>
      <w:pgMar w:top="108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6E6E"/>
        <w:sz w:val="14"/>
        <w:szCs w:val="14"/>
      </w:rPr>
      <w:t xml:space="preserve">Herramientas para la Ciencia de Datos, UPC, Facultad de Negocios     |     </w:t>
    </w:r>
    <w:r>
      <w:rPr>
        <w:rFonts w:ascii="Calibri" w:cs="Calibri" w:eastAsia="Calibri" w:hAnsi="Calibri"/>
        <w:b/>
        <w:bCs/>
        <w:color w:val="7A152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FE2E6" w:sz="4" w:space="4"/>
      </w:pBdr>
      <w:spacing w:after="120"/>
    </w:pPr>
    <w:r>
      <w:rPr>
        <w:rFonts w:ascii="Calibri" w:cs="Calibri" w:eastAsia="Calibri" w:hAnsi="Calibri"/>
        <w:color w:val="6E6E6E"/>
        <w:sz w:val="15"/>
        <w:szCs w:val="15"/>
      </w:rPr>
      <w:t xml:space="preserve">Drills — Sesión S11: series temporales, ARIMA/SARIMA, ETS/Holt-Winters, Prophet y backtesting rolling-origin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2D2D2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Drills — Sesión S11</dc:title>
  <dc:creator>UPC</dc:creator>
  <dc:description>Series temporales: descomposición, estacionariedad, ARIMA/SARIMA, ETS/Holt-Winters, Prophet y backtesting de origen móvil</dc:description>
  <cp:lastModifiedBy>Un-named</cp:lastModifiedBy>
  <cp:revision>1</cp:revision>
  <dcterms:created xsi:type="dcterms:W3CDTF">2026-09-14T20:46:19.046Z</dcterms:created>
  <dcterms:modified xsi:type="dcterms:W3CDTF">2026-09-14T20:46:19.047Z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