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pronóstico — intervalos de predicción y backtesting de origen móvil (rolling-origin)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S11 — Herramientas para la Ciencia de Datos (UPC). Registra, bajo un </w:t>
      </w:r>
      <w:r>
        <w:rPr>
          <w:b/>
          <w:color w:val="2D2D2D"/>
        </w:rPr>
        <w:t>mismo protocolo reproducible</w:t>
      </w:r>
      <w:r>
        <w:rPr>
          <w:color w:val="2D2D2D"/>
        </w:rPr>
        <w:t xml:space="preserve">, un pronóstico de serie temporal con su </w:t>
      </w:r>
      <w:r>
        <w:rPr>
          <w:b/>
          <w:color w:val="2D2D2D"/>
        </w:rPr>
        <w:t>intervalo de predicción</w:t>
      </w:r>
      <w:r>
        <w:rPr>
          <w:color w:val="2D2D2D"/>
        </w:rPr>
        <w:t xml:space="preserve"> y su validación por </w:t>
      </w:r>
      <w:r>
        <w:rPr>
          <w:b/>
          <w:color w:val="2D2D2D"/>
        </w:rPr>
        <w:t>backtesting de origen móvil</w:t>
      </w:r>
      <w:r>
        <w:rPr>
          <w:color w:val="2D2D2D"/>
        </w:rPr>
        <w:t xml:space="preserve"> (rolling-origin): identificación del modelo, métricas por origen (RMSE / MAPE / </w:t>
      </w:r>
      <w:r>
        <w:rPr>
          <w:b/>
          <w:color w:val="2D2D2D"/>
        </w:rPr>
        <w:t>sMAPE</w:t>
      </w:r>
      <w:r>
        <w:rPr>
          <w:color w:val="2D2D2D"/>
        </w:rPr>
        <w:t xml:space="preserve">), comparación obligatoria contra el </w:t>
      </w:r>
      <w:r>
        <w:rPr>
          <w:b/>
          <w:color w:val="2D2D2D"/>
        </w:rPr>
        <w:t>seasonal-naive</w:t>
      </w:r>
      <w:r>
        <w:rPr>
          <w:color w:val="2D2D2D"/>
        </w:rPr>
        <w:t xml:space="preserve"> (línea base), elección del campeón y espacio para las curvas leídas del Excel. Se completa con los resultados del cuaderno </w:t>
      </w:r>
      <w:r>
        <w:rPr>
          <w:rFonts w:ascii="Consolas" w:hAnsi="Consolas"/>
          <w:color w:val="2D2D2D"/>
          <w:sz w:val="19"/>
        </w:rPr>
        <w:t>notebook/S11_series_temporales.ipynb</w:t>
      </w:r>
      <w:r>
        <w:rPr>
          <w:color w:val="2D2D2D"/>
        </w:rPr>
        <w:t xml:space="preserve"> y del archivo </w:t>
      </w:r>
      <w:r>
        <w:rPr>
          <w:rFonts w:ascii="Consolas" w:hAnsi="Consolas"/>
          <w:color w:val="2D2D2D"/>
          <w:sz w:val="19"/>
        </w:rPr>
        <w:t>resultados/S11_resultados.xlsx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series_airpassengers</w:t>
      </w:r>
      <w:r>
        <w:rPr>
          <w:color w:val="2D2D2D"/>
        </w:rPr>
        <w:t xml:space="preserve">). La lectura conceptual de la identificación (p,d,q) está en la guía hermana </w:t>
      </w:r>
      <w:r>
        <w:rPr>
          <w:rFonts w:ascii="Consolas" w:hAnsi="Consolas"/>
          <w:color w:val="2D2D2D"/>
          <w:sz w:val="19"/>
        </w:rPr>
        <w:t>plantillas/guia_acf_pacf.docx</w:t>
      </w:r>
      <w:r>
        <w:rPr>
          <w:color w:val="2D2D2D"/>
        </w:rPr>
        <w:t>. Español impersonal. Fechas DD/MM/YYYY, UTF-8. Términos técnicos en inglés (rolling-origin, backtesting, seasonal-naive, sMAPE, holdout).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t xml:space="preserve">Un pronóstico solo es creíble si se acompaña de dos elementos: una </w:t>
      </w:r>
      <w:r>
        <w:rPr>
          <w:b/>
        </w:rPr>
        <w:t>medida de incertidumbre</w:t>
      </w:r>
      <w:r>
        <w:t xml:space="preserve"> (el intervalo de predicción, que se ensancha con el horizonte) y una </w:t>
      </w:r>
      <w:r>
        <w:rPr>
          <w:b/>
        </w:rPr>
        <w:t>validación honesta</w:t>
      </w:r>
      <w:r>
        <w:t xml:space="preserve"> de su error futuro. La validación honesta de una serie temporal es el </w:t>
      </w:r>
      <w:r>
        <w:rPr>
          <w:b/>
        </w:rPr>
        <w:t>backtesting de origen móvil</w:t>
      </w:r>
      <w:r>
        <w:t xml:space="preserve">: se fija un origen de pronóstico, se entrena con todo lo anterior, se pronostica un horizonte </w:t>
      </w:r>
      <w:r>
        <w:rPr>
          <w:rFonts w:ascii="Consolas" w:hAnsi="Consolas"/>
          <w:color w:val="9B1B30"/>
          <w:sz w:val="19"/>
        </w:rPr>
        <w:t>h</w:t>
      </w:r>
      <w:r>
        <w:t xml:space="preserve"> hacia adelante, se compara con lo real y se </w:t>
      </w:r>
      <w:r>
        <w:rPr>
          <w:b/>
        </w:rPr>
        <w:t>avanza el origen</w:t>
      </w:r>
      <w:r>
        <w:t xml:space="preserve"> y se repite el proceso. Genera múltiples evaluaciones </w:t>
      </w:r>
      <w:r>
        <w:rPr>
          <w:b/>
        </w:rPr>
        <w:t>que respetan el orden temporal</w:t>
      </w:r>
      <w:r>
        <w:t xml:space="preserve">, a diferencia de un K-fold aleatorio que mezclaría pasado y futuro y produciría un optimismo ilusorio. La decisión de </w:t>
      </w:r>
      <w:r>
        <w:rPr>
          <w:b/>
        </w:rPr>
        <w:t>qué modelo desplegar</w:t>
      </w:r>
      <w:r>
        <w:t xml:space="preserve"> se toma al comparar el error promediado sobre los orígenes contra una </w:t>
      </w:r>
      <w:r>
        <w:rPr>
          <w:b/>
        </w:rPr>
        <w:t>línea base obligatoria</w:t>
      </w:r>
      <w:r>
        <w:t xml:space="preserve"> (el seasonal-naive): si un modelo complejo no supera al naive estacional, no aporta. «Reproducible» significa que cualquiera obtiene los mismos números al fijar el corte del holdout, el esquema de origen móvil y las versiones.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Metadatos del pronóstico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a completar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Analista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del análisis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Serie / fuente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Frecuencia y periodo estacional </w:t>
            </w:r>
            <w:r>
              <w:rPr>
                <w:rFonts w:ascii="Consolas" w:hAnsi="Consolas"/>
                <w:color w:val="9B1B30"/>
                <w:sz w:val="19"/>
              </w:rPr>
              <w:t>m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 (mensual → m = 12)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Longitud del histórico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 observaciones [___ a ___]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Variable objetivo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Transformación aplicada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___ (log si la serie es multiplicativa; ninguna si es aditiva)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Herramienta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Python del venv (</w:t>
            </w:r>
            <w:r>
              <w:rPr>
                <w:rFonts w:ascii="Consolas" w:hAnsi="Consolas"/>
                <w:color w:val="9B1B30"/>
                <w:sz w:val="19"/>
              </w:rPr>
              <w:t>statsmodels</w:t>
            </w:r>
            <w:r>
              <w:rPr>
                <w:sz w:val="19"/>
              </w:rPr>
              <w:t xml:space="preserve"> SARIMAX / ETSModel, </w:t>
            </w:r>
            <w:r>
              <w:rPr>
                <w:rFonts w:ascii="Consolas" w:hAnsi="Consolas"/>
                <w:color w:val="9B1B30"/>
                <w:sz w:val="19"/>
              </w:rPr>
              <w:t>pmdarima.auto_arima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prophet</w:t>
            </w:r>
            <w:r>
              <w:rPr>
                <w:sz w:val="19"/>
              </w:rPr>
              <w:t xml:space="preserve">) — </w:t>
            </w:r>
            <w:r>
              <w:rPr>
                <w:rFonts w:ascii="Consolas" w:hAnsi="Consolas"/>
                <w:color w:val="9B1B30"/>
                <w:sz w:val="19"/>
              </w:rPr>
              <w:t>notebook/S11_series_temporales.ipynb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Identificación del modelo (Box-Jenkins: identificación → estimación → diagnóstico)</w:t>
      </w:r>
    </w:p>
    <w:p>
      <w:pPr>
        <w:jc w:val="both"/>
      </w:pPr>
      <w:r>
        <w:t xml:space="preserve">Antes de pronosticar se identifica y valida el modelo. Registrar la ruta seguida (el detalle de la lectura de ACF/PACF está en </w:t>
      </w:r>
      <w:r>
        <w:rPr>
          <w:rFonts w:ascii="Consolas" w:hAnsi="Consolas"/>
          <w:color w:val="9B1B30"/>
          <w:sz w:val="19"/>
        </w:rPr>
        <w:t>plantillas/guia_acf_pacf.docx</w:t>
      </w:r>
      <w:r>
        <w:t>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se registra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Descomposición (STL)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¿tendencia? ¿estacionalidad creciente (multiplicativa) o constante (aditiva)?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Estacionariedad (ADF y KPSS)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¿serie estacionaria? órdenes de diferenciación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(regular) y </w:t>
            </w:r>
            <w:r>
              <w:rPr>
                <w:rFonts w:ascii="Consolas" w:hAnsi="Consolas"/>
                <w:color w:val="9B1B30"/>
                <w:sz w:val="19"/>
              </w:rPr>
              <w:t>D</w:t>
            </w:r>
            <w:r>
              <w:rPr>
                <w:sz w:val="19"/>
              </w:rPr>
              <w:t xml:space="preserve"> (estacional)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 = ___ — D = ___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ACF / PACF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patrón → órdenes </w:t>
            </w:r>
            <w:r>
              <w:rPr>
                <w:rFonts w:ascii="Consolas" w:hAnsi="Consolas"/>
                <w:color w:val="9B1B30"/>
                <w:sz w:val="19"/>
              </w:rPr>
              <w:t>(p,q)</w:t>
            </w:r>
            <w:r>
              <w:rPr>
                <w:sz w:val="19"/>
              </w:rPr>
              <w:t xml:space="preserve"> regulares y </w:t>
            </w:r>
            <w:r>
              <w:rPr>
                <w:rFonts w:ascii="Consolas" w:hAnsi="Consolas"/>
                <w:color w:val="9B1B30"/>
                <w:sz w:val="19"/>
              </w:rPr>
              <w:t>(P,Q)</w:t>
            </w:r>
            <w:r>
              <w:rPr>
                <w:sz w:val="19"/>
              </w:rPr>
              <w:t xml:space="preserve"> estacionales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Orden propuesto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(p,d,q)(P,D,Q)m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(, )(, 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Estimación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coeficientes significativos, AIC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AIC = ___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Diagnóstico de residuos (Ljung-Box)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¿residuos ≈ ruido blanco? p-valor </w:t>
            </w:r>
            <w:r>
              <w:rPr>
                <w:b/>
                <w:sz w:val="19"/>
              </w:rPr>
              <w:t>&gt; 0,05</w:t>
            </w:r>
            <w:r>
              <w:rPr>
                <w:sz w:val="19"/>
              </w:rPr>
              <w:t xml:space="preserve"> = bien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 = ___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oro:</w:t>
      </w:r>
      <w:r>
        <w:rPr>
          <w:color w:val="2D2D2D"/>
        </w:rPr>
        <w:t xml:space="preserve"> se elige el modelo con menor AIC </w:t>
      </w:r>
      <w:r>
        <w:rPr>
          <w:b/>
          <w:color w:val="2D2D2D"/>
        </w:rPr>
        <w:t>entre los que pasan el diagnóstico de residuos</w:t>
      </w:r>
      <w:r>
        <w:rPr>
          <w:color w:val="2D2D2D"/>
        </w:rPr>
        <w:t xml:space="preserve"> (ruido blanco). Un AIC bajo con residuos autocorrelacionados no vale. El AIC solo compara modelos ajustados sobre la </w:t>
      </w:r>
      <w:r>
        <w:rPr>
          <w:b/>
          <w:color w:val="2D2D2D"/>
        </w:rPr>
        <w:t>misma</w:t>
      </w:r>
      <w:r>
        <w:rPr>
          <w:color w:val="2D2D2D"/>
        </w:rPr>
        <w:t xml:space="preserve"> transformación de la serie (no se comparan AIC con y sin log).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Protocolo de backtesting de origen móvil (fijar ANTES de comparar)</w:t>
      </w:r>
    </w:p>
    <w:p>
      <w:pPr>
        <w:jc w:val="both"/>
      </w:pPr>
      <w:r>
        <w:t xml:space="preserve">Un backtesting solo es válido si </w:t>
      </w:r>
      <w:r>
        <w:rPr>
          <w:b/>
        </w:rPr>
        <w:t>todos los modelos corren bajo el mismo esquema</w:t>
      </w:r>
      <w:r>
        <w:t>. Fijar y declarar al pie del cuaderno:</w:t>
      </w:r>
    </w:p>
    <w:p>
      <w:pPr>
        <w:pStyle w:val="ListBullet"/>
        <w:spacing w:after="40"/>
      </w:pPr>
      <w:r>
        <w:rPr>
          <w:b/>
        </w:rPr>
        <w:t>Ventana</w:t>
      </w:r>
      <w:r>
        <w:t xml:space="preserve"> expansiva (crece con cada origen) o deslizante (tamaño fijo). Registrar cuál.</w:t>
      </w:r>
    </w:p>
    <w:p>
      <w:pPr>
        <w:pStyle w:val="ListBullet"/>
        <w:spacing w:after="40"/>
      </w:pPr>
      <w:r>
        <w:rPr>
          <w:b/>
        </w:rPr>
        <w:t>Origen inicial</w:t>
      </w:r>
      <w:r>
        <w:t xml:space="preserve"> </w:t>
      </w:r>
      <w:r>
        <w:rPr>
          <w:rFonts w:ascii="Consolas" w:hAnsi="Consolas"/>
          <w:color w:val="9B1B30"/>
          <w:sz w:val="19"/>
        </w:rPr>
        <w:t>initial</w:t>
      </w:r>
      <w:r>
        <w:t xml:space="preserve"> (mínimo de historia antes del primer pronóstico), </w:t>
      </w:r>
      <w:r>
        <w:rPr>
          <w:b/>
        </w:rPr>
        <w:t>horizonte</w:t>
      </w:r>
      <w:r>
        <w:t xml:space="preserve"> </w:t>
      </w:r>
      <w:r>
        <w:rPr>
          <w:rFonts w:ascii="Consolas" w:hAnsi="Consolas"/>
          <w:color w:val="9B1B30"/>
          <w:sz w:val="19"/>
        </w:rPr>
        <w:t>h</w:t>
      </w:r>
      <w:r>
        <w:t xml:space="preserve"> y </w:t>
      </w:r>
      <w:r>
        <w:rPr>
          <w:b/>
        </w:rPr>
        <w:t>paso</w:t>
      </w:r>
      <w:r>
        <w:t xml:space="preserve"> </w:t>
      </w:r>
      <w:r>
        <w:rPr>
          <w:rFonts w:ascii="Consolas" w:hAnsi="Consolas"/>
          <w:color w:val="9B1B30"/>
          <w:sz w:val="19"/>
        </w:rPr>
        <w:t>step</w:t>
      </w:r>
      <w:r>
        <w:t xml:space="preserve"> (cuántos periodos avanza el origen). Ejemplo del caso de negocio: </w:t>
      </w:r>
      <w:r>
        <w:rPr>
          <w:rFonts w:ascii="Consolas" w:hAnsi="Consolas"/>
          <w:color w:val="9B1B30"/>
          <w:sz w:val="19"/>
        </w:rPr>
        <w:t>initial = 36</w:t>
      </w:r>
      <w:r>
        <w:t xml:space="preserve">, </w:t>
      </w:r>
      <w:r>
        <w:rPr>
          <w:rFonts w:ascii="Consolas" w:hAnsi="Consolas"/>
          <w:color w:val="9B1B30"/>
          <w:sz w:val="19"/>
        </w:rPr>
        <w:t>horizon = 6</w:t>
      </w:r>
      <w:r>
        <w:t xml:space="preserve">, </w:t>
      </w:r>
      <w:r>
        <w:rPr>
          <w:rFonts w:ascii="Consolas" w:hAnsi="Consolas"/>
          <w:color w:val="9B1B30"/>
          <w:sz w:val="19"/>
        </w:rPr>
        <w:t>step = 6</w:t>
      </w:r>
      <w:r>
        <w:t xml:space="preserve">, </w:t>
      </w:r>
      <w:r>
        <w:rPr>
          <w:rFonts w:ascii="Consolas" w:hAnsi="Consolas"/>
          <w:color w:val="9B1B30"/>
          <w:sz w:val="19"/>
        </w:rPr>
        <w:t>m = 12</w:t>
      </w:r>
      <w:r>
        <w:t>.</w:t>
      </w:r>
    </w:p>
    <w:p>
      <w:pPr>
        <w:pStyle w:val="ListBullet"/>
        <w:spacing w:after="40"/>
      </w:pPr>
      <w:r>
        <w:rPr>
          <w:b/>
        </w:rPr>
        <w:t>Métrica principal</w:t>
      </w:r>
      <w:r>
        <w:t xml:space="preserve">: </w:t>
      </w:r>
      <w:r>
        <w:rPr>
          <w:b/>
        </w:rPr>
        <w:t>sMAPE</w:t>
      </w:r>
      <w:r>
        <w:t xml:space="preserve"> (métrica oficial de la competencia y de M4), definida en la ecuación (2), rango 0–200 %. Se reportan además </w:t>
      </w:r>
      <w:r>
        <w:rPr>
          <w:b/>
        </w:rPr>
        <w:t>RMSE</w:t>
      </w:r>
      <w:r>
        <w:t xml:space="preserve"> (3) (en unidades de la serie, penaliza errores grandes) y </w:t>
      </w:r>
      <w:r>
        <w:rPr>
          <w:b/>
        </w:rPr>
        <w:t>MAPE</w:t>
      </w:r>
      <w:r>
        <w:t xml:space="preserve"> (1) (adimensional; diverge si el real ≈ 0).</w:t>
      </w:r>
    </w:p>
    <w:p>
      <w:pPr>
        <w:pStyle w:val="ListBullet"/>
        <w:spacing w:after="40"/>
      </w:pPr>
      <w:r>
        <w:rPr>
          <w:b/>
        </w:rPr>
        <w:t>Línea base obligatoria</w:t>
      </w:r>
      <w:r>
        <w:t xml:space="preserve">: </w:t>
      </w:r>
      <w:r>
        <w:rPr>
          <w:b/>
        </w:rPr>
        <w:t>seasonal-naive</w:t>
      </w:r>
      <w:r>
        <w:t xml:space="preserve"> (repetir el mismo mes del año anterior, lag </w:t>
      </w:r>
      <w:r>
        <w:rPr>
          <w:rFonts w:ascii="Consolas" w:hAnsi="Consolas"/>
          <w:color w:val="9B1B30"/>
          <w:sz w:val="19"/>
        </w:rPr>
        <w:t>m</w:t>
      </w:r>
      <w:r>
        <w:t>). Todo modelo se mide contra ella.</w:t>
      </w:r>
    </w:p>
    <w:p>
      <w:pPr>
        <w:jc w:val="both"/>
      </w:pPr>
      <w:r>
        <w:t xml:space="preserve">Las tres métricas del backtesting, con </w:t>
      </w:r>
      <w:r>
        <w:rPr>
          <w:rFonts w:ascii="Consolas" w:hAnsi="Consolas"/>
          <w:color w:val="9B1B30"/>
          <w:sz w:val="19"/>
        </w:rPr>
        <w:t>n</w:t>
      </w:r>
      <w:r>
        <w:t xml:space="preserve"> puntos evaluados, valor real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y pronóstico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</m:oMath>
      <w: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m:t>MAPE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t=1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d>
                        <m:dPr>
                          <m:begChr m:val="|"/>
                          <m:sepChr m:val="−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num>
                    <m:den>
                      <m:d>
                        <m:dPr>
                          <m:begChr m:val="|"/>
                          <m:sepChr m:val="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den>
                  </m:f>
                </m:e>
              </m:nary>
              <m:r>
                <m:t>(1)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m:t>sMAPE</m:t>
              </m:r>
              <m:r>
                <m:t>=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subSup"/>
                  <m:grow m:val="1"/>
                  <m:subHide m:val="off"/>
                  <m:supHide m:val="off"/>
                </m:naryPr>
                <m:sub>
                  <m:r>
                    <m:t>t=1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2|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t</m:t>
                          </m:r>
                        </m:sub>
                      </m:sSub>
                      <m:r>
                        <m:t>|</m:t>
                      </m:r>
                    </m:num>
                    <m:den>
                      <m:d>
                        <m:dPr>
                          <m:begChr m:val="|"/>
                          <m:sepChr m:val=""/>
                          <m:endChr m:val="|"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  <m:r>
                            <m:t>|</m:t>
                          </m:r>
                          <m:r>
                            <m:t>+</m:t>
                          </m:r>
                          <m:r>
                            <m:t>|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den>
                  </m:f>
                </m:e>
              </m:nary>
              <m:r>
                <m:t>(2)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r>
                <m:rPr>
                  <m:sty m:val="p"/>
                </m:rPr>
                <m:t>RMSE</m:t>
              </m:r>
              <m: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m:t>t=1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d>
                            <m:dPr>
                              <m:sepChr m:val="−"/>
                            </m:dPr>
                            <m:e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e>
                            <m:e>
                              <m:sSub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rad>
              <m:r>
                <m:t>(3)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El </w:t>
      </w:r>
      <w:r>
        <w:rPr>
          <w:b/>
        </w:rPr>
        <w:t>MAPE</w:t>
      </w:r>
      <w:r>
        <w:t xml:space="preserve"> (1) es adimensional pero </w:t>
      </w:r>
      <w:r>
        <w:rPr>
          <w:b/>
        </w:rPr>
        <w:t>diverge si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  <m:r>
          <m:t>≈0</m:t>
        </m:r>
      </m:oMath>
      <w:r>
        <w:t xml:space="preserve"> y penaliza más los sobre-pronósticos; el </w:t>
      </w:r>
      <w:r>
        <w:rPr>
          <w:b/>
        </w:rPr>
        <w:t>sMAPE</w:t>
      </w:r>
      <w:r>
        <w:t xml:space="preserve"> (2) acota ese problema con el denominador simétrico </w:t>
      </w:r>
      <m:oMath>
        <m:d>
          <m:dPr>
            <m:begChr m:val="|"/>
            <m:sepChr m:val=""/>
            <m:endChr m:val="|"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  <m:r>
              <m:t>|</m:t>
            </m:r>
            <m:r>
              <m:t>+</m:t>
            </m:r>
            <m:r>
              <m:t>|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t</m:t>
                </m:r>
              </m:sub>
            </m:sSub>
          </m:e>
        </m:d>
      </m:oMath>
      <w:r>
        <w:t xml:space="preserve"> (rango 0–200 %); el </w:t>
      </w:r>
      <w:r>
        <w:rPr>
          <w:b/>
        </w:rPr>
        <w:t>RMSE</w:t>
      </w:r>
      <w:r>
        <w:t xml:space="preserve"> (3) queda en las unidades de la serie y penaliza con fuerza los errores grandes. No confundir sMAPE con MAPE: el sMAPE incluye el pronóstico en el denominador.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Advertencia crítica — fuga de información temporal (temporal leakage).</w:t>
      </w:r>
      <w:r>
        <w:rPr>
          <w:color w:val="2D2D2D"/>
        </w:rPr>
        <w:t xml:space="preserve"> El error central de esta sesión: </w:t>
      </w:r>
      <w:r>
        <w:rPr>
          <w:b/>
          <w:color w:val="2D2D2D"/>
        </w:rPr>
        <w:t>nunca mirar el futuro</w:t>
      </w:r>
      <w:r>
        <w:rPr>
          <w:color w:val="2D2D2D"/>
        </w:rPr>
        <w:t xml:space="preserve">. (a) </w:t>
      </w:r>
      <w:r>
        <w:rPr>
          <w:b/>
          <w:color w:val="2D2D2D"/>
        </w:rPr>
        <w:t>Nunca</w:t>
      </w:r>
      <w:r>
        <w:rPr>
          <w:color w:val="2D2D2D"/>
        </w:rPr>
        <w:t xml:space="preserve"> validar con K-fold aleatorio en series (mezcla pasado y futuro y da precisión ilusoria); usar </w:t>
      </w:r>
      <w:r>
        <w:rPr>
          <w:b/>
          <w:color w:val="2D2D2D"/>
        </w:rPr>
        <w:t>siempre rolling-origin</w:t>
      </w:r>
      <w:r>
        <w:rPr>
          <w:color w:val="2D2D2D"/>
        </w:rPr>
        <w:t xml:space="preserve">. (b) Las features de lag/rolling y el escalado se calculan </w:t>
      </w:r>
      <w:r>
        <w:rPr>
          <w:b/>
          <w:color w:val="2D2D2D"/>
        </w:rPr>
        <w:t>después</w:t>
      </w:r>
      <w:r>
        <w:rPr>
          <w:color w:val="2D2D2D"/>
        </w:rPr>
        <w:t xml:space="preserve"> del split y </w:t>
      </w:r>
      <w:r>
        <w:rPr>
          <w:b/>
          <w:color w:val="2D2D2D"/>
        </w:rPr>
        <w:t>solo con datos del pasado</w:t>
      </w:r>
      <w:r>
        <w:rPr>
          <w:color w:val="2D2D2D"/>
        </w:rPr>
        <w:t xml:space="preserve"> del origen; construir las secuencias o normalizar con la media de toda la serie </w:t>
      </w:r>
      <w:r>
        <w:rPr>
          <w:b/>
          <w:color w:val="2D2D2D"/>
        </w:rPr>
        <w:t>antes</w:t>
      </w:r>
      <w:r>
        <w:rPr>
          <w:color w:val="2D2D2D"/>
        </w:rPr>
        <w:t xml:space="preserve"> de separar da un error de validación </w:t>
      </w:r>
      <w:r>
        <w:rPr>
          <w:b/>
          <w:color w:val="2D2D2D"/>
        </w:rPr>
        <w:t>optimista</w:t>
      </w:r>
      <w:r>
        <w:rPr>
          <w:color w:val="2D2D2D"/>
        </w:rPr>
        <w:t xml:space="preserve"> (demasiado bueno): el error honesto —validación temporal, solo con el pasado— resulta hasta ~20 % </w:t>
      </w:r>
      <w:r>
        <w:rPr>
          <w:b/>
          <w:color w:val="2D2D2D"/>
        </w:rPr>
        <w:t>mayor</w:t>
      </w:r>
      <w:r>
        <w:rPr>
          <w:color w:val="2D2D2D"/>
        </w:rPr>
        <w:t xml:space="preserve"> (Albelali &amp; Ahmed 2025). (c) El seasonal-naive del backtesting solo puede mirar el año anterior al origen, nunca posterior. Síntoma de leakage: métricas «demasiado buenas» (sMAPE cercano a 0, o error de validación menor que el de entrenamiento) — ante ellas, auditar el pipeline antes de dar el resultado por válido.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Tabla de métricas por origen (rolling-origin) — una fila por origen</w:t>
      </w:r>
    </w:p>
    <w:p>
      <w:pPr>
        <w:jc w:val="both"/>
      </w:pPr>
      <w:r>
        <w:t xml:space="preserve">Una fila por </w:t>
      </w:r>
      <w:r>
        <w:rPr>
          <w:b/>
        </w:rPr>
        <w:t>origen de pronóstico</w:t>
      </w:r>
      <w:r>
        <w:t xml:space="preserve">; el sMAPE de cada modelo en ese origen. La última fila promedia sobre todos los orígenes (es el número que decide). Todas las cifras provienen de </w:t>
      </w:r>
      <w:r>
        <w:rPr>
          <w:rFonts w:ascii="Consolas" w:hAnsi="Consolas"/>
          <w:color w:val="9B1B30"/>
          <w:sz w:val="19"/>
        </w:rPr>
        <w:t>resultados/S11_resultados.xlsx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Origen (corte)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 train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Horizonte h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seasonal-naive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ETS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SARIMA</w:t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Origen 1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Origen 2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Origen 3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...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Media (todos los orígenes)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Dispersión (desv. entre orígenes)</w:t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62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Lectura:</w:t>
      </w:r>
      <w:r>
        <w:rPr>
          <w:color w:val="2D2D2D"/>
        </w:rPr>
        <w:t xml:space="preserve"> el campeón es el de menor </w:t>
      </w:r>
      <w:r>
        <w:rPr>
          <w:b/>
          <w:color w:val="2D2D2D"/>
        </w:rPr>
        <w:t>sMAPE medio sobre los orígenes</w:t>
      </w:r>
      <w:r>
        <w:rPr>
          <w:color w:val="2D2D2D"/>
        </w:rPr>
        <w:t xml:space="preserve">, no el mejor en un origen aislado (un solo origen equivale a un solo train/test: poca evidencia). La </w:t>
      </w:r>
      <w:r>
        <w:rPr>
          <w:b/>
          <w:color w:val="2D2D2D"/>
        </w:rPr>
        <w:t>estabilidad</w:t>
      </w:r>
      <w:r>
        <w:rPr>
          <w:color w:val="2D2D2D"/>
        </w:rPr>
        <w:t xml:space="preserve"> entre orígenes importa: un modelo con sMAPE medio algo mayor pero muy estable puede preferirse a uno errático. No comparar modelos con esquemas de backtesting distintos.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Comparación de modelos contra el seasonal-naive — resumen (una fila por modelo)</w:t>
      </w:r>
    </w:p>
    <w:p>
      <w:pPr>
        <w:jc w:val="both"/>
      </w:pPr>
      <w:r>
        <w:t xml:space="preserve">Resumen decisorio: una fila por modelo con su error promediado sobre los orígenes y la verificación de que </w:t>
      </w:r>
      <w:r>
        <w:rPr>
          <w:b/>
        </w:rPr>
        <w:t>supera a la línea base</w:t>
      </w:r>
      <w:r>
        <w:t>.</w:t>
      </w:r>
    </w:p>
    <w:p>
      <w:pPr>
        <w:jc w:val="both"/>
      </w:pPr>
      <w:r>
        <w:t xml:space="preserve">Los modelos comparados tienen formas cerradas simples. El </w:t>
      </w:r>
      <w:r>
        <w:rPr>
          <w:b/>
        </w:rPr>
        <w:t>seasonal-naive</w:t>
      </w:r>
      <w:r>
        <w:t xml:space="preserve"> pronostica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t+h</m:t>
            </m:r>
          </m:sub>
        </m:sSub>
        <m:r>
          <m:t>=</m:t>
        </m:r>
        <m:sSub>
          <m:e>
            <m:r>
              <m:t>y</m:t>
            </m:r>
          </m:e>
          <m:sub>
            <m:r>
              <m:t>t+h−m</m:t>
            </m:r>
          </m:sub>
        </m:sSub>
      </m:oMath>
      <w:r>
        <w:t xml:space="preserve"> (el mismo mes del año anterior). El </w:t>
      </w:r>
      <w:r>
        <w:rPr>
          <w:b/>
        </w:rPr>
        <w:t>suavizado exponencial simple</w:t>
      </w:r>
      <w:r>
        <w:t xml:space="preserve"> (ETS sin tendencia ni estacionalidad) es un promedio ponderado que da más peso a lo reciente, con constante de suavizado 0 &lt; α &lt; 1: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t+1</m:t>
                  </m:r>
                </m:sub>
              </m:sSub>
              <m:r>
                <m:t>=α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  <m:r>
                <m:t>+(1−α)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t>(4)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y el </w:t>
      </w:r>
      <w:r>
        <w:rPr>
          <w:b/>
        </w:rPr>
        <w:t>Holt-Winters aditivo</w:t>
      </w:r>
      <w:r>
        <w:t xml:space="preserve"> (ETS con nivel </w:t>
      </w:r>
      <m:oMath>
        <m:sSub>
          <m:e>
            <m:r>
              <m:t>ℓ</m:t>
            </m:r>
          </m:e>
          <m:sub>
            <m:r>
              <m:t>t</m:t>
            </m:r>
          </m:sub>
        </m:sSub>
      </m:oMath>
      <w:r>
        <w:t xml:space="preserve">, tendencia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y estacionalidad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>) pronostica como la suma de las tres componentes: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t+h|t</m:t>
                  </m:r>
                </m:sub>
              </m:sSub>
              <m:r>
                <m:t>=</m:t>
              </m:r>
              <m:sSub>
                <m:e>
                  <m:r>
                    <m:t>ℓ</m:t>
                  </m:r>
                </m:e>
                <m:sub>
                  <m:r>
                    <m:t>t</m:t>
                  </m:r>
                </m:sub>
              </m:sSub>
              <m:r>
                <m:t>+h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  <m:r>
                <m:t>+</m:t>
              </m:r>
              <m:sSub>
                <m:e>
                  <m:r>
                    <m:t>s</m:t>
                  </m:r>
                </m:e>
                <m:sub>
                  <m:r>
                    <m:t>t+h−m(k+1)</m:t>
                  </m:r>
                </m:sub>
              </m:sSub>
              <m:r>
                <m:t>(5)</m:t>
              </m:r>
            </m:oMath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(5)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</w:t>
      </w:r>
      <m:oMath>
        <m:sSub>
          <m:e>
            <m:r>
              <m:t>ℓ</m:t>
            </m:r>
          </m:e>
          <m:sub>
            <m:r>
              <m:t>t</m:t>
            </m:r>
          </m:sub>
        </m:sSub>
      </m:oMath>
      <w:r>
        <w:t xml:space="preserve">,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y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 se actualizan con los parámetros de suavizado α, β, γ (cada uno entre 0 y 1). A diferencia de SARIMA, </w:t>
      </w:r>
      <w:r>
        <w:rPr>
          <w:b/>
        </w:rPr>
        <w:t>ETS no exige estacionariedad</w:t>
      </w:r>
      <w:r>
        <w:t xml:space="preserve"> (no se diferencia): por eso (5) es una línea base rápida y a menudo competitiva.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medio (%)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RMSE medio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MAPE medio (%)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¿Supera al seasonal-naive?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Seasonal-naive (línea base)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(referencia)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ETS / Holt-Winters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SARIMA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Prophet (opcional)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ML con features temporales (opcional)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Lectura:</w:t>
      </w:r>
      <w:r>
        <w:rPr>
          <w:color w:val="2D2D2D"/>
        </w:rPr>
        <w:t xml:space="preserve"> se ordena por </w:t>
      </w:r>
      <w:r>
        <w:rPr>
          <w:b/>
          <w:color w:val="2D2D2D"/>
        </w:rPr>
        <w:t>sMAPE medio</w:t>
      </w:r>
      <w:r>
        <w:rPr>
          <w:color w:val="2D2D2D"/>
        </w:rPr>
        <w:t xml:space="preserve">. Un modelo solo entra a la decisión si su sMAPE es </w:t>
      </w:r>
      <w:r>
        <w:rPr>
          <w:b/>
          <w:color w:val="2D2D2D"/>
        </w:rPr>
        <w:t>menor</w:t>
      </w:r>
      <w:r>
        <w:rPr>
          <w:color w:val="2D2D2D"/>
        </w:rPr>
        <w:t xml:space="preserve"> que el del seasonal-naive; si no lo supera, se descarta por más sofisticado que sea (regla de sensatez de las competencias M). No confundir sMAPE con MAPE: el sMAPE va de 0 a 200 % y su denominador incluye el pronóstico.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Curvas leídas del Excel</w:t>
      </w:r>
    </w:p>
    <w:p>
      <w:pPr>
        <w:jc w:val="both"/>
      </w:pPr>
      <w:r>
        <w:t xml:space="preserve">Trazar las figuras </w:t>
      </w:r>
      <w:r>
        <w:rPr>
          <w:b/>
        </w:rPr>
        <w:t>al leer los puntos desde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resultados/S11_resultados.xlsx</w:t>
      </w:r>
      <w:r>
        <w:t xml:space="preserve">, nunca desde objetos en memoria (convención del curso). Pegar aquí las figuras exportadas a </w:t>
      </w:r>
      <w:r>
        <w:rPr>
          <w:rFonts w:ascii="Consolas" w:hAnsi="Consolas"/>
          <w:color w:val="9B1B30"/>
          <w:sz w:val="19"/>
        </w:rPr>
        <w:t>figuras/</w:t>
      </w:r>
      <w:r>
        <w:t>:</w:t>
      </w:r>
    </w:p>
    <w:p>
      <w:pPr>
        <w:pStyle w:val="ListBullet"/>
        <w:spacing w:after="40"/>
      </w:pPr>
      <w:r>
        <w:rPr>
          <w:b/>
        </w:rPr>
        <w:t>Pronóstico + intervalo de predicción</w:t>
      </w:r>
      <w:r>
        <w:t xml:space="preserve"> (media, banda 95 %, valores reales del holdout): _[insertar </w:t>
      </w:r>
      <w:r>
        <w:rPr>
          <w:rFonts w:ascii="Consolas" w:hAnsi="Consolas"/>
          <w:color w:val="9B1B30"/>
          <w:sz w:val="19"/>
        </w:rPr>
        <w:t>figuras/S11_pronostico_intervalo.png</w:t>
      </w:r>
      <w:r>
        <w:t>]_ — el intervalo comunica la incertidumbre accionable (dimensionar stock de seguridad por el límite superior o inferior según el costo asimétrico). Un pronóstico puntual sin intervalo es incompleto.</w:t>
      </w:r>
    </w:p>
    <w:p>
      <w:pPr>
        <w:pStyle w:val="ListBullet"/>
        <w:spacing w:after="40"/>
      </w:pPr>
      <w:r>
        <w:rPr>
          <w:b/>
        </w:rPr>
        <w:t>Error vs. horizonte</w:t>
      </w:r>
      <w:r>
        <w:t xml:space="preserve"> (sMAPE o MAPE por cada </w:t>
      </w:r>
      <w:r>
        <w:rPr>
          <w:rFonts w:ascii="Consolas" w:hAnsi="Consolas"/>
          <w:color w:val="9B1B30"/>
          <w:sz w:val="19"/>
        </w:rPr>
        <w:t>h</w:t>
      </w:r>
      <w:r>
        <w:t xml:space="preserve"> de 1 a H): _[insertar </w:t>
      </w:r>
      <w:r>
        <w:rPr>
          <w:rFonts w:ascii="Consolas" w:hAnsi="Consolas"/>
          <w:color w:val="9B1B30"/>
          <w:sz w:val="19"/>
        </w:rPr>
        <w:t>figuras/S11_error_horizonte.png</w:t>
      </w:r>
      <w:r>
        <w:t xml:space="preserve">]_ — el error </w:t>
      </w:r>
      <w:r>
        <w:rPr>
          <w:b/>
        </w:rPr>
        <w:t>crece con el horizonte</w:t>
      </w:r>
      <w:r>
        <w:t xml:space="preserve">: predecir el mes que viene es más preciso que dentro de un año. Se reporta el error </w:t>
      </w:r>
      <w:r>
        <w:rPr>
          <w:b/>
        </w:rPr>
        <w:t>al horizonte que le importa al negocio</w:t>
      </w:r>
      <w:r>
        <w:t>, no un promedio genérico.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Elección del campeón y recomendación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Campeón por sMAPE medio</w:t>
      </w:r>
      <w:r>
        <w:t xml:space="preserve">: el modelo con </w:t>
      </w:r>
      <w:r>
        <w:rPr>
          <w:b/>
        </w:rPr>
        <w:t>menor sMAPE promediado sobre los orígenes</w:t>
      </w:r>
      <w:r>
        <w:t xml:space="preserve"> que además </w:t>
      </w:r>
      <w:r>
        <w:rPr>
          <w:b/>
        </w:rPr>
        <w:t>supera al seasonal-naive</w:t>
      </w:r>
      <w:r>
        <w:t>. En empate práctico, desempatar por menor dispersión entre orígenes (estabilidad) y por RMSE.</w:t>
      </w:r>
    </w:p>
    <w:p>
      <w:pPr>
        <w:jc w:val="both"/>
      </w:pPr>
      <w:r>
        <w:t xml:space="preserve"> - </w:t>
      </w:r>
      <w:r>
        <w:rPr>
          <w:b/>
        </w:rPr>
        <w:t>Campeón declarado = ______</w:t>
      </w:r>
      <w:r>
        <w:t xml:space="preserve"> — sMAPE medio = ______ % (vs. seasonal-naive ______ %).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Intervalo de predicción</w:t>
      </w:r>
      <w:r>
        <w:t>: reportar la cobertura observada (fracción de reales dentro de la banda; idealmente ≈ 0,95 para el 95 %) y el ancho al horizonte objetivo.</w:t>
      </w:r>
    </w:p>
    <w:p>
      <w:pPr>
        <w:jc w:val="both"/>
      </w:pPr>
      <w:r>
        <w:t xml:space="preserve"> - Cobertura del intervalo 95 % = ______ — horizonte de negocio = ______.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Recomendación de negocio (frase para gerencia)</w:t>
      </w:r>
      <w:r>
        <w:t xml:space="preserve">: "Se pronostica </w:t>
      </w:r>
      <w:r>
        <w:rPr>
          <w:b/>
        </w:rPr>
        <w:t>[serie]</w:t>
      </w:r>
      <w:r>
        <w:t xml:space="preserve"> con </w:t>
      </w:r>
      <w:r>
        <w:rPr>
          <w:b/>
        </w:rPr>
        <w:t>[campeón]</w:t>
      </w:r>
      <w:r>
        <w:t xml:space="preserve">: error esperado de </w:t>
      </w:r>
      <w:r>
        <w:rPr>
          <w:b/>
        </w:rPr>
        <w:t>[sMAPE %]</w:t>
      </w:r>
      <w:r>
        <w:t xml:space="preserve"> al horizonte de </w:t>
      </w:r>
      <w:r>
        <w:rPr>
          <w:b/>
        </w:rPr>
        <w:t>[h meses]</w:t>
      </w:r>
      <w:r>
        <w:t xml:space="preserve"> (supera al seasonal-naive por </w:t>
      </w:r>
      <w:r>
        <w:rPr>
          <w:b/>
        </w:rPr>
        <w:t>[Δ puntos]</w:t>
      </w:r>
      <w:r>
        <w:t xml:space="preserve">), con un intervalo del 95 % de </w:t>
      </w:r>
      <w:r>
        <w:rPr>
          <w:b/>
        </w:rPr>
        <w:t>[±rango]</w:t>
      </w:r>
      <w:r>
        <w:t xml:space="preserve"> para dimensionar inventario/personal. La validación es rolling-origin sin fuga temporal y reproducible (corte, esquema de origen móvil y versiones documentados)." La traducción a </w:t>
      </w:r>
      <w:r>
        <w:rPr>
          <w:b/>
        </w:rPr>
        <w:t>dinero</w:t>
      </w:r>
      <w:r>
        <w:t xml:space="preserve"> (coste esperado del error y stock de seguridad ligado al límite del intervalo) se cierra en la </w:t>
      </w:r>
      <w:r>
        <w:rPr>
          <w:b/>
        </w:rPr>
        <w:t>sección 7</w:t>
      </w:r>
      <w:r>
        <w:t>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Del pronóstico al dinero — costos ilustrativos (cerrar la decisión)</w:t>
      </w:r>
    </w:p>
    <w:p>
      <w:pPr>
        <w:jc w:val="both"/>
      </w:pPr>
      <w:r>
        <w:t xml:space="preserve">Un menor error de pronóstico solo aporta si se traduce en </w:t>
      </w:r>
      <w:r>
        <w:rPr>
          <w:b/>
        </w:rPr>
        <w:t>dinero</w:t>
      </w:r>
      <w:r>
        <w:t xml:space="preserve">. Se cierra la cadena </w:t>
      </w:r>
      <w:r>
        <w:rPr>
          <w:b/>
        </w:rPr>
        <w:t>pronóstico → coste → decisión</w:t>
      </w:r>
      <w:r>
        <w:t xml:space="preserve"> con dos preguntas —</w:t>
      </w:r>
      <w:r>
        <w:rPr>
          <w:b/>
        </w:rPr>
        <w:t>qué modelo desplegar</w:t>
      </w:r>
      <w:r>
        <w:t xml:space="preserve"> y </w:t>
      </w:r>
      <w:r>
        <w:rPr>
          <w:b/>
        </w:rPr>
        <w:t>cuánto stock de seguridad</w:t>
      </w:r>
      <w:r>
        <w:t xml:space="preserve">— mediante </w:t>
      </w:r>
      <w:r>
        <w:rPr>
          <w:b/>
        </w:rPr>
        <w:t>costos unitarios ILUSTRATIVOS</w:t>
      </w:r>
      <w:r>
        <w:t xml:space="preserve"> (no cifras de contrato; sustituir por los de la empresa). Las sMAPE (5,78 % naive / 4,09 % SARIMA) sí son operativas del venv.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COSTOS UNITARIOS (ILUSTRATIVOS).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Símbolo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ilustrativo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Qué representa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Costo de quiebre / sub-stock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m:oMath>
              <m:sSub>
                <m:e>
                  <m:r>
                    <m:t>c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19 u.m. / unidad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margen y cliente perdidos por cada unidad de demanda no atendida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Costo de sobre-stock / exceso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u.m. / unidad-mes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almacenaje + obsolescencia por cada unidad sobrante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(A) Qué modelo desplegar — coste esperado del error.</w:t>
      </w:r>
      <w:r>
        <w:t xml:space="preserve"> El desajuste medio en unidades ≈ (sMAPE/100) × demanda media mensual. Con una demanda de referencia </w:t>
      </w:r>
      <w:r>
        <w:rPr>
          <w:b/>
        </w:rPr>
        <w:t>D ≈ 600 unidades/mes</w:t>
      </w:r>
      <w:r>
        <w:t xml:space="preserve"> (ilustrativa, del orden de la serie real) y una penalización media por unidad desajustada de aprox. </w:t>
      </w:r>
      <m:oMath>
        <m:r>
          <m:t>(</m:t>
        </m:r>
        <m:sSub>
          <m:e>
            <m:r>
              <m:t>c</m:t>
            </m:r>
          </m:e>
          <m:sub>
            <m:r>
              <m:t>u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)/2</m:t>
        </m:r>
      </m:oMath>
      <w:r>
        <w:t xml:space="preserve"> = 10 u.m. (aproximación ilustrativa; el reparto exacto entre rotura y exceso lo fija la política de la parte B):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Desajuste medio (u/mes)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Coste esperado (u.m./mes)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Seasonal-naive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5,78 %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0,0578·600 ≈ 34,7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347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SARIMA (campeón)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4,09 %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0,0409·600 ≈ 24,5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≈ 245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Desplegar </w:t>
      </w:r>
      <w:r>
        <w:rPr>
          <w:b/>
        </w:rPr>
        <w:t>SARIMA</w:t>
      </w:r>
      <w:r>
        <w:t xml:space="preserve"> en lugar del naive ahorra ≈ </w:t>
      </w:r>
      <w:r>
        <w:rPr>
          <w:b/>
        </w:rPr>
        <w:t>102 u.m./mes por SKU</w:t>
      </w:r>
      <w:r>
        <w:t xml:space="preserve"> (347 − 245). Sobre las </w:t>
      </w:r>
      <w:r>
        <w:rPr>
          <w:b/>
        </w:rPr>
        <w:t>500 series</w:t>
      </w:r>
      <w:r>
        <w:t xml:space="preserve"> del problema (10 tiendas × 50 productos) ≈ </w:t>
      </w:r>
      <w:r>
        <w:rPr>
          <w:b/>
        </w:rPr>
        <w:t>51 000 u.m./mes ≈ 612 000 u.m./año</w:t>
      </w:r>
      <w:r>
        <w:t xml:space="preserve"> (ilustrativo). Ese ahorro —no el sMAPE en abstracto— es el argumento de negocio para desplegar el campeón.</w:t>
      </w:r>
    </w:p>
    <w:p>
      <w:pPr>
        <w:jc w:val="both"/>
      </w:pPr>
      <w:r>
        <w:rPr>
          <w:b/>
        </w:rPr>
        <w:t>(B) Cuánto stock de seguridad — ligado al intervalo de predicción.</w:t>
      </w:r>
      <w:r>
        <w:t xml:space="preserve"> El nivel de servicio óptimo (regla del </w:t>
      </w:r>
      <w:r>
        <w:rPr>
          <w:i/>
        </w:rPr>
        <w:t>newsvendor</w:t>
      </w:r>
      <w:r>
        <w:t xml:space="preserve">) es </w:t>
      </w:r>
      <m:oMath>
        <m:sSub>
          <m:e>
            <m:r>
              <m:t>c</m:t>
            </m:r>
          </m:e>
          <m:sub>
            <m:r>
              <m:t>u</m:t>
            </m:r>
          </m:sub>
        </m:sSub>
        <m:r>
          <m:t>/(</m:t>
        </m:r>
        <m:sSub>
          <m:e>
            <m:r>
              <m:t>c</m:t>
            </m:r>
          </m:e>
          <m:sub>
            <m:r>
              <m:t>u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)</m:t>
        </m:r>
      </m:oMath>
      <w:r>
        <w:t xml:space="preserve"> = 19/20 = </w:t>
      </w:r>
      <w:r>
        <w:rPr>
          <w:b/>
        </w:rPr>
        <w:t>0,95</w:t>
      </w:r>
      <w:r>
        <w:t xml:space="preserve">: como el quiebre cuesta 19× más que el exceso, se abastece hasta el </w:t>
      </w:r>
      <w:r>
        <w:rPr>
          <w:b/>
        </w:rPr>
        <w:t>cuantil 0,95</w:t>
      </w:r>
      <w:r>
        <w:t xml:space="preserve"> de la distribución predictiva, es decir el </w:t>
      </w:r>
      <w:r>
        <w:rPr>
          <w:b/>
        </w:rPr>
        <w:t>límite superior del intervalo de predicción del 95 %</w:t>
      </w:r>
      <w:r>
        <w:t>. De ahí: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stock de seguridad = límite superior del intervalo 95 % − media pronosticada.</w:t>
      </w:r>
    </w:p>
    <w:p>
      <w:pPr>
        <w:jc w:val="both"/>
      </w:pPr>
      <w:r>
        <w:t xml:space="preserve">Un menor error de pronóstico </w:t>
      </w:r>
      <w:r>
        <w:rPr>
          <w:b/>
        </w:rPr>
        <w:t>estrecha el intervalo</w:t>
      </w:r>
      <w:r>
        <w:t xml:space="preserve"> ⇒ menor stock de seguridad para el </w:t>
      </w:r>
      <w:r>
        <w:rPr>
          <w:b/>
        </w:rPr>
        <w:t>mismo</w:t>
      </w:r>
      <w:r>
        <w:t xml:space="preserve"> nivel de servicio 0,95 ⇒ menos capital inmovilizado. Así, el mejor modelo abarata a la vez el </w:t>
      </w:r>
      <w:r>
        <w:rPr>
          <w:b/>
        </w:rPr>
        <w:t>coste esperado del error</w:t>
      </w:r>
      <w:r>
        <w:t xml:space="preserve"> (parte A) y el </w:t>
      </w:r>
      <w:r>
        <w:rPr>
          <w:b/>
        </w:rPr>
        <w:t>inventario congelado</w:t>
      </w:r>
      <w:r>
        <w:t xml:space="preserve"> (parte B). Si el costo asimétrico se invirtiera (</w:t>
      </w:r>
      <m:oMath>
        <m:sSub>
          <m:e>
            <m:r>
              <m:t>c</m:t>
            </m:r>
          </m:e>
          <m:sub>
            <m:r>
              <m:t>o</m:t>
            </m:r>
          </m:sub>
        </m:sSub>
        <m:r>
          <m:t>&gt;</m:t>
        </m:r>
        <m:sSub>
          <m:e>
            <m:r>
              <m:t>c</m:t>
            </m:r>
          </m:e>
          <m:sub>
            <m:r>
              <m:t>u</m:t>
            </m:r>
          </m:sub>
        </m:sSub>
      </m:oMath>
      <w:r>
        <w:t xml:space="preserve">), el nivel de servicio óptimo bajaría de 0,5 y se dimensionaría por el </w:t>
      </w:r>
      <w:r>
        <w:rPr>
          <w:b/>
        </w:rPr>
        <w:t>límite inferior</w:t>
      </w:r>
      <w:r>
        <w:t>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fuente.</w:t>
      </w:r>
      <w:r>
        <w:rPr>
          <w:color w:val="2D2D2D"/>
        </w:rPr>
        <w:t xml:space="preserve"> </w:t>
      </w:r>
      <m:oMath>
        <m:sSub>
          <m:e>
            <m:r>
              <m:t>c</m:t>
            </m:r>
          </m:e>
          <m:sub>
            <m:r>
              <m:t>u</m:t>
            </m:r>
          </m:sub>
        </m:sSub>
      </m:oMath>
      <w:r>
        <w:rPr>
          <w:color w:val="2D2D2D"/>
        </w:rPr>
        <w:t xml:space="preserve">,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rPr>
          <w:color w:val="2D2D2D"/>
        </w:rPr>
        <w:t xml:space="preserve"> y D ≈ 600 u/mes son </w:t>
      </w:r>
      <w:r>
        <w:rPr>
          <w:b/>
          <w:color w:val="2D2D2D"/>
        </w:rPr>
        <w:t>ilustrativos</w:t>
      </w:r>
      <w:r>
        <w:rPr>
          <w:color w:val="2D2D2D"/>
        </w:rPr>
        <w:t xml:space="preserve"> (sustituir por los de la empresa); las sMAPE (5,78 % / 4,09 %) son </w:t>
      </w:r>
      <w:r>
        <w:rPr>
          <w:i/>
          <w:color w:val="2D2D2D"/>
        </w:rPr>
        <w:t>operativas del venv</w:t>
      </w:r>
      <w:r>
        <w:rPr>
          <w:color w:val="2D2D2D"/>
        </w:rPr>
        <w:t>. La cuenta deja cerrada la decisión sin inventar cifras de contrato.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8. Ejemplo — operativos del venv (ETIQUETADOS)</w:t>
      </w:r>
    </w:p>
    <w:p>
      <w:pPr>
        <w:jc w:val="both"/>
      </w:pPr>
      <w:r>
        <w:t xml:space="preserve">Valores </w:t>
      </w:r>
      <w:r>
        <w:rPr>
          <w:b/>
        </w:rPr>
        <w:t>operativos del venv</w:t>
      </w:r>
      <w:r>
        <w:t xml:space="preserve"> confirmados el 19/07/2026, tomados declarado para la sesión de réplica del paper Las celdas «(léase del Excel)» las completa el cuaderno al exportar cada métrica.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(A) AIRPASSENGERS — MODELO AEROLÍNEA `SARIMA(0,1,1)(0,1,1)₁₂` SOBRE LOG, HOLDOUT DE LOS ÚLTIMOS 12 MESES (CORTE 132/12).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 operativo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MAPE holdout 12 meses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2,88 %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sobre </w:t>
            </w:r>
            <w:r>
              <w:rPr>
                <w:rFonts w:ascii="Consolas" w:hAnsi="Consolas"/>
                <w:color w:val="9B1B30"/>
                <w:sz w:val="19"/>
              </w:rPr>
              <w:t>exp(pronóstico)</w:t>
            </w:r>
            <w:r>
              <w:rPr>
                <w:sz w:val="19"/>
              </w:rPr>
              <w:t>, escala de pasajeros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RMSE holdout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18,50 pax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penaliza errores grandes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Coef. MA θ₁ (</w:t>
            </w:r>
            <w:r>
              <w:rPr>
                <w:rFonts w:ascii="Consolas" w:hAnsi="Consolas"/>
                <w:color w:val="9B1B30"/>
                <w:sz w:val="19"/>
              </w:rPr>
              <w:t>ma.L1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−0,4326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negativo; benchmark R ≈ −0,4018 (otro pipeline)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Coef. SMA Θ₁ (</w:t>
            </w:r>
            <w:r>
              <w:rPr>
                <w:rFonts w:ascii="Consolas" w:hAnsi="Consolas"/>
                <w:color w:val="9B1B30"/>
                <w:sz w:val="19"/>
              </w:rPr>
              <w:t>ma.S.L12</w:t>
            </w:r>
            <w:r>
              <w:rPr>
                <w:sz w:val="19"/>
              </w:rPr>
              <w:t>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−0,5475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negativo; benchmark R ≈ −0,5569 (otro pipeline)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AIC (log-serie)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−435,44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solo comparable con modelos sobre la misma log-serie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Ljung-Box(12) p-valor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0,754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&gt; 0,05 → residuos ≈ ruido blanco (ajuste válido)</w:t>
            </w:r>
          </w:p>
        </w:tc>
      </w:tr>
    </w:tbl>
    <w:p>
      <w:pPr>
        <w:spacing w:after="40"/>
      </w:pP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(B) STORE ITEM DEMAND (MENSUAL, TIENDA 1, PRODUCTO 1) — COMPARACIÓN DE ≥3 MODELOS POR SMAPE CON ROLLING-ORIGIN (`INITIAL = 36`, `HORIZON = 6`, `STEP = 6`, `M = 12`).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sMAPE medio (%)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¿Supera al seasonal-naive?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Seasonal-naive (línea base)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5,78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 (referencia)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ETS / Holt-Winters aditivo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5,50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(marginal)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SARIMA (campeón)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4,09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Sí (−1,69 pp vs. naive)</w:t>
            </w:r>
          </w:p>
        </w:tc>
      </w:tr>
    </w:tbl>
    <w:p>
      <w:pPr>
        <w:spacing w:after="40"/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Etiqueta de fuente</w:t>
      </w:r>
      <w:r>
        <w:rPr>
          <w:color w:val="2D2D2D"/>
        </w:rPr>
        <w:t xml:space="preserve">: </w:t>
      </w:r>
      <w:r>
        <w:rPr>
          <w:i/>
          <w:color w:val="2D2D2D"/>
        </w:rPr>
        <w:t>operativo = venv</w:t>
      </w:r>
      <w:r>
        <w:rPr>
          <w:color w:val="2D2D2D"/>
        </w:rPr>
        <w:t xml:space="preserve"> (los valores del venv son los que mandan). Toda cifra publicada (coeficientes de R </w:t>
      </w:r>
      <w:r>
        <w:rPr>
          <w:rFonts w:ascii="Consolas" w:hAnsi="Consolas"/>
          <w:color w:val="2D2D2D"/>
          <w:sz w:val="19"/>
        </w:rPr>
        <w:t>forecast</w:t>
      </w:r>
      <w:r>
        <w:rPr>
          <w:color w:val="2D2D2D"/>
        </w:rPr>
        <w:t xml:space="preserve">, MAPE de la doc oficial de Prophet, sMAPE de la competencia Kaggle) se anota aparte como </w:t>
      </w:r>
      <w:r>
        <w:rPr>
          <w:i/>
          <w:color w:val="2D2D2D"/>
        </w:rPr>
        <w:t>benchmark publicado (fuente, otro pipeline)</w:t>
      </w:r>
      <w:r>
        <w:rPr>
          <w:color w:val="2D2D2D"/>
        </w:rPr>
        <w:t>, nunca mezclada como propia.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del ejemplo</w:t>
      </w:r>
      <w:r>
        <w:rPr>
          <w:color w:val="2D2D2D"/>
        </w:rPr>
        <w:t xml:space="preserve">: en AirPassengers el modelo aerolínea de dos parámetros pronostica 1960 con </w:t>
      </w:r>
      <w:r>
        <w:rPr>
          <w:b/>
          <w:color w:val="2D2D2D"/>
        </w:rPr>
        <w:t>MAPE 2,88 %</w:t>
      </w:r>
      <w:r>
        <w:rPr>
          <w:color w:val="2D2D2D"/>
        </w:rPr>
        <w:t xml:space="preserve"> (excelente) y residuos de ruido blanco — la línea base difícil de superar de Box &amp; Jenkins. En Store Demand el </w:t>
      </w:r>
      <w:r>
        <w:rPr>
          <w:b/>
          <w:color w:val="2D2D2D"/>
        </w:rPr>
        <w:t>campeón es SARIMA (sMAPE 4,09 %)</w:t>
      </w:r>
      <w:r>
        <w:rPr>
          <w:color w:val="2D2D2D"/>
        </w:rPr>
        <w:t xml:space="preserve">, que supera tanto al </w:t>
      </w:r>
      <w:r>
        <w:rPr>
          <w:b/>
          <w:color w:val="2D2D2D"/>
        </w:rPr>
        <w:t>seasonal-naive (5,78 %)</w:t>
      </w:r>
      <w:r>
        <w:rPr>
          <w:color w:val="2D2D2D"/>
        </w:rPr>
        <w:t xml:space="preserve"> como al </w:t>
      </w:r>
      <w:r>
        <w:rPr>
          <w:b/>
          <w:color w:val="2D2D2D"/>
        </w:rPr>
        <w:t>ETS (5,50 %)</w:t>
      </w:r>
      <w:r>
        <w:rPr>
          <w:color w:val="2D2D2D"/>
        </w:rPr>
        <w:t xml:space="preserve">: sin la línea base naive no se sabría si el modelo aporta. La decisión se toma por el sMAPE </w:t>
      </w:r>
      <w:r>
        <w:rPr>
          <w:b/>
          <w:color w:val="2D2D2D"/>
        </w:rPr>
        <w:t>medio sobre los orígenes</w:t>
      </w:r>
      <w:r>
        <w:rPr>
          <w:color w:val="2D2D2D"/>
        </w:rPr>
        <w:t>, no por un origen aislado.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(validación temporal y elección de familia)</w:t>
      </w:r>
    </w:p>
    <w:p>
      <w:pPr>
        <w:jc w:val="both"/>
      </w:pPr>
      <w:r>
        <w:t xml:space="preserve">Un pronóstico creíble no descansa solo en el ajuste, sino en una cadena de </w:t>
      </w:r>
      <w:r>
        <w:rPr>
          <w:b/>
        </w:rPr>
        <w:t>decisiones metodológicas</w:t>
      </w:r>
      <w:r>
        <w:t xml:space="preserve"> que gobiernan si la evaluación es honesta. Cada punto se </w:t>
      </w:r>
      <w:r>
        <w:rPr>
          <w:b/>
        </w:rPr>
        <w:t>reconoce</w:t>
      </w:r>
      <w:r>
        <w:t xml:space="preserve"> por una señal con umbral y se </w:t>
      </w:r>
      <w:r>
        <w:rPr>
          <w:b/>
        </w:rPr>
        <w:t>resuelve</w:t>
      </w:r>
      <w:r>
        <w:t xml:space="preserve"> con un método concreto; el desarrollo completo (qué es, cómo se identifica, cómo se decide, alcance) es la guía de supuestos de la sesión, Partes 2 a 4.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(señal/umbral)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 (venv)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(SUPUESTOS_S11.md)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Residuos = ruido blanco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 p &gt; 0,05; ACF de residuos dentro de banda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 no son ruido blanco, volver a identificar (AR/MA o diferenciación); AIC solo entre los que pasan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Ljung-Box p 0,754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2.5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ETS / Holt-Winters — cuándo conviene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 exige estacionariedad; aditivo si la amplitud es constante, multiplicativo si crece con el nivel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Ajustar aditivo y multiplicativo (ecuación (5)) y comparar por backtesting; no multiplicativo con ceros/negativos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ETS sMAPE 5,50 %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3.1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Prophet — alcance y límites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Fuerte en series diarias con estacionalidad múltiple/festivos/huecos; MAPE crece con </w:t>
            </w:r>
            <w:r>
              <w:rPr>
                <w:rFonts w:ascii="Consolas" w:hAnsi="Consolas"/>
                <w:color w:val="9B1B30"/>
                <w:sz w:val="19"/>
              </w:rPr>
              <w:t>h</w:t>
            </w:r>
            <w:r>
              <w:rPr>
                <w:sz w:val="19"/>
              </w:rPr>
              <w:t>; NO siempre supera a SARIMA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Compararlo en el mismo backtesting; usar su robustez/holidays; no adoptarlo por moda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Prophet 7,45 % vs. aerolínea 2,88 %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3.2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Split respeta el orden (fuga temporal)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K-fold aleatorio/</w:t>
            </w:r>
            <w:r>
              <w:rPr>
                <w:rFonts w:ascii="Consolas" w:hAnsi="Consolas"/>
                <w:color w:val="9B1B30"/>
                <w:sz w:val="19"/>
              </w:rPr>
              <w:t>shuffle</w:t>
            </w:r>
            <w:r>
              <w:rPr>
                <w:sz w:val="19"/>
              </w:rPr>
              <w:t>; escalado o features con datos del futuro; métricas «demasiado buenas»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Rolling-origin (nunca K-fold aleatorio); features/escalado tras el corte y solo con el pasado; auditar lo sospechoso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fuga = error optimista; el honesto ~20 % mayor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4.1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Backtesting rolling-origin + línea base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Error medio sobre orígenes y su dispersión; protocolo </w:t>
            </w:r>
            <w:r>
              <w:rPr>
                <w:rFonts w:ascii="Consolas" w:hAnsi="Consolas"/>
                <w:color w:val="9B1B30"/>
                <w:sz w:val="19"/>
              </w:rPr>
              <w:t>initial/horizon/step</w:t>
            </w:r>
            <w:r>
              <w:rPr>
                <w:sz w:val="19"/>
              </w:rPr>
              <w:t xml:space="preserve"> fijo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Campeón por sMAPE (2) medio que </w:t>
            </w:r>
            <w:r>
              <w:rPr>
                <w:b/>
                <w:sz w:val="19"/>
              </w:rPr>
              <w:t>bata al seasonal-naive</w:t>
            </w:r>
            <w:r>
              <w:rPr>
                <w:sz w:val="19"/>
              </w:rPr>
              <w:t>; reproducible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SARIMA 4,09 % &lt; naive 5,78 %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4.2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Horizonte, intervalos y métrica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Intervalo que se ensancha con </w:t>
            </w:r>
            <w:r>
              <w:rPr>
                <w:rFonts w:ascii="Consolas" w:hAnsi="Consolas"/>
                <w:color w:val="9B1B30"/>
                <w:sz w:val="19"/>
              </w:rPr>
              <w:t>h</w:t>
            </w:r>
            <w:r>
              <w:rPr>
                <w:sz w:val="19"/>
              </w:rPr>
              <w:t>; MAPE diverge si el real ≈ 0; sMAPE (0–200 %) ≠ MAPE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Media + intervalo al horizonte de negocio; métrica según el problema con definición fija: (1), (2), (3)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cobertura ≈ 0,95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4.3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central.</w:t>
      </w:r>
      <w:r>
        <w:rPr>
          <w:color w:val="2D2D2D"/>
        </w:rPr>
        <w:t xml:space="preserve"> La evaluación se hace con </w:t>
      </w:r>
      <w:r>
        <w:rPr>
          <w:b/>
          <w:color w:val="2D2D2D"/>
        </w:rPr>
        <w:t>rolling-origin</w:t>
      </w:r>
      <w:r>
        <w:rPr>
          <w:color w:val="2D2D2D"/>
        </w:rPr>
        <w:t xml:space="preserve"> (nunca K-fold aleatorio), features y escalado </w:t>
      </w:r>
      <w:r>
        <w:rPr>
          <w:b/>
          <w:color w:val="2D2D2D"/>
        </w:rPr>
        <w:t>solo con el pasado</w:t>
      </w:r>
      <w:r>
        <w:rPr>
          <w:color w:val="2D2D2D"/>
        </w:rPr>
        <w:t xml:space="preserve">, y se elige el campeón por el </w:t>
      </w:r>
      <w:r>
        <w:rPr>
          <w:b/>
          <w:color w:val="2D2D2D"/>
        </w:rPr>
        <w:t>sMAPE medio sobre los orígenes</w:t>
      </w:r>
      <w:r>
        <w:rPr>
          <w:color w:val="2D2D2D"/>
        </w:rPr>
        <w:t xml:space="preserve"> (2) que </w:t>
      </w:r>
      <w:r>
        <w:rPr>
          <w:b/>
          <w:color w:val="2D2D2D"/>
        </w:rPr>
        <w:t>supera al seasonal-naive</w:t>
      </w:r>
      <w:r>
        <w:rPr>
          <w:color w:val="2D2D2D"/>
        </w:rPr>
        <w:t xml:space="preserve">, y se reporta su </w:t>
      </w:r>
      <w:r>
        <w:rPr>
          <w:b/>
          <w:color w:val="2D2D2D"/>
        </w:rPr>
        <w:t>intervalo</w:t>
      </w:r>
      <w:r>
        <w:rPr>
          <w:color w:val="2D2D2D"/>
        </w:rPr>
        <w:t xml:space="preserve"> al horizonte de negocio. Desarrollo completo en la guía de supuestos de la sesión, Partes 2 a 4; la identificación del orden ARIMA/SARIMA vive en la guía hermana </w:t>
      </w:r>
      <w:r>
        <w:rPr>
          <w:rFonts w:ascii="Consolas" w:hAnsi="Consolas"/>
          <w:color w:val="2D2D2D"/>
          <w:sz w:val="19"/>
        </w:rPr>
        <w:t>plantillas/guia_acf_pacf.docx</w:t>
      </w:r>
      <w:r>
        <w:rPr>
          <w:color w:val="2D2D2D"/>
        </w:rPr>
        <w:t>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Checklist antes de entregar</w:t>
      </w:r>
    </w:p>
    <w:p>
      <w:pPr>
        <w:pStyle w:val="ListBullet"/>
        <w:spacing w:after="40"/>
      </w:pPr>
      <w:r>
        <w:t>[ ] 1. ¿Se identificó el modelo con la ruta Box-Jenkins (STL → ADF/KPSS → ACF/PACF → orden → diagnóstico) y los residuos son ruido blanco (Ljung-Box p &gt; 0,05)?</w:t>
      </w:r>
    </w:p>
    <w:p>
      <w:pPr>
        <w:pStyle w:val="ListBullet"/>
        <w:spacing w:after="40"/>
      </w:pPr>
      <w:r>
        <w:t xml:space="preserve">[ ] 2. ¿El pronóstico se acompaña de su </w:t>
      </w:r>
      <w:r>
        <w:rPr>
          <w:b/>
        </w:rPr>
        <w:t>intervalo de predicción</w:t>
      </w:r>
      <w:r>
        <w:t xml:space="preserve"> (no solo la media puntual)?</w:t>
      </w:r>
    </w:p>
    <w:p>
      <w:pPr>
        <w:pStyle w:val="ListBullet"/>
        <w:spacing w:after="40"/>
      </w:pPr>
      <w:r>
        <w:t xml:space="preserve">[ ] 3. ¿La validación es </w:t>
      </w:r>
      <w:r>
        <w:rPr>
          <w:b/>
        </w:rPr>
        <w:t>rolling-origin</w:t>
      </w:r>
      <w:r>
        <w:t xml:space="preserve"> (nunca K-fold aleatorio) con </w:t>
      </w:r>
      <w:r>
        <w:rPr>
          <w:rFonts w:ascii="Consolas" w:hAnsi="Consolas"/>
          <w:color w:val="9B1B30"/>
          <w:sz w:val="19"/>
        </w:rPr>
        <w:t>initial/horizon/step</w:t>
      </w:r>
      <w:r>
        <w:t xml:space="preserve"> fijados al pie?</w:t>
      </w:r>
    </w:p>
    <w:p>
      <w:pPr>
        <w:pStyle w:val="ListBullet"/>
        <w:spacing w:after="40"/>
      </w:pPr>
      <w:r>
        <w:t xml:space="preserve">[ ] 4. ¿Se reporta </w:t>
      </w:r>
      <w:r>
        <w:rPr>
          <w:b/>
        </w:rPr>
        <w:t>sMAPE</w:t>
      </w:r>
      <w:r>
        <w:t xml:space="preserve"> (con su definición exacta) además de RMSE/MAPE, y al </w:t>
      </w:r>
      <w:r>
        <w:rPr>
          <w:b/>
        </w:rPr>
        <w:t>horizonte de negocio</w:t>
      </w:r>
      <w:r>
        <w:t>?</w:t>
      </w:r>
    </w:p>
    <w:p>
      <w:pPr>
        <w:pStyle w:val="ListBullet"/>
        <w:spacing w:after="40"/>
      </w:pPr>
      <w:r>
        <w:t xml:space="preserve">[ ] 5. ¿Se comparó </w:t>
      </w:r>
      <w:r>
        <w:rPr>
          <w:b/>
        </w:rPr>
        <w:t>obligatoriamente</w:t>
      </w:r>
      <w:r>
        <w:t xml:space="preserve"> contra el </w:t>
      </w:r>
      <w:r>
        <w:rPr>
          <w:b/>
        </w:rPr>
        <w:t>seasonal-naive</w:t>
      </w:r>
      <w:r>
        <w:t xml:space="preserve"> y el campeón lo </w:t>
      </w:r>
      <w:r>
        <w:rPr>
          <w:b/>
        </w:rPr>
        <w:t>supera</w:t>
      </w:r>
      <w:r>
        <w:t>?</w:t>
      </w:r>
    </w:p>
    <w:p>
      <w:pPr>
        <w:pStyle w:val="ListBullet"/>
        <w:spacing w:after="40"/>
      </w:pPr>
      <w:r>
        <w:t xml:space="preserve">[ ] 6. ¿El campeón se eligió por sMAPE </w:t>
      </w:r>
      <w:r>
        <w:rPr>
          <w:b/>
        </w:rPr>
        <w:t>medio sobre los orígenes</w:t>
      </w:r>
      <w:r>
        <w:t xml:space="preserve"> (no por un origen aislado)?</w:t>
      </w:r>
    </w:p>
    <w:p>
      <w:pPr>
        <w:pStyle w:val="ListBullet"/>
        <w:spacing w:after="40"/>
      </w:pPr>
      <w:r>
        <w:t xml:space="preserve">[ ] 7. ¿Las curvas (pronóstico + intervalo, error vs. horizonte) se trazaron </w:t>
      </w:r>
      <w:r>
        <w:rPr>
          <w:b/>
        </w:rPr>
        <w:t>al leer el Excel</w:t>
      </w:r>
      <w:r>
        <w:t xml:space="preserve"> </w:t>
      </w:r>
      <w:r>
        <w:rPr>
          <w:rFonts w:ascii="Consolas" w:hAnsi="Consolas"/>
          <w:color w:val="9B1B30"/>
          <w:sz w:val="19"/>
        </w:rPr>
        <w:t>resultados/S11_resultados.xlsx</w:t>
      </w:r>
      <w:r>
        <w:t>?</w:t>
      </w:r>
    </w:p>
    <w:p>
      <w:pPr>
        <w:pStyle w:val="ListBullet"/>
        <w:spacing w:after="40"/>
      </w:pPr>
      <w:r>
        <w:t xml:space="preserve">[ ] 8. ¿Se auditó la </w:t>
      </w:r>
      <w:r>
        <w:rPr>
          <w:b/>
        </w:rPr>
        <w:t>fuga temporal</w:t>
      </w:r>
      <w:r>
        <w:t xml:space="preserve"> (features solo del pasado, escalado ajustado en train, sin mirar el futuro)?</w:t>
      </w:r>
    </w:p>
    <w:p>
      <w:pPr>
        <w:pStyle w:val="ListBullet"/>
        <w:spacing w:after="40"/>
      </w:pPr>
      <w:r>
        <w:t xml:space="preserve">[ ] 9. ¿Toda cifra propia está etiquetada </w:t>
      </w:r>
      <w:r>
        <w:rPr>
          <w:i/>
        </w:rPr>
        <w:t>operativo = venv</w:t>
      </w:r>
      <w:r>
        <w:t xml:space="preserve"> y las de otros pipelines van marcadas como benchmark publicado?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materializa el </w:t>
      </w:r>
      <w:r>
        <w:rPr>
          <w:b/>
          <w:color w:val="2D2D2D"/>
        </w:rPr>
        <w:t>entregable evaluable</w:t>
      </w:r>
      <w:r>
        <w:rPr>
          <w:color w:val="2D2D2D"/>
        </w:rPr>
        <w:t xml:space="preserve"> de S11: el pronóstico mensual de demanda de un producto (Store Item Demand) con intervalos y backtesting de origen móvil. Se completa con los resultados del cuaderno </w:t>
      </w:r>
      <w:r>
        <w:rPr>
          <w:rFonts w:ascii="Consolas" w:hAnsi="Consolas"/>
          <w:color w:val="2D2D2D"/>
          <w:sz w:val="19"/>
        </w:rPr>
        <w:t>notebook/S11_series_temporales.ipynb</w:t>
      </w:r>
      <w:r>
        <w:rPr>
          <w:color w:val="2D2D2D"/>
        </w:rPr>
        <w:t xml:space="preserve"> (métricas y curvas exportadas a </w:t>
      </w:r>
      <w:r>
        <w:rPr>
          <w:rFonts w:ascii="Consolas" w:hAnsi="Consolas"/>
          <w:color w:val="2D2D2D"/>
          <w:sz w:val="19"/>
        </w:rPr>
        <w:t>resultados/S11_resultados.xlsx</w:t>
      </w:r>
      <w:r>
        <w:rPr>
          <w:color w:val="2D2D2D"/>
        </w:rPr>
        <w:t xml:space="preserve">, hoja </w:t>
      </w:r>
      <w:r>
        <w:rPr>
          <w:rFonts w:ascii="Consolas" w:hAnsi="Consolas"/>
          <w:color w:val="2D2D2D"/>
          <w:sz w:val="19"/>
        </w:rPr>
        <w:t>series_airpassengers</w:t>
      </w:r>
      <w:r>
        <w:rPr>
          <w:color w:val="2D2D2D"/>
        </w:rPr>
        <w:t xml:space="preserve">) y acompaña al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con su rúbrica vigesimal 0–20 y al drill 3 (</w:t>
      </w:r>
      <w:r>
        <w:rPr>
          <w:rFonts w:ascii="Consolas" w:hAnsi="Consolas"/>
          <w:color w:val="2D2D2D"/>
          <w:sz w:val="19"/>
        </w:rPr>
        <w:t>evaluacion/drills.docx</w:t>
      </w:r>
      <w:r>
        <w:rPr>
          <w:color w:val="2D2D2D"/>
        </w:rPr>
        <w:t xml:space="preserve">: implementar rolling-origin y comparar tres modelos). La identificación de órdenes (p,d,q) se apoya en la guía hermana </w:t>
      </w:r>
      <w:r>
        <w:rPr>
          <w:rFonts w:ascii="Consolas" w:hAnsi="Consolas"/>
          <w:color w:val="2D2D2D"/>
          <w:sz w:val="19"/>
        </w:rPr>
        <w:t>plantillas/guia_acf_pacf.docx</w:t>
      </w:r>
      <w:r>
        <w:rPr>
          <w:color w:val="2D2D2D"/>
        </w:rPr>
        <w:t xml:space="preserve">; el paso a paso del laboratorio está en </w:t>
      </w:r>
      <w:r>
        <w:rPr>
          <w:rFonts w:ascii="Consolas" w:hAnsi="Consolas"/>
          <w:color w:val="2D2D2D"/>
          <w:sz w:val="19"/>
        </w:rPr>
        <w:t>laboratorio/GUIA_LABORATORIO_S11.docx</w:t>
      </w:r>
      <w:r>
        <w:rPr>
          <w:color w:val="2D2D2D"/>
        </w:rPr>
        <w:t>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Derivado declarado para la sesión de réplica del paper (Sección 3 resultado a reproducir, Sección 4 tabla de targets y operativos del venv, Sección 5 procedimiento, Sección 7 advertencias de leakage) e la guía de interpretación de resultados (Sección 5 pronóstico e intervalos, Sección 8 backtesting rolling-origin y comparación por sMAPE, Sección 9 señales de fuga temporal). Fuentes: Tashman (2000), IJF 16(4):437-450 (out-of-sample / rolling-origin); Bergmeir &amp; Benítez (2012), Information Sciences 191:192-213 (CV para series); Hyndman &amp; Koehler (2006), IJF 22(4):679-688 (métricas de error); Makridakis, Spiliotis &amp; Assimakopoulos (2020), IJF 36(1):54-74 (sMAPE en M4); Box &amp; Jenkins (1970) (modelo aerolínea sobre AirPassengers); Albelali &amp; Ahmed (2025), arXiv 2512.06932 (fuga temporal).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pronóstico — intervalos de predicción y backtesting de origen móvil (rolling-origin)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