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S13</w:t>
      </w:r>
    </w:p>
    <w:p>
      <w:pPr>
        <w:pBdr>
          <w:bottom w:val="single" w:color="E4002B" w:sz="18" w:space="10"/>
        </w:pBdr>
        <w:spacing w:after="160"/>
      </w:pPr>
      <w:r>
        <w:rPr>
          <w:rFonts w:ascii="Cambria" w:cs="Cambria" w:eastAsia="Cambria" w:hAnsi="Cambria"/>
          <w:color w:val="7A1526"/>
          <w:sz w:val="28"/>
          <w:szCs w:val="28"/>
        </w:rPr>
        <w:t xml:space="preserve">Análisis de supervivencia: censura, Kaplan-Meier, Cox y CLV</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13 · Análisis de supervivencia: Kaplan-Meier, Cox y Customer Lifetime Value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notebook/S13_supervivencia.ipynb</w:t>
            </w:r>
          </w:p>
        </w:tc>
      </w:tr>
    </w:tbl>
    <w:p>
      <w:pPr>
        <w:spacing w:after="150"/>
      </w:pPr>
    </w:p>
    <w:p>
      <w:pPr>
        <w:spacing w:after="180" w:line="265"/>
      </w:pPr>
      <w:r>
        <w:rPr>
          <w:rFonts w:ascii="Cambria" w:cs="Cambria" w:eastAsia="Cambria" w:hAnsi="Cambria"/>
          <w:color w:val="3A3A3A"/>
          <w:sz w:val="18"/>
          <w:szCs w:val="18"/>
        </w:rPr>
        <w:t xml:space="preserve">Material del estudiante. Español impersonal. Tres ejercicios de práctica de la Sesión 13 (Análisis de supervivencia: datos censurados, Kaplan-Meier y log-rank, regresión de Cox y hazard ratio, supuesto de hazards proporcionales y su diagnóstico con residuales de Schoenfeld, y CLV desde la curva de supervivencia). Se resuelven en parejas; la entrega es individual.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notebook/S13_supervivencia.ipynb</w:t>
      </w:r>
      <w:r>
        <w:rPr>
          <w:rFonts w:ascii="Cambria" w:cs="Cambria" w:eastAsia="Cambria" w:hAnsi="Cambria"/>
          <w:color w:val="3A3A3A"/>
          <w:sz w:val="18"/>
          <w:szCs w:val="18"/>
        </w:rPr>
        <w:t xml:space="preserve">, la guía </w:t>
      </w:r>
      <w:r>
        <w:rPr>
          <w:rFonts w:ascii="Consolas" w:cs="Consolas" w:eastAsia="Consolas" w:hAnsi="Consolas"/>
          <w:color w:val="7A1526"/>
          <w:sz w:val="16"/>
          <w:szCs w:val="16"/>
        </w:rPr>
        <w:t xml:space="preserve">plantillas/guia_schoenfeld.docx</w:t>
      </w:r>
      <w:r>
        <w:rPr>
          <w:rFonts w:ascii="Cambria" w:cs="Cambria" w:eastAsia="Cambria" w:hAnsi="Cambria"/>
          <w:color w:val="3A3A3A"/>
          <w:sz w:val="18"/>
          <w:szCs w:val="18"/>
        </w:rPr>
        <w:t xml:space="preserve"> (diagnóstico del supuesto de hazards proporcionales con Schoenfeld — Drill 3), la plantilla </w:t>
      </w:r>
      <w:r>
        <w:rPr>
          <w:rFonts w:ascii="Consolas" w:cs="Consolas" w:eastAsia="Consolas" w:hAnsi="Consolas"/>
          <w:color w:val="7A1526"/>
          <w:sz w:val="16"/>
          <w:szCs w:val="16"/>
        </w:rPr>
        <w:t xml:space="preserve">plantillas/reporte_supervivencia_clv.docx</w:t>
      </w:r>
      <w:r>
        <w:rPr>
          <w:rFonts w:ascii="Cambria" w:cs="Cambria" w:eastAsia="Cambria" w:hAnsi="Cambria"/>
          <w:color w:val="3A3A3A"/>
          <w:sz w:val="18"/>
          <w:szCs w:val="18"/>
        </w:rPr>
        <w:t xml:space="preserve"> (curvas KM por segmento, tabla de HR con IC, log-rank y CLV — Drills 1 y 2),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Convención del curso: el análisis se apoya en </w:t>
      </w:r>
      <w:r>
        <w:rPr>
          <w:rFonts w:ascii="Consolas" w:cs="Consolas" w:eastAsia="Consolas" w:hAnsi="Consolas"/>
          <w:color w:val="7A1526"/>
          <w:sz w:val="16"/>
          <w:szCs w:val="16"/>
        </w:rPr>
        <w:t xml:space="preserve">lifelines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KaplanMeierFitter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CoxPHFitter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logrank_test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proportional_hazard_test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WeibullFitter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pandas</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numpy</w:t>
      </w:r>
      <w:r>
        <w:rPr>
          <w:rFonts w:ascii="Cambria" w:cs="Cambria" w:eastAsia="Cambria" w:hAnsi="Cambria"/>
          <w:color w:val="3A3A3A"/>
          <w:sz w:val="18"/>
          <w:szCs w:val="18"/>
        </w:rPr>
        <w:t xml:space="preserve">. Términos técnicos canónicos en inglés (hazard ratio, log-rank, hazard, churn, Customer Lifetime Value).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sistemas de recomendación (S14); el CLV y el churn de esta sesión </w:t>
      </w:r>
      <w:r>
        <w:rPr>
          <w:rFonts w:ascii="Cambria" w:cs="Cambria" w:eastAsia="Cambria" w:hAnsi="Cambria"/>
          <w:b/>
          <w:bCs/>
          <w:color w:val="3A3A3A"/>
          <w:sz w:val="18"/>
          <w:szCs w:val="18"/>
        </w:rPr>
        <w:t xml:space="preserve">conectan</w:t>
      </w:r>
      <w:r>
        <w:rPr>
          <w:rFonts w:ascii="Cambria" w:cs="Cambria" w:eastAsia="Cambria" w:hAnsi="Cambria"/>
          <w:color w:val="3A3A3A"/>
          <w:sz w:val="18"/>
          <w:szCs w:val="18"/>
        </w:rPr>
        <w:t xml:space="preserve"> con la logística (S09) y la causalidad (S12) solo como transversal, no se re-explican esos modelos. Los tres drills se resuelven </w:t>
      </w:r>
      <w:r>
        <w:rPr>
          <w:rFonts w:ascii="Cambria" w:cs="Cambria" w:eastAsia="Cambria" w:hAnsi="Cambria"/>
          <w:b/>
          <w:bCs/>
          <w:color w:val="3A3A3A"/>
          <w:sz w:val="18"/>
          <w:szCs w:val="18"/>
        </w:rPr>
        <w:t xml:space="preserve">de forma manual</w:t>
      </w:r>
      <w:r>
        <w:rPr>
          <w:rFonts w:ascii="Cambria" w:cs="Cambria" w:eastAsia="Cambria" w:hAnsi="Cambria"/>
          <w:color w:val="3A3A3A"/>
          <w:sz w:val="18"/>
          <w:szCs w:val="18"/>
        </w:rPr>
        <w:t xml:space="preserve"> sobre las tablas de datos de cada enunciado (papel y lápiz); las cifras provienen del cuaderno / </w:t>
      </w:r>
      <w:r>
        <w:rPr>
          <w:rFonts w:ascii="Consolas" w:cs="Consolas" w:eastAsia="Consolas" w:hAnsi="Consolas"/>
          <w:color w:val="7A1526"/>
          <w:sz w:val="16"/>
          <w:szCs w:val="16"/>
        </w:rPr>
        <w:t xml:space="preserve">resultados/S13_resultados.xlsx</w:t>
      </w:r>
      <w:r>
        <w:rPr>
          <w:rFonts w:ascii="Cambria" w:cs="Cambria" w:eastAsia="Cambria" w:hAnsi="Cambria"/>
          <w:color w:val="3A3A3A"/>
          <w:sz w:val="18"/>
          <w:szCs w:val="18"/>
        </w:rPr>
        <w:t xml:space="preserve"> (operativo = venv). Un hazard ratio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una probabilidad ni un «cuántas veces antes»: es un cociente de tasas instantáneas — tenerlo presente en los tres ejercicios.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las destrezas que evalúa el entregable de la sesión: interpretar un hazard ratio de Cox en lenguaje de negocio y con su intervalo de confianza, comparar dos curvas de Kaplan-Meier con la prueba de log-rank, y diagnosticar la violación del supuesto de hazards proporcionales con residuales de Schoenfeld.</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Interpretar un hazard ratio de 1,8 en términos de negocio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Comparar dos curvas Kaplan-Meier con la prueba de log-rank</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Diagnosticar la violación del supuesto de hazards proporcionales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INTERPRETAR UN HAZARD RATIO DE 1,8 EN TÉRMINOS DE NEGOCIO</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equipo de retención ajusta una regresión de </w:t>
      </w:r>
      <w:r>
        <w:rPr>
          <w:rFonts w:ascii="Cambria" w:cs="Cambria" w:eastAsia="Cambria" w:hAnsi="Cambria"/>
          <w:b/>
          <w:bCs/>
          <w:color w:val="2D2D2D"/>
          <w:sz w:val="20"/>
          <w:szCs w:val="20"/>
        </w:rPr>
        <w:t xml:space="preserve">Cox</w:t>
      </w:r>
      <w:r>
        <w:rPr>
          <w:rFonts w:ascii="Cambria" w:cs="Cambria" w:eastAsia="Cambria" w:hAnsi="Cambria"/>
          <w:color w:val="2D2D2D"/>
          <w:sz w:val="20"/>
          <w:szCs w:val="20"/>
        </w:rPr>
        <w:t xml:space="preserve"> sobre el tiempo hasta el churn de una plataforma de suscripción. Para la variable «tipo de contrato mes-a-mes» (1 = mes-a-mes, 0 = anual) el modelo reporta un </w:t>
      </w:r>
      <w:r>
        <w:rPr>
          <w:rFonts w:ascii="Cambria" w:cs="Cambria" w:eastAsia="Cambria" w:hAnsi="Cambria"/>
          <w:b/>
          <w:bCs/>
          <w:color w:val="2D2D2D"/>
          <w:sz w:val="20"/>
          <w:szCs w:val="20"/>
        </w:rPr>
        <w:t xml:space="preserve">hazard ratio (HR) de 1,8</w:t>
      </w:r>
      <w:r>
        <w:rPr>
          <w:rFonts w:ascii="Cambria" w:cs="Cambria" w:eastAsia="Cambria" w:hAnsi="Cambria"/>
          <w:color w:val="2D2D2D"/>
          <w:sz w:val="20"/>
          <w:szCs w:val="20"/>
        </w:rPr>
        <w:t xml:space="preserve">, con un intervalo de confianza al 95 % de </w:t>
      </w:r>
      <w:r>
        <w:rPr>
          <w:rFonts w:ascii="Cambria" w:cs="Cambria" w:eastAsia="Cambria" w:hAnsi="Cambria"/>
          <w:b/>
          <w:bCs/>
          <w:color w:val="2D2D2D"/>
          <w:sz w:val="20"/>
          <w:szCs w:val="20"/>
        </w:rPr>
        <w:t xml:space="preserve">[1,45 — 2,23]</w:t>
      </w:r>
      <w:r>
        <w:rPr>
          <w:rFonts w:ascii="Cambria" w:cs="Cambria" w:eastAsia="Cambria" w:hAnsi="Cambria"/>
          <w:color w:val="2D2D2D"/>
          <w:sz w:val="20"/>
          <w:szCs w:val="20"/>
        </w:rPr>
        <w:t xml:space="preserve"> y p &lt; 0,001, con el resto de covariables controlado. Como referencia, el modelo también estima estos HR: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Covariable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HR = exp(β)</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IC 95 % (HR)</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Dirección</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contrato mes-a-mes (vs. anual)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1,80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[1,45 — 2,23]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descuento activo (sí/no)</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[0,48 — 0,75]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nº de incidencias de soporte (por incidencia)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1,25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[1,10 — 1,42]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antigüedad del gerente de cuenta (años)</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[0,92 — 1,19]</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Traducir el </w:t>
            </w:r>
            <w:r>
              <w:rPr>
                <w:rFonts w:ascii="Cambria" w:cs="Cambria" w:eastAsia="Cambria" w:hAnsi="Cambria"/>
                <w:b/>
                <w:bCs/>
                <w:color w:val="2D2D2D"/>
                <w:sz w:val="19"/>
                <w:szCs w:val="19"/>
              </w:rPr>
              <w:t xml:space="preserve">HR de 1,8</w:t>
            </w:r>
            <w:r>
              <w:rPr>
                <w:rFonts w:ascii="Cambria" w:cs="Cambria" w:eastAsia="Cambria" w:hAnsi="Cambria"/>
                <w:color w:val="2D2D2D"/>
                <w:sz w:val="19"/>
                <w:szCs w:val="19"/>
              </w:rPr>
              <w:t xml:space="preserve"> a una frase de negocio correcta. ¿Qué significa exactamente «1,8» sobre el hazard de churn? Señalar por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correcto decir «el 80 % se dará de baja» ni «se irán 1,8 veces antes».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Clasificar cada covariable de la tabla como </w:t>
            </w:r>
            <w:r>
              <w:rPr>
                <w:rFonts w:ascii="Cambria" w:cs="Cambria" w:eastAsia="Cambria" w:hAnsi="Cambria"/>
                <w:b/>
                <w:bCs/>
                <w:color w:val="2D2D2D"/>
                <w:sz w:val="19"/>
                <w:szCs w:val="19"/>
              </w:rPr>
              <w:t xml:space="preserve">factor de riesgo</w:t>
            </w:r>
            <w:r>
              <w:rPr>
                <w:rFonts w:ascii="Cambria" w:cs="Cambria" w:eastAsia="Cambria" w:hAnsi="Cambria"/>
                <w:color w:val="2D2D2D"/>
                <w:sz w:val="19"/>
                <w:szCs w:val="19"/>
              </w:rPr>
              <w:t xml:space="preserve"> (HR &gt; 1), </w:t>
            </w:r>
            <w:r>
              <w:rPr>
                <w:rFonts w:ascii="Cambria" w:cs="Cambria" w:eastAsia="Cambria" w:hAnsi="Cambria"/>
                <w:b/>
                <w:bCs/>
                <w:color w:val="2D2D2D"/>
                <w:sz w:val="19"/>
                <w:szCs w:val="19"/>
              </w:rPr>
              <w:t xml:space="preserve">factor protector</w:t>
            </w:r>
            <w:r>
              <w:rPr>
                <w:rFonts w:ascii="Cambria" w:cs="Cambria" w:eastAsia="Cambria" w:hAnsi="Cambria"/>
                <w:color w:val="2D2D2D"/>
                <w:sz w:val="19"/>
                <w:szCs w:val="19"/>
              </w:rPr>
              <w:t xml:space="preserve"> (HR &lt; 1) o </w:t>
            </w:r>
            <w:r>
              <w:rPr>
                <w:rFonts w:ascii="Cambria" w:cs="Cambria" w:eastAsia="Cambria" w:hAnsi="Cambria"/>
                <w:b/>
                <w:bCs/>
                <w:color w:val="2D2D2D"/>
                <w:sz w:val="19"/>
                <w:szCs w:val="19"/>
              </w:rPr>
              <w:t xml:space="preserve">sin efecto significativo</w:t>
            </w:r>
            <w:r>
              <w:rPr>
                <w:rFonts w:ascii="Cambria" w:cs="Cambria" w:eastAsia="Cambria" w:hAnsi="Cambria"/>
                <w:color w:val="2D2D2D"/>
                <w:sz w:val="19"/>
                <w:szCs w:val="19"/>
              </w:rPr>
              <w:t xml:space="preserve">, a partir del HR </w:t>
            </w:r>
            <w:r>
              <w:rPr>
                <w:rFonts w:ascii="Cambria" w:cs="Cambria" w:eastAsia="Cambria" w:hAnsi="Cambria"/>
                <w:b/>
                <w:bCs/>
                <w:color w:val="2D2D2D"/>
                <w:sz w:val="19"/>
                <w:szCs w:val="19"/>
              </w:rPr>
              <w:t xml:space="preserve">y su IC</w:t>
            </w:r>
            <w:r>
              <w:rPr>
                <w:rFonts w:ascii="Cambria" w:cs="Cambria" w:eastAsia="Cambria" w:hAnsi="Cambria"/>
                <w:color w:val="2D2D2D"/>
                <w:sz w:val="19"/>
                <w:szCs w:val="19"/>
              </w:rPr>
              <w:t xml:space="preserve">. ¿Cuál de las cuatro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significativa al 5 % y por qué?</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HR del descuento es 0,60 y el del contrato mes-a-mes es 1,80. Un analista dice: «como 1,80 − 1,00 = 0,80 y 1,00 − 0,60 = 0,40, el contrato pesa el doble que el descuento». Evaluar la afirmación y recordar que el efecto es </w:t>
            </w:r>
            <w:r>
              <w:rPr>
                <w:rFonts w:ascii="Cambria" w:cs="Cambria" w:eastAsia="Cambria" w:hAnsi="Cambria"/>
                <w:b/>
                <w:bCs/>
                <w:color w:val="2D2D2D"/>
                <w:sz w:val="19"/>
                <w:szCs w:val="19"/>
              </w:rPr>
              <w:t xml:space="preserve">multiplicativo</w:t>
            </w:r>
            <w:r>
              <w:rPr>
                <w:rFonts w:ascii="Cambria" w:cs="Cambria" w:eastAsia="Cambria" w:hAnsi="Cambria"/>
                <w:color w:val="2D2D2D"/>
                <w:sz w:val="19"/>
                <w:szCs w:val="19"/>
              </w:rPr>
              <w:t xml:space="preserve"> (pista: comparar </w:t>
            </w:r>
            <w:r>
              <w:rPr>
                <w:rFonts w:ascii="Consolas" w:cs="Consolas" w:eastAsia="Consolas" w:hAnsi="Consolas"/>
                <w:color w:val="7A1526"/>
                <w:sz w:val="17"/>
                <w:szCs w:val="17"/>
              </w:rPr>
              <w:t xml:space="preserve">exp(±β)</w:t>
            </w:r>
            <w:r>
              <w:rPr>
                <w:rFonts w:ascii="Cambria" w:cs="Cambria" w:eastAsia="Cambria" w:hAnsi="Cambria"/>
                <w:color w:val="2D2D2D"/>
                <w:sz w:val="19"/>
                <w:szCs w:val="19"/>
              </w:rPr>
              <w:t xml:space="preserve">, no las distancias a 1). ¿Qué HR representa el efecto protector «espejo» de un HR de riesgo de 2,0?</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cliente acumula </w:t>
            </w:r>
            <w:r>
              <w:rPr>
                <w:rFonts w:ascii="Cambria" w:cs="Cambria" w:eastAsia="Cambria" w:hAnsi="Cambria"/>
                <w:b/>
                <w:bCs/>
                <w:color w:val="2D2D2D"/>
                <w:sz w:val="19"/>
                <w:szCs w:val="19"/>
              </w:rPr>
              <w:t xml:space="preserve">3 incidencias de soporte</w:t>
            </w:r>
            <w:r>
              <w:rPr>
                <w:rFonts w:ascii="Cambria" w:cs="Cambria" w:eastAsia="Cambria" w:hAnsi="Cambria"/>
                <w:color w:val="2D2D2D"/>
                <w:sz w:val="19"/>
                <w:szCs w:val="19"/>
              </w:rPr>
              <w:t xml:space="preserve"> (HR 1,25 por incidencia). ¿Por cuánto se multiplica su hazard por ese solo factor? (pista: el efecto de una covariable continua se </w:t>
            </w:r>
            <w:r>
              <w:rPr>
                <w:rFonts w:ascii="Cambria" w:cs="Cambria" w:eastAsia="Cambria" w:hAnsi="Cambria"/>
                <w:b/>
                <w:bCs/>
                <w:color w:val="2D2D2D"/>
                <w:sz w:val="19"/>
                <w:szCs w:val="19"/>
              </w:rPr>
              <w:t xml:space="preserve">eleva a la potencia</w:t>
            </w:r>
            <w:r>
              <w:rPr>
                <w:rFonts w:ascii="Cambria" w:cs="Cambria" w:eastAsia="Cambria" w:hAnsi="Cambria"/>
                <w:color w:val="2D2D2D"/>
                <w:sz w:val="19"/>
                <w:szCs w:val="19"/>
              </w:rPr>
              <w:t xml:space="preserve"> del número de unidades, no se suma). Traducir el resultado a una acción de retención priorizada.</w:t>
            </w:r>
          </w:p>
        </w:tc>
      </w:tr>
    </w:tbl>
    <w:p>
      <w:pPr>
        <w:spacing w:after="220"/>
      </w:pPr>
    </w:p>
    <w:p>
      <w:pPr>
        <w:spacing w:after="260" w:line="265"/>
      </w:pPr>
      <w:r>
        <w:rPr>
          <w:rFonts w:ascii="Cambria" w:cs="Cambria" w:eastAsia="Cambria" w:hAnsi="Cambria"/>
          <w:i/>
          <w:iCs/>
          <w:color w:val="6E6E6E"/>
          <w:sz w:val="18"/>
          <w:szCs w:val="18"/>
        </w:rPr>
        <w:t xml:space="preserve">(Pista: el hazard ratio es la medida de efecto de la regresión de Cox, análoga al odds ratio de la logística de S09 pero sobre el hazard en el tiempo — no es lo mismo, no confundirlos. HR = 1 </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sin efecto; HR &gt; 1 </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riesgo; HR &lt; 1 </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protector; si el IC cruza 1, el efecto no es significativo al 5 %.)</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COMPARAR DOS CURVAS KAPLAN-MEIER CON LA PRUEBA DE LOG-RANK</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el dataset </w:t>
      </w:r>
      <w:r>
        <w:rPr>
          <w:rFonts w:ascii="Cambria" w:cs="Cambria" w:eastAsia="Cambria" w:hAnsi="Cambria"/>
          <w:b/>
          <w:bCs/>
          <w:color w:val="2D2D2D"/>
          <w:sz w:val="20"/>
          <w:szCs w:val="20"/>
        </w:rPr>
        <w:t xml:space="preserve">Rossi</w:t>
      </w:r>
      <w:r>
        <w:rPr>
          <w:rFonts w:ascii="Cambria" w:cs="Cambria" w:eastAsia="Cambria" w:hAnsi="Cambria"/>
          <w:color w:val="2D2D2D"/>
          <w:sz w:val="20"/>
          <w:szCs w:val="20"/>
        </w:rPr>
        <w:t xml:space="preserve"> (432 ex-reclusos seguidos 52 semanas; evento = re-arresto, duración = semana), el cuaderno estima dos curvas de </w:t>
      </w:r>
      <w:r>
        <w:rPr>
          <w:rFonts w:ascii="Cambria" w:cs="Cambria" w:eastAsia="Cambria" w:hAnsi="Cambria"/>
          <w:b/>
          <w:bCs/>
          <w:color w:val="2D2D2D"/>
          <w:sz w:val="20"/>
          <w:szCs w:val="20"/>
        </w:rPr>
        <w:t xml:space="preserve">Kaplan-Meier</w:t>
      </w:r>
      <w:r>
        <w:rPr>
          <w:rFonts w:ascii="Cambria" w:cs="Cambria" w:eastAsia="Cambria" w:hAnsi="Cambria"/>
          <w:color w:val="2D2D2D"/>
          <w:sz w:val="20"/>
          <w:szCs w:val="20"/>
        </w:rPr>
        <w:t xml:space="preserve"> de la supervivencia </w:t>
      </w:r>
      <w:r>
        <w:rPr>
          <w:rFonts w:ascii="Consolas" w:cs="Consolas" w:eastAsia="Consolas" w:hAnsi="Consolas"/>
          <w:color w:val="7A1526"/>
          <w:sz w:val="18"/>
          <w:szCs w:val="18"/>
        </w:rPr>
        <w:t xml:space="preserve">S(t)</w:t>
      </w:r>
      <w:r>
        <w:rPr>
          <w:rFonts w:ascii="Cambria" w:cs="Cambria" w:eastAsia="Cambria" w:hAnsi="Cambria"/>
          <w:color w:val="2D2D2D"/>
          <w:sz w:val="20"/>
          <w:szCs w:val="20"/>
        </w:rPr>
        <w:t xml:space="preserve"> según la ayuda financiera </w:t>
      </w:r>
      <w:r>
        <w:rPr>
          <w:rFonts w:ascii="Consolas" w:cs="Consolas" w:eastAsia="Consolas" w:hAnsi="Consolas"/>
          <w:color w:val="7A1526"/>
          <w:sz w:val="18"/>
          <w:szCs w:val="18"/>
        </w:rPr>
        <w:t xml:space="preserve">fin</w:t>
      </w:r>
      <w:r>
        <w:rPr>
          <w:rFonts w:ascii="Cambria" w:cs="Cambria" w:eastAsia="Cambria" w:hAnsi="Cambria"/>
          <w:color w:val="2D2D2D"/>
          <w:sz w:val="20"/>
          <w:szCs w:val="20"/>
        </w:rPr>
        <w:t xml:space="preserve"> (0 = sin ayuda, 1 = con ayuda) y las compara con la prueba de </w:t>
      </w:r>
      <w:r>
        <w:rPr>
          <w:rFonts w:ascii="Cambria" w:cs="Cambria" w:eastAsia="Cambria" w:hAnsi="Cambria"/>
          <w:b/>
          <w:bCs/>
          <w:color w:val="2D2D2D"/>
          <w:sz w:val="20"/>
          <w:szCs w:val="20"/>
        </w:rPr>
        <w:t xml:space="preserve">log-rank</w:t>
      </w:r>
      <w:r>
        <w:rPr>
          <w:rFonts w:ascii="Cambria" w:cs="Cambria" w:eastAsia="Cambria" w:hAnsi="Cambria"/>
          <w:color w:val="2D2D2D"/>
          <w:sz w:val="20"/>
          <w:szCs w:val="20"/>
        </w:rPr>
        <w:t xml:space="preserve">. Resultado del cuaderno (operativo = venv):</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Grupo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n</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Eventos (re-arrestos)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S(52) (retención a 52 semanas)</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fin = 0</w:t>
            </w:r>
            <w:r>
              <w:rPr>
                <w:rFonts w:ascii="Calibri" w:cs="Calibri" w:eastAsia="Calibri" w:hAnsi="Calibri"/>
                <w:b/>
                <w:bCs/>
                <w:color w:val="7A1526"/>
                <w:sz w:val="18"/>
                <w:szCs w:val="18"/>
              </w:rPr>
              <w:t xml:space="preserve"> (sin ayuda)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0,6944</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fin = 1</w:t>
            </w:r>
            <w:r>
              <w:rPr>
                <w:rFonts w:ascii="Calibri" w:cs="Calibri" w:eastAsia="Calibri" w:hAnsi="Calibri"/>
                <w:b/>
                <w:bCs/>
                <w:color w:val="7A1526"/>
                <w:sz w:val="18"/>
                <w:szCs w:val="18"/>
              </w:rPr>
              <w:t xml:space="preserve"> (con ayuda)</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48</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0,7778</w:t>
            </w:r>
          </w:p>
        </w:tc>
      </w:tr>
    </w:tbl>
    <w:p>
      <w:pPr>
        <w:spacing w:after="220"/>
      </w:pPr>
    </w:p>
    <w:p>
      <w:pPr>
        <w:spacing w:line="270"/>
      </w:pPr>
      <w:r>
        <w:rPr>
          <w:rFonts w:ascii="Cambria" w:cs="Cambria" w:eastAsia="Cambria" w:hAnsi="Cambria"/>
          <w:color w:val="2D2D2D"/>
          <w:sz w:val="20"/>
          <w:szCs w:val="20"/>
        </w:rPr>
        <w:t xml:space="preserve">Prueba de log-rank entre los dos grupos: </w:t>
      </w:r>
      <w:r>
        <w:rPr>
          <w:rFonts w:ascii="Cambria" w:cs="Cambria" w:eastAsia="Cambria" w:hAnsi="Cambria"/>
          <w:b/>
          <w:bCs/>
          <w:color w:val="2D2D2D"/>
          <w:sz w:val="20"/>
          <w:szCs w:val="20"/>
        </w:rPr>
        <w:t xml:space="preserve">χ² = 3,838</w:t>
      </w:r>
      <w:r>
        <w:rPr>
          <w:rFonts w:ascii="Cambria" w:cs="Cambria" w:eastAsia="Cambria" w:hAnsi="Cambria"/>
          <w:color w:val="2D2D2D"/>
          <w:sz w:val="20"/>
          <w:szCs w:val="20"/>
        </w:rPr>
        <w:t xml:space="preserve">, 1 gl, </w:t>
      </w:r>
      <w:r>
        <w:rPr>
          <w:rFonts w:ascii="Cambria" w:cs="Cambria" w:eastAsia="Cambria" w:hAnsi="Cambria"/>
          <w:b/>
          <w:bCs/>
          <w:color w:val="2D2D2D"/>
          <w:sz w:val="20"/>
          <w:szCs w:val="20"/>
        </w:rPr>
        <w:t xml:space="preserve">p = 0,0501</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Leer la </w:t>
            </w:r>
            <w:r>
              <w:rPr>
                <w:rFonts w:ascii="Cambria" w:cs="Cambria" w:eastAsia="Cambria" w:hAnsi="Cambria"/>
                <w:b/>
                <w:bCs/>
                <w:color w:val="2D2D2D"/>
                <w:sz w:val="19"/>
                <w:szCs w:val="19"/>
              </w:rPr>
              <w:t xml:space="preserve">dirección</w:t>
            </w:r>
            <w:r>
              <w:rPr>
                <w:rFonts w:ascii="Cambria" w:cs="Cambria" w:eastAsia="Cambria" w:hAnsi="Cambria"/>
                <w:color w:val="2D2D2D"/>
                <w:sz w:val="19"/>
                <w:szCs w:val="19"/>
              </w:rPr>
              <w:t xml:space="preserve"> de la diferencia: ¿qué grupo «sobrevive» mejor (menos re-arrestos) y en cuántos puntos de retención a las 52 semanas? Conectar el signo con lo que se esperaría del hazard ratio de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en la regresión de Cox (¿HR de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mayor o menor que 1?).</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Interpretar el </w:t>
            </w:r>
            <w:r>
              <w:rPr>
                <w:rFonts w:ascii="Cambria" w:cs="Cambria" w:eastAsia="Cambria" w:hAnsi="Cambria"/>
                <w:b/>
                <w:bCs/>
                <w:color w:val="2D2D2D"/>
                <w:sz w:val="19"/>
                <w:szCs w:val="19"/>
              </w:rPr>
              <w:t xml:space="preserve">p-valor de 0,0501</w:t>
            </w:r>
            <w:r>
              <w:rPr>
                <w:rFonts w:ascii="Cambria" w:cs="Cambria" w:eastAsia="Cambria" w:hAnsi="Cambria"/>
                <w:color w:val="2D2D2D"/>
                <w:sz w:val="19"/>
                <w:szCs w:val="19"/>
              </w:rPr>
              <w:t xml:space="preserve"> frente al umbral de 0,05. ¿Se rechaza la igualdad de las curvas al 5 %? Discutir por qué un p </w:t>
            </w:r>
            <w:r>
              <w:rPr>
                <w:rFonts w:ascii="Cambria" w:cs="Cambria" w:eastAsia="Cambria" w:hAnsi="Cambria"/>
                <w:b/>
                <w:bCs/>
                <w:color w:val="2D2D2D"/>
                <w:sz w:val="19"/>
                <w:szCs w:val="19"/>
              </w:rPr>
              <w:t xml:space="preserve">justo en el límite</w:t>
            </w:r>
            <w:r>
              <w:rPr>
                <w:rFonts w:ascii="Cambria" w:cs="Cambria" w:eastAsia="Cambria" w:hAnsi="Cambria"/>
                <w:color w:val="2D2D2D"/>
                <w:sz w:val="19"/>
                <w:szCs w:val="19"/>
              </w:rPr>
              <w:t xml:space="preserve"> obliga a la cautela y por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debe leer como «las curvas son iguales».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qué mide —y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mide— la prueba de log-rank. Si un gerente pregunta «¿cuánto mejor retiene el grupo con ayuda?», ¿responde el log-rank a esa pregunta? ¿Qué salida del análisis sí cuantifica la magnitud del efecto?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Nombrar </w:t>
            </w:r>
            <w:r>
              <w:rPr>
                <w:rFonts w:ascii="Cambria" w:cs="Cambria" w:eastAsia="Cambria" w:hAnsi="Cambria"/>
                <w:b/>
                <w:bCs/>
                <w:color w:val="2D2D2D"/>
                <w:sz w:val="19"/>
                <w:szCs w:val="19"/>
              </w:rPr>
              <w:t xml:space="preserve">una</w:t>
            </w:r>
            <w:r>
              <w:rPr>
                <w:rFonts w:ascii="Cambria" w:cs="Cambria" w:eastAsia="Cambria" w:hAnsi="Cambria"/>
                <w:color w:val="2D2D2D"/>
                <w:sz w:val="19"/>
                <w:szCs w:val="19"/>
              </w:rPr>
              <w:t xml:space="preserve"> situación en la que la prueba de log-rank </w:t>
            </w:r>
            <w:r>
              <w:rPr>
                <w:rFonts w:ascii="Cambria" w:cs="Cambria" w:eastAsia="Cambria" w:hAnsi="Cambria"/>
                <w:b/>
                <w:bCs/>
                <w:color w:val="2D2D2D"/>
                <w:sz w:val="19"/>
                <w:szCs w:val="19"/>
              </w:rPr>
              <w:t xml:space="preserve">pierde potencia</w:t>
            </w:r>
            <w:r>
              <w:rPr>
                <w:rFonts w:ascii="Cambria" w:cs="Cambria" w:eastAsia="Cambria" w:hAnsi="Cambria"/>
                <w:color w:val="2D2D2D"/>
                <w:sz w:val="19"/>
                <w:szCs w:val="19"/>
              </w:rPr>
              <w:t xml:space="preserve"> y podría dar un p alto pese a que los grupos difieren (pista: pensar en dos curvas que </w:t>
            </w:r>
            <w:r>
              <w:rPr>
                <w:rFonts w:ascii="Cambria" w:cs="Cambria" w:eastAsia="Cambria" w:hAnsi="Cambria"/>
                <w:b/>
                <w:bCs/>
                <w:color w:val="2D2D2D"/>
                <w:sz w:val="19"/>
                <w:szCs w:val="19"/>
              </w:rPr>
              <w:t xml:space="preserve">se cruzan</w:t>
            </w:r>
            <w:r>
              <w:rPr>
                <w:rFonts w:ascii="Cambria" w:cs="Cambria" w:eastAsia="Cambria" w:hAnsi="Cambria"/>
                <w:color w:val="2D2D2D"/>
                <w:sz w:val="19"/>
                <w:szCs w:val="19"/>
              </w:rPr>
              <w:t xml:space="preserve">). ¿Qué error de lectura se comete al concluir «no difieren» en ese caso?</w:t>
            </w:r>
          </w:p>
        </w:tc>
      </w:tr>
    </w:tbl>
    <w:p>
      <w:pPr>
        <w:spacing w:after="220"/>
      </w:pPr>
    </w:p>
    <w:p>
      <w:pPr>
        <w:spacing w:after="260" w:line="265"/>
      </w:pPr>
      <w:r>
        <w:rPr>
          <w:rFonts w:ascii="Cambria" w:cs="Cambria" w:eastAsia="Cambria" w:hAnsi="Cambria"/>
          <w:i/>
          <w:iCs/>
          <w:color w:val="6E6E6E"/>
          <w:sz w:val="18"/>
          <w:szCs w:val="18"/>
        </w:rPr>
        <w:t xml:space="preserve">(Pista: el log-rank contrasta H₀: las curvas son iguales: para ello suma, en cada instante de evento, la diferencia entre eventos observados y esperados; da un p-valor, </w:t>
      </w:r>
      <w:r>
        <w:rPr>
          <w:rFonts w:ascii="Cambria" w:cs="Cambria" w:eastAsia="Cambria" w:hAnsi="Cambria"/>
          <w:b/>
          <w:bCs/>
          <w:i/>
          <w:iCs/>
          <w:color w:val="6E6E6E"/>
          <w:sz w:val="18"/>
          <w:szCs w:val="18"/>
        </w:rPr>
        <w:t xml:space="preserve">no</w:t>
      </w:r>
      <w:r>
        <w:rPr>
          <w:rFonts w:ascii="Cambria" w:cs="Cambria" w:eastAsia="Cambria" w:hAnsi="Cambria"/>
          <w:i/>
          <w:iCs/>
          <w:color w:val="6E6E6E"/>
          <w:sz w:val="18"/>
          <w:szCs w:val="18"/>
        </w:rPr>
        <w:t xml:space="preserve"> un tamaño de efecto. Los censurados no bajan el escalón de la curva, solo reducen el conjunto en riesgo. La magnitud del efecto la da la separación de las curvas o el hazard ratio de Cox.)</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Los clientes que sí abandonaron fueran, además, justo los que dejaron de responder las encuestas de satisfacción —es decir, la censura no fuera realmente independiente del evento—? ¿Seguiría siendo válida la curva de Kaplan-Meier estimada bajo ese supuesto roto? </w:t>
            </w:r>
            <w:r>
              <w:rPr>
                <w:rFonts w:ascii="Cambria" w:cs="Cambria" w:eastAsia="Cambria" w:hAnsi="Cambria"/>
                <w:i/>
                <w:iCs/>
                <w:color w:val="3A3A3A"/>
                <w:sz w:val="18"/>
                <w:szCs w:val="18"/>
              </w:rPr>
              <w:t xml:space="preserve">(La censura no informativa es el supuesto raíz, no verificable, de la guía de supuestos de la sesión, punto 1.1.)</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DIAGNOSTICAR LA VIOLACIÓN DEL SUPUESTO DE HAZARDS PROPORCIONALES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la misma regresión de </w:t>
      </w:r>
      <w:r>
        <w:rPr>
          <w:rFonts w:ascii="Cambria" w:cs="Cambria" w:eastAsia="Cambria" w:hAnsi="Cambria"/>
          <w:b/>
          <w:bCs/>
          <w:color w:val="2D2D2D"/>
          <w:sz w:val="20"/>
          <w:szCs w:val="20"/>
        </w:rPr>
        <w:t xml:space="preserve">Cox</w:t>
      </w:r>
      <w:r>
        <w:rPr>
          <w:rFonts w:ascii="Cambria" w:cs="Cambria" w:eastAsia="Cambria" w:hAnsi="Cambria"/>
          <w:color w:val="2D2D2D"/>
          <w:sz w:val="20"/>
          <w:szCs w:val="20"/>
        </w:rPr>
        <w:t xml:space="preserve"> de Rossi (7 covariables), el cuaderno corre el test de </w:t>
      </w:r>
      <w:r>
        <w:rPr>
          <w:rFonts w:ascii="Cambria" w:cs="Cambria" w:eastAsia="Cambria" w:hAnsi="Cambria"/>
          <w:b/>
          <w:bCs/>
          <w:color w:val="2D2D2D"/>
          <w:sz w:val="20"/>
          <w:szCs w:val="20"/>
        </w:rPr>
        <w:t xml:space="preserve">hazards proporcionales</w:t>
      </w:r>
      <w:r>
        <w:rPr>
          <w:rFonts w:ascii="Cambria" w:cs="Cambria" w:eastAsia="Cambria" w:hAnsi="Cambria"/>
          <w:color w:val="2D2D2D"/>
          <w:sz w:val="20"/>
          <w:szCs w:val="20"/>
        </w:rPr>
        <w:t xml:space="preserve"> con residuales de </w:t>
      </w:r>
      <w:r>
        <w:rPr>
          <w:rFonts w:ascii="Cambria" w:cs="Cambria" w:eastAsia="Cambria" w:hAnsi="Cambria"/>
          <w:b/>
          <w:bCs/>
          <w:color w:val="2D2D2D"/>
          <w:sz w:val="20"/>
          <w:szCs w:val="20"/>
        </w:rPr>
        <w:t xml:space="preserve">Schoenfeld</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proportional_hazard_test</w:t>
      </w:r>
      <w:r>
        <w:rPr>
          <w:rFonts w:ascii="Cambria" w:cs="Cambria" w:eastAsia="Cambria" w:hAnsi="Cambria"/>
          <w:color w:val="2D2D2D"/>
          <w:sz w:val="20"/>
          <w:szCs w:val="20"/>
        </w:rPr>
        <w:t xml:space="preserve">, transformación de rango). Resultado (operativo = venv):</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Covariable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test_statistic (χ²)</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 (Schoenfeld)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 (tabla de Cox)</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age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11,45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0,0007</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wexp</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7,31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0,0068</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0,48</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race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1,43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0,232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0,31</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mar</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0,26</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paro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0,714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prio</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0,019</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0,891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&lt; 0,005</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fin</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0,902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Identificar qué covariables </w:t>
            </w:r>
            <w:r>
              <w:rPr>
                <w:rFonts w:ascii="Cambria" w:cs="Cambria" w:eastAsia="Cambria" w:hAnsi="Cambria"/>
                <w:b/>
                <w:bCs/>
                <w:color w:val="2D2D2D"/>
                <w:sz w:val="19"/>
                <w:szCs w:val="19"/>
              </w:rPr>
              <w:t xml:space="preserve">violan</w:t>
            </w:r>
            <w:r>
              <w:rPr>
                <w:rFonts w:ascii="Cambria" w:cs="Cambria" w:eastAsia="Cambria" w:hAnsi="Cambria"/>
                <w:color w:val="2D2D2D"/>
                <w:sz w:val="19"/>
                <w:szCs w:val="19"/>
              </w:rPr>
              <w:t xml:space="preserve"> el supuesto de hazards proporcionales según el test de Schoenfeld (umbral 0,05) y distinguir la violación </w:t>
            </w:r>
            <w:r>
              <w:rPr>
                <w:rFonts w:ascii="Cambria" w:cs="Cambria" w:eastAsia="Cambria" w:hAnsi="Cambria"/>
                <w:b/>
                <w:bCs/>
                <w:color w:val="2D2D2D"/>
                <w:sz w:val="19"/>
                <w:szCs w:val="19"/>
              </w:rPr>
              <w:t xml:space="preserve">clara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 ≪ 0,01) de la </w:t>
            </w:r>
            <w:r>
              <w:rPr>
                <w:rFonts w:ascii="Cambria" w:cs="Cambria" w:eastAsia="Cambria" w:hAnsi="Cambria"/>
                <w:b/>
                <w:bCs/>
                <w:color w:val="2D2D2D"/>
                <w:sz w:val="19"/>
                <w:szCs w:val="19"/>
              </w:rPr>
              <w:t xml:space="preserve">marginal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apenas por debajo de 0,05). ¿Qué covariables lo </w:t>
            </w:r>
            <w:r>
              <w:rPr>
                <w:rFonts w:ascii="Cambria" w:cs="Cambria" w:eastAsia="Cambria" w:hAnsi="Cambria"/>
                <w:b/>
                <w:bCs/>
                <w:color w:val="2D2D2D"/>
                <w:sz w:val="19"/>
                <w:szCs w:val="19"/>
              </w:rPr>
              <w:t xml:space="preserve">cumplen</w:t>
            </w:r>
            <w:r>
              <w:rPr>
                <w:rFonts w:ascii="Cambria" w:cs="Cambria" w:eastAsia="Cambria" w:hAnsi="Cambria"/>
                <w:color w:val="2D2D2D"/>
                <w:sz w:val="19"/>
                <w:szCs w:val="19"/>
              </w:rPr>
              <w:t xml:space="preserve"> holgadamente?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covariable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tiene </w:t>
            </w:r>
            <w:r>
              <w:rPr>
                <w:rFonts w:ascii="Cambria" w:cs="Cambria" w:eastAsia="Cambria" w:hAnsi="Cambria"/>
                <w:b/>
                <w:bCs/>
                <w:color w:val="2D2D2D"/>
                <w:sz w:val="19"/>
                <w:szCs w:val="19"/>
              </w:rPr>
              <w:t xml:space="preserve">p = 0,0007 en Schoenfeld</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p = 0,01 en la tabla de Cox</w:t>
            </w:r>
            <w:r>
              <w:rPr>
                <w:rFonts w:ascii="Cambria" w:cs="Cambria" w:eastAsia="Cambria" w:hAnsi="Cambria"/>
                <w:color w:val="2D2D2D"/>
                <w:sz w:val="19"/>
                <w:szCs w:val="19"/>
              </w:rPr>
              <w:t xml:space="preserve">. Explicar por qué esos dos p-valores «bajos» se leen de forma </w:t>
            </w:r>
            <w:r>
              <w:rPr>
                <w:rFonts w:ascii="Cambria" w:cs="Cambria" w:eastAsia="Cambria" w:hAnsi="Cambria"/>
                <w:b/>
                <w:bCs/>
                <w:color w:val="2D2D2D"/>
                <w:sz w:val="19"/>
                <w:szCs w:val="19"/>
              </w:rPr>
              <w:t xml:space="preserve">opuesta</w:t>
            </w:r>
            <w:r>
              <w:rPr>
                <w:rFonts w:ascii="Cambria" w:cs="Cambria" w:eastAsia="Cambria" w:hAnsi="Cambria"/>
                <w:color w:val="2D2D2D"/>
                <w:sz w:val="19"/>
                <w:szCs w:val="19"/>
              </w:rPr>
              <w:t xml:space="preserve">: uno es una buena señal y el otro una mala señal. ¿Cuál es cuál y por qué?</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violación de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proviene de que su efecto </w:t>
            </w:r>
            <w:r>
              <w:rPr>
                <w:rFonts w:ascii="Cambria" w:cs="Cambria" w:eastAsia="Cambria" w:hAnsi="Cambria"/>
                <w:b/>
                <w:bCs/>
                <w:color w:val="2D2D2D"/>
                <w:sz w:val="19"/>
                <w:szCs w:val="19"/>
              </w:rPr>
              <w:t xml:space="preserve">se vuelve más negativo con el tiempo</w:t>
            </w:r>
            <w:r>
              <w:rPr>
                <w:rFonts w:ascii="Cambria" w:cs="Cambria" w:eastAsia="Cambria" w:hAnsi="Cambria"/>
                <w:color w:val="2D2D2D"/>
                <w:sz w:val="19"/>
                <w:szCs w:val="19"/>
              </w:rPr>
              <w:t xml:space="preserve"> (la edad protege más a largo plazo). Un compañero propone «arreglarlo al borrar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del modelo». Rebatir la propuesta y listar las </w:t>
            </w:r>
            <w:r>
              <w:rPr>
                <w:rFonts w:ascii="Cambria" w:cs="Cambria" w:eastAsia="Cambria" w:hAnsi="Cambria"/>
                <w:b/>
                <w:bCs/>
                <w:color w:val="2D2D2D"/>
                <w:sz w:val="19"/>
                <w:szCs w:val="19"/>
              </w:rPr>
              <w:t xml:space="preserve">tres</w:t>
            </w:r>
            <w:r>
              <w:rPr>
                <w:rFonts w:ascii="Cambria" w:cs="Cambria" w:eastAsia="Cambria" w:hAnsi="Cambria"/>
                <w:color w:val="2D2D2D"/>
                <w:sz w:val="19"/>
                <w:szCs w:val="19"/>
              </w:rPr>
              <w:t xml:space="preserve"> correcciones válidas que ofrece la guía de la sesión.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tiene un p de Schoenfeld de 0,891 (cumple PH) pero un p en la tabla de Cox de &lt; 0,005 (muy significativa). ¿Se contradicen? Explicar qué dice cada prueba sobre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por separado (pista: una prueba mira </w:t>
            </w:r>
            <w:r>
              <w:rPr>
                <w:rFonts w:ascii="Cambria" w:cs="Cambria" w:eastAsia="Cambria" w:hAnsi="Cambria"/>
                <w:b/>
                <w:bCs/>
                <w:color w:val="2D2D2D"/>
                <w:sz w:val="19"/>
                <w:szCs w:val="19"/>
              </w:rPr>
              <w:t xml:space="preserve">si el efecto existe</w:t>
            </w:r>
            <w:r>
              <w:rPr>
                <w:rFonts w:ascii="Cambria" w:cs="Cambria" w:eastAsia="Cambria" w:hAnsi="Cambria"/>
                <w:color w:val="2D2D2D"/>
                <w:sz w:val="19"/>
                <w:szCs w:val="19"/>
              </w:rPr>
              <w:t xml:space="preserve">; la otra, </w:t>
            </w:r>
            <w:r>
              <w:rPr>
                <w:rFonts w:ascii="Cambria" w:cs="Cambria" w:eastAsia="Cambria" w:hAnsi="Cambria"/>
                <w:b/>
                <w:bCs/>
                <w:color w:val="2D2D2D"/>
                <w:sz w:val="19"/>
                <w:szCs w:val="19"/>
              </w:rPr>
              <w:t xml:space="preserve">si el efecto es constante en el tiempo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i/>
          <w:iCs/>
          <w:color w:val="6E6E6E"/>
          <w:sz w:val="18"/>
          <w:szCs w:val="18"/>
        </w:rPr>
        <w:t xml:space="preserve">(Pista: en el test de Schoenfeld un p </w:t>
      </w:r>
      <w:r>
        <w:rPr>
          <w:rFonts w:ascii="Cambria" w:cs="Cambria" w:eastAsia="Cambria" w:hAnsi="Cambria"/>
          <w:b/>
          <w:bCs/>
          <w:i/>
          <w:iCs/>
          <w:color w:val="6E6E6E"/>
          <w:sz w:val="18"/>
          <w:szCs w:val="18"/>
        </w:rPr>
        <w:t xml:space="preserve">bajo</w:t>
      </w:r>
      <w:r>
        <w:rPr>
          <w:rFonts w:ascii="Cambria" w:cs="Cambria" w:eastAsia="Cambria" w:hAnsi="Cambria"/>
          <w:i/>
          <w:iCs/>
          <w:color w:val="6E6E6E"/>
          <w:sz w:val="18"/>
          <w:szCs w:val="18"/>
        </w:rPr>
        <w:t xml:space="preserve"> es </w:t>
      </w:r>
      <w:r>
        <w:rPr>
          <w:rFonts w:ascii="Cambria" w:cs="Cambria" w:eastAsia="Cambria" w:hAnsi="Cambria"/>
          <w:b/>
          <w:bCs/>
          <w:i/>
          <w:iCs/>
          <w:color w:val="6E6E6E"/>
          <w:sz w:val="18"/>
          <w:szCs w:val="18"/>
        </w:rPr>
        <w:t xml:space="preserve">malo</w:t>
      </w:r>
      <w:r>
        <w:rPr>
          <w:rFonts w:ascii="Cambria" w:cs="Cambria" w:eastAsia="Cambria" w:hAnsi="Cambria"/>
          <w:i/>
          <w:iCs/>
          <w:color w:val="6E6E6E"/>
          <w:sz w:val="18"/>
          <w:szCs w:val="18"/>
        </w:rPr>
        <w:t xml:space="preserve"> (la covariable viola PH, su HR cambia con el tiempo); en la tabla de Cox un p </w:t>
      </w:r>
      <w:r>
        <w:rPr>
          <w:rFonts w:ascii="Cambria" w:cs="Cambria" w:eastAsia="Cambria" w:hAnsi="Cambria"/>
          <w:b/>
          <w:bCs/>
          <w:i/>
          <w:iCs/>
          <w:color w:val="6E6E6E"/>
          <w:sz w:val="18"/>
          <w:szCs w:val="18"/>
        </w:rPr>
        <w:t xml:space="preserve">bajo</w:t>
      </w:r>
      <w:r>
        <w:rPr>
          <w:rFonts w:ascii="Cambria" w:cs="Cambria" w:eastAsia="Cambria" w:hAnsi="Cambria"/>
          <w:i/>
          <w:iCs/>
          <w:color w:val="6E6E6E"/>
          <w:sz w:val="18"/>
          <w:szCs w:val="18"/>
        </w:rPr>
        <w:t xml:space="preserve"> es </w:t>
      </w:r>
      <w:r>
        <w:rPr>
          <w:rFonts w:ascii="Cambria" w:cs="Cambria" w:eastAsia="Cambria" w:hAnsi="Cambria"/>
          <w:b/>
          <w:bCs/>
          <w:i/>
          <w:iCs/>
          <w:color w:val="6E6E6E"/>
          <w:sz w:val="18"/>
          <w:szCs w:val="18"/>
        </w:rPr>
        <w:t xml:space="preserve">bueno</w:t>
      </w:r>
      <w:r>
        <w:rPr>
          <w:rFonts w:ascii="Cambria" w:cs="Cambria" w:eastAsia="Cambria" w:hAnsi="Cambria"/>
          <w:i/>
          <w:iCs/>
          <w:color w:val="6E6E6E"/>
          <w:sz w:val="18"/>
          <w:szCs w:val="18"/>
        </w:rPr>
        <w:t xml:space="preserve"> (la covariable es significativa). Son pruebas de lectura invertida. Ante una violación no se descarta la variable: se estratifica por ella, se añade interacción con el tiempo o se usan splines — ver </w:t>
      </w:r>
      <w:r>
        <w:rPr>
          <w:rFonts w:ascii="Consolas" w:cs="Consolas" w:eastAsia="Consolas" w:hAnsi="Consolas"/>
          <w:i/>
          <w:iCs/>
          <w:color w:val="7A1526"/>
          <w:sz w:val="16"/>
          <w:szCs w:val="16"/>
        </w:rPr>
        <w:t xml:space="preserve">plantillas/guia_schoenfeld.docx</w:t>
      </w:r>
      <w:r>
        <w:rPr>
          <w:rFonts w:ascii="Cambria" w:cs="Cambria" w:eastAsia="Cambria" w:hAnsi="Cambria"/>
          <w:i/>
          <w:iCs/>
          <w:color w:val="6E6E6E"/>
          <w:sz w:val="18"/>
          <w:szCs w:val="18"/>
        </w:rPr>
        <w:t xml:space="preserve">. Referencia visual: </w:t>
      </w:r>
      <w:r>
        <w:rPr>
          <w:rFonts w:ascii="Consolas" w:cs="Consolas" w:eastAsia="Consolas" w:hAnsi="Consolas"/>
          <w:i/>
          <w:iCs/>
          <w:color w:val="7A1526"/>
          <w:sz w:val="16"/>
          <w:szCs w:val="16"/>
        </w:rPr>
        <w:t xml:space="preserve">figuras/S13_schoenfeld_age.png</w:t>
      </w:r>
      <w:r>
        <w:rPr>
          <w:rFonts w:ascii="Cambria" w:cs="Cambria" w:eastAsia="Cambria" w:hAnsi="Cambria"/>
          <w:i/>
          <w:iCs/>
          <w:color w:val="6E6E6E"/>
          <w:sz w:val="18"/>
          <w:szCs w:val="18"/>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Aquí se diagnosticó si el riesgo de abandono se mantiene proporcional en el tiempo. ¿Qué pasaría si, en lugar de estimar CUÁNDO abandona un cliente, se quisiera decidir automáticamente QUÉ ofrecerle mientras todavía es cliente, personalizado a su comportamiento? ¿Qué técnica traduce el historial individual en una recomendación concreta? </w:t>
            </w:r>
            <w:r>
              <w:rPr>
                <w:rFonts w:ascii="Cambria" w:cs="Cambria" w:eastAsia="Cambria" w:hAnsi="Cambria"/>
                <w:i/>
                <w:iCs/>
                <w:color w:val="3A3A3A"/>
                <w:sz w:val="18"/>
                <w:szCs w:val="18"/>
              </w:rPr>
              <w:t xml:space="preserve">(No se resuelve aquí — los sistemas de recomendación son el tema de la S14.)</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 Toda cifra proviene del cuaderno / </w:t>
      </w:r>
      <w:r>
        <w:rPr>
          <w:rFonts w:ascii="Consolas" w:cs="Consolas" w:eastAsia="Consolas" w:hAnsi="Consolas"/>
          <w:i/>
          <w:iCs/>
          <w:color w:val="7A1526"/>
          <w:sz w:val="16"/>
          <w:szCs w:val="16"/>
        </w:rPr>
        <w:t xml:space="preserve">resultados/S13_resultados.xlsx</w:t>
      </w:r>
      <w:r>
        <w:rPr>
          <w:rFonts w:ascii="Cambria" w:cs="Cambria" w:eastAsia="Cambria" w:hAnsi="Cambria"/>
          <w:i/>
          <w:iCs/>
          <w:color w:val="6E6E6E"/>
          <w:sz w:val="18"/>
          <w:szCs w:val="18"/>
        </w:rPr>
        <w:t xml:space="preserve"> (operativo = venv); las cifras publicadas (salida de </w:t>
      </w:r>
      <w:r>
        <w:rPr>
          <w:rFonts w:ascii="Consolas" w:cs="Consolas" w:eastAsia="Consolas" w:hAnsi="Consolas"/>
          <w:i/>
          <w:iCs/>
          <w:color w:val="7A1526"/>
          <w:sz w:val="16"/>
          <w:szCs w:val="16"/>
        </w:rPr>
        <w:t xml:space="preserve">lifelines</w:t>
      </w:r>
      <w:r>
        <w:rPr>
          <w:rFonts w:ascii="Cambria" w:cs="Cambria" w:eastAsia="Cambria" w:hAnsi="Cambria"/>
          <w:i/>
          <w:iCs/>
          <w:color w:val="6E6E6E"/>
          <w:sz w:val="18"/>
          <w:szCs w:val="18"/>
        </w:rPr>
        <w:t xml:space="preserve"> sobre Rossi, HR de la literatura de Cox) van etiquetadas como benchmark. </w:t>
      </w:r>
      <w:r>
        <w:rPr>
          <w:rFonts w:ascii="Cambria" w:cs="Cambria" w:eastAsia="Cambria" w:hAnsi="Cambria"/>
          <w:b/>
          <w:bCs/>
          <w:i/>
          <w:iCs/>
          <w:color w:val="6E6E6E"/>
          <w:sz w:val="18"/>
          <w:szCs w:val="18"/>
        </w:rPr>
        <w:t xml:space="preserve">Fuera de alcance:</w:t>
      </w:r>
      <w:r>
        <w:rPr>
          <w:rFonts w:ascii="Cambria" w:cs="Cambria" w:eastAsia="Cambria" w:hAnsi="Cambria"/>
          <w:i/>
          <w:iCs/>
          <w:color w:val="6E6E6E"/>
          <w:sz w:val="18"/>
          <w:szCs w:val="18"/>
        </w:rPr>
        <w:t xml:space="preserve"> sistemas de recomendación (S14); el churn/CLV conecta con S09 y S12 solo como transversal.</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S13: análisis de supervivencia, censura, Kaplan-Meier, Cox y CLV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S13</dc:title>
  <dc:creator>UPC</dc:creator>
  <dc:description>Análisis de supervivencia: censura, Kaplan-Meier, Cox y CLV</dc:description>
  <cp:lastModifiedBy>Un-named</cp:lastModifiedBy>
  <cp:revision>1</cp:revision>
  <dcterms:created xsi:type="dcterms:W3CDTF">2026-09-14T20:46:21.912Z</dcterms:created>
  <dcterms:modified xsi:type="dcterms:W3CDTF">2026-09-14T20:46:21.913Z</dcterms:modified>
</cp:coreProperties>
</file>

<file path=docProps/custom.xml><?xml version="1.0" encoding="utf-8"?>
<Properties xmlns="http://schemas.openxmlformats.org/officeDocument/2006/custom-properties" xmlns:vt="http://schemas.openxmlformats.org/officeDocument/2006/docPropsVTypes"/>
</file>