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Reporte de regresión para audiencia gerencial (EPE)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EPE E2 — Herramientas para la Ciencia de Datos (UPC). Traduce un modelo de regresión (simple o múltiple) al lenguaje de una </w:t>
      </w:r>
      <w:r>
        <w:rPr>
          <w:b/>
          <w:color w:val="2D2D2D"/>
        </w:rPr>
        <w:t>decisión de negocio</w:t>
      </w:r>
      <w:r>
        <w:rPr>
          <w:color w:val="2D2D2D"/>
        </w:rPr>
        <w:t xml:space="preserve">. Se completa con los resultados del cuaderno </w:t>
      </w:r>
      <w:r>
        <w:rPr>
          <w:rFonts w:ascii="Consolas" w:hAnsi="Consolas"/>
          <w:color w:val="2D2D2D"/>
          <w:sz w:val="19"/>
        </w:rPr>
        <w:t>notebook/EPE_S2_regresion.ipynb</w:t>
      </w:r>
      <w:r>
        <w:rPr>
          <w:color w:val="2D2D2D"/>
        </w:rPr>
        <w:t xml:space="preserve"> y de </w:t>
      </w:r>
      <w:r>
        <w:rPr>
          <w:rFonts w:ascii="Consolas" w:hAnsi="Consolas"/>
          <w:color w:val="2D2D2D"/>
          <w:sz w:val="19"/>
        </w:rPr>
        <w:t>resultados/E02_resultados.xlsx</w:t>
      </w:r>
      <w:r>
        <w:rPr>
          <w:color w:val="2D2D2D"/>
        </w:rPr>
        <w:t xml:space="preserve">. </w:t>
      </w:r>
      <w:r>
        <w:rPr>
          <w:b/>
          <w:color w:val="2D2D2D"/>
        </w:rPr>
        <w:t>Máximo tres páginas</w:t>
      </w:r>
      <w:r>
        <w:rPr>
          <w:color w:val="2D2D2D"/>
        </w:rPr>
        <w:t xml:space="preserve"> (el mismo tope del entregable evaluable), sin jerga. Español impersonal, DD/MM/YYYY, UTF-8.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Enfoque EPE:</w:t>
      </w:r>
      <w:r>
        <w:rPr>
          <w:color w:val="2D2D2D"/>
        </w:rPr>
        <w:t xml:space="preserve"> el reporte se escribe para </w:t>
      </w:r>
      <w:r>
        <w:rPr>
          <w:b/>
          <w:color w:val="2D2D2D"/>
        </w:rPr>
        <w:t>quien decide</w:t>
      </w:r>
      <w:r>
        <w:rPr>
          <w:color w:val="2D2D2D"/>
        </w:rPr>
        <w:t xml:space="preserve">, no para quien modela. Cada cifra técnica va traducida a una frase de negocio. Se pide interpretar coeficientes y evaluar fuera de muestra, </w:t>
      </w:r>
      <w:r>
        <w:rPr>
          <w:b/>
          <w:color w:val="2D2D2D"/>
        </w:rPr>
        <w:t>sin</w:t>
      </w:r>
      <w:r>
        <w:rPr>
          <w:color w:val="2D2D2D"/>
        </w:rPr>
        <w:t xml:space="preserve"> diagnóstico avanzado (VIF/Cook formales, residuales pesados).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reporte de regresión gerencial convierte un modelo en una </w:t>
      </w:r>
      <w:r>
        <w:rPr>
          <w:b/>
        </w:rPr>
        <w:t>regla accionable y medible</w:t>
      </w:r>
      <w:r>
        <w:t xml:space="preserve">: cuánto se mueve el resultado del negocio por cada unidad de una palanca. Los números centrales son los </w:t>
      </w:r>
      <w:r>
        <w:rPr>
          <w:b/>
        </w:rPr>
        <w:t>coeficientes</w:t>
      </w:r>
      <w:r>
        <w:t xml:space="preserve"> (el efecto por unidad, en la moneda o el % del problema) y el </w:t>
      </w:r>
      <w:r>
        <w:rPr>
          <w:b/>
        </w:rPr>
        <w:t>error fuera de muestra</w:t>
      </w:r>
      <w:r>
        <w:t xml:space="preserve"> (cuánto se equivoca el modelo al predecir datos nuevos). Cada limitación se declara </w:t>
      </w:r>
      <w:r>
        <w:rPr>
          <w:b/>
        </w:rPr>
        <w:t>antes</w:t>
      </w:r>
      <w:r>
        <w:t xml:space="preserve"> de que sustente una decisión.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reporte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Python (statsmodels / scikit-learn) — </w:t>
            </w:r>
            <w:r>
              <w:rPr>
                <w:rFonts w:ascii="Consolas" w:hAnsi="Consolas"/>
                <w:color w:val="9B1B30"/>
                <w:sz w:val="19"/>
              </w:rPr>
              <w:t>notebook/EPE_S2_regresion.ipynb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Pregunta de negocio</w:t>
      </w:r>
    </w:p>
    <w:p>
      <w:pPr>
        <w:jc w:val="both"/>
      </w:pPr>
      <w:r>
        <w:t xml:space="preserve">Enunciar en una frase la decisión que el modelo debe apoyar: qué resultado se quiere predecir (respuesta </w:t>
      </w:r>
      <w:r>
        <w:rPr>
          <w:rFonts w:ascii="Consolas" w:hAnsi="Consolas"/>
          <w:color w:val="9B1B30"/>
          <w:sz w:val="19"/>
        </w:rPr>
        <w:t>Y</w:t>
      </w:r>
      <w:r>
        <w:t xml:space="preserve">) y qué factores (predictores </w:t>
      </w:r>
      <w:r>
        <w:rPr>
          <w:rFonts w:ascii="Consolas" w:hAnsi="Consolas"/>
          <w:color w:val="9B1B30"/>
          <w:sz w:val="19"/>
        </w:rPr>
        <w:t>X</w:t>
      </w:r>
      <w:r>
        <w:t>) se usan.</w:t>
      </w:r>
    </w:p>
    <w:p>
      <w:pPr>
        <w:pStyle w:val="ListBullet"/>
        <w:spacing w:after="40"/>
      </w:pPr>
      <w:r>
        <w:t>Decisión que se busca apoyar:</w:t>
      </w:r>
    </w:p>
    <w:p>
      <w:pPr>
        <w:pStyle w:val="ListBullet"/>
        <w:spacing w:after="40"/>
      </w:pPr>
      <w:r>
        <w:t>Resultado a predecir (</w:t>
      </w:r>
      <w:r>
        <w:rPr>
          <w:rFonts w:ascii="Consolas" w:hAnsi="Consolas"/>
          <w:color w:val="9B1B30"/>
          <w:sz w:val="19"/>
        </w:rPr>
        <w:t>Y</w:t>
      </w:r>
      <w:r>
        <w:t>, con su unidad):</w:t>
      </w:r>
    </w:p>
    <w:p>
      <w:pPr>
        <w:pStyle w:val="ListBullet"/>
        <w:spacing w:after="40"/>
      </w:pPr>
      <w:r>
        <w:t>Predictores (</w:t>
      </w:r>
      <w:r>
        <w:rPr>
          <w:rFonts w:ascii="Consolas" w:hAnsi="Consolas"/>
          <w:color w:val="9B1B30"/>
          <w:sz w:val="19"/>
        </w:rPr>
        <w:t>X</w:t>
      </w:r>
      <w:r>
        <w:t>):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Datos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Variable respuesta 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  <w:r>
              <w:rPr>
                <w:sz w:val="19"/>
              </w:rPr>
              <w:t xml:space="preserve"> (nombre y unidad)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Predictores </w:t>
            </w:r>
            <w:r>
              <w:rPr>
                <w:rFonts w:ascii="Consolas" w:hAnsi="Consolas"/>
                <w:color w:val="9B1B30"/>
                <w:sz w:val="19"/>
              </w:rPr>
              <w:t>X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observaciones (n)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Filas excluidas y por qué (atípicos, faltantes)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Partición para validar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train ___ % / test ___ % (semilla ___)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El modelo en palabras — coeficientes en unidades de negocio</w:t>
      </w:r>
    </w:p>
    <w:p>
      <w:pPr>
        <w:jc w:val="both"/>
      </w:pPr>
      <w:r>
        <w:t xml:space="preserve">Completar con los coeficientes estimados (hoja </w:t>
      </w:r>
      <w:r>
        <w:rPr>
          <w:rFonts w:ascii="Consolas" w:hAnsi="Consolas"/>
          <w:color w:val="9B1B30"/>
          <w:sz w:val="19"/>
        </w:rPr>
        <w:t>multiple_ames_nivel</w:t>
      </w:r>
      <w:r>
        <w:t xml:space="preserve"> o </w:t>
      </w:r>
      <w:r>
        <w:rPr>
          <w:rFonts w:ascii="Consolas" w:hAnsi="Consolas"/>
          <w:color w:val="9B1B30"/>
          <w:sz w:val="19"/>
        </w:rPr>
        <w:t>multiple_ames_log</w:t>
      </w:r>
      <w:r>
        <w:t xml:space="preserve"> del Excel). Cada coeficiente es </w:t>
      </w:r>
      <w:r>
        <w:rPr>
          <w:b/>
        </w:rPr>
        <w:t>parcial</w:t>
      </w:r>
      <w:r>
        <w:t xml:space="preserve">: el efecto de un factor </w:t>
      </w:r>
      <w:r>
        <w:rPr>
          <w:i/>
        </w:rPr>
        <w:t>con los demás constantes</w:t>
      </w:r>
      <w:r>
        <w:t xml:space="preserve"> (</w:t>
      </w:r>
      <w:r>
        <w:rPr>
          <w:i/>
        </w:rPr>
        <w:t>ceteris paribus</w:t>
      </w:r>
      <w:r>
        <w:t>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Predictor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Coeficiente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negocio (por unidad)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«+1 unidad de ___ ⇒ el precio cambia en ___ (USD o %)»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Con `log` del precio,</w:t>
      </w:r>
      <w:r>
        <w:t xml:space="preserve"> cada coeficiente se lee como </w:t>
      </w:r>
      <w:r>
        <w:rPr>
          <w:b/>
        </w:rPr>
        <w:t>cambio porcentual</w:t>
      </w:r>
      <w:r>
        <w:t xml:space="preserve">. Aproximación rápida ≈ 100·β %; </w:t>
      </w:r>
      <w:r>
        <w:rPr>
          <w:b/>
        </w:rPr>
        <w:t>exacto</w:t>
      </w:r>
      <w:r>
        <w:t xml:space="preserve"> </w:t>
      </w:r>
      <w:r>
        <w:rPr>
          <w:rFonts w:ascii="Consolas" w:hAnsi="Consolas"/>
          <w:color w:val="9B1B30"/>
          <w:sz w:val="19"/>
        </w:rPr>
        <w:t>efecto % = 100·(exp(β) − 1)</w:t>
      </w:r>
      <w:r>
        <w:t xml:space="preserve">. El </w:t>
      </w:r>
      <w:r>
        <w:rPr>
          <w:b/>
        </w:rPr>
        <w:t>%</w:t>
      </w:r>
      <w:r>
        <w:t xml:space="preserve"> proviene del modelo en </w:t>
      </w:r>
      <w:r>
        <w:rPr>
          <w:b/>
        </w:rPr>
        <w:t>log</w:t>
      </w:r>
      <w:r>
        <w:t xml:space="preserve">; el </w:t>
      </w:r>
      <w:r>
        <w:rPr>
          <w:b/>
        </w:rPr>
        <w:t>USD</w:t>
      </w:r>
      <w:r>
        <w:t xml:space="preserve"> por unidad se lee del modelo en </w:t>
      </w:r>
      <w:r>
        <w:rPr>
          <w:b/>
        </w:rPr>
        <w:t>nivel</w:t>
      </w:r>
      <w:r>
        <w:t xml:space="preserve"> (hoja </w:t>
      </w:r>
      <w:r>
        <w:rPr>
          <w:rFonts w:ascii="Consolas" w:hAnsi="Consolas"/>
          <w:color w:val="9B1B30"/>
          <w:sz w:val="19"/>
        </w:rPr>
        <w:t>multiple_ames_nivel</w:t>
      </w:r>
      <w:r>
        <w:t xml:space="preserve">). Para dinero sobre una vivienda concreta: </w:t>
      </w:r>
      <w:r>
        <w:rPr>
          <w:rFonts w:ascii="Consolas" w:hAnsi="Consolas"/>
          <w:color w:val="9B1B30"/>
          <w:sz w:val="19"/>
        </w:rPr>
        <w:t>efecto USD ≈ efecto % × precio de referencia</w:t>
      </w:r>
      <w:r>
        <w:t>.</w:t>
      </w:r>
    </w:p>
    <w:p>
      <w:pPr>
        <w:pStyle w:val="ListBullet"/>
        <w:spacing w:after="40"/>
      </w:pPr>
      <w:r>
        <w:rPr>
          <w:b/>
        </w:rPr>
        <w:t>De la pendiente al dinero (modelo simple en unidades físicas).</w:t>
      </w:r>
      <w:r>
        <w:t xml:space="preserve"> Una pendiente en unidades se convierte en rentabilidad con el </w:t>
      </w:r>
      <w:r>
        <w:rPr>
          <w:b/>
        </w:rPr>
        <w:t>margen de contribución</w:t>
      </w:r>
      <w:r>
        <w:t xml:space="preserve"> </w:t>
      </w:r>
      <w:r>
        <w:rPr>
          <w:i/>
        </w:rPr>
        <w:t>m</w:t>
      </w:r>
      <w:r>
        <w:t xml:space="preserve">: el próximo incremento de gasto rinde </w:t>
      </w:r>
      <w:r>
        <w:rPr>
          <w:rFonts w:ascii="Consolas" w:hAnsi="Consolas"/>
          <w:color w:val="9B1B30"/>
          <w:sz w:val="19"/>
        </w:rPr>
        <w:t>(unidades ganadas)·m</w:t>
      </w:r>
      <w:r>
        <w:t xml:space="preserve"> y cubre su costo (</w:t>
      </w:r>
      <w:r>
        <w:rPr>
          <w:b/>
        </w:rPr>
        <w:t>break-even</w:t>
      </w:r>
      <w:r>
        <w:t xml:space="preserve">) cuando ese producto iguala el gasto. </w:t>
      </w:r>
      <w:r>
        <w:rPr>
          <w:i/>
        </w:rPr>
        <w:t>Ej. Advertising:</w:t>
      </w:r>
      <w:r>
        <w:t xml:space="preserve"> +47,5 uds por cada mil USD ⇒ break-even en </w:t>
      </w:r>
      <w:r>
        <w:rPr>
          <w:rFonts w:ascii="Consolas" w:hAnsi="Consolas"/>
          <w:color w:val="9B1B30"/>
          <w:sz w:val="19"/>
        </w:rPr>
        <w:t>m ≈ 21 USD/unidad</w:t>
      </w:r>
      <w:r>
        <w:t>.</w:t>
      </w:r>
    </w:p>
    <w:p>
      <w:pPr>
        <w:pStyle w:val="ListBullet"/>
        <w:spacing w:after="40"/>
      </w:pPr>
      <w:r>
        <w:rPr>
          <w:b/>
        </w:rPr>
        <w:t>Intercepto:</w:t>
      </w:r>
      <w:r>
        <w:t xml:space="preserve"> solo ancla la escala; </w:t>
      </w:r>
      <w:r>
        <w:rPr>
          <w:b/>
        </w:rPr>
        <w:t>no</w:t>
      </w:r>
      <w:r>
        <w:t xml:space="preserve"> se reporta como una predicción de negocio.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Advertencia de lectura.</w:t>
      </w:r>
      <w:r>
        <w:rPr>
          <w:color w:val="2D2D2D"/>
        </w:rPr>
        <w:t xml:space="preserve"> Significativo (p &lt; 0,05) no es lo mismo que importante ni prueba que el efecto sea </w:t>
      </w:r>
      <w:r>
        <w:rPr>
          <w:b/>
          <w:color w:val="2D2D2D"/>
        </w:rPr>
        <w:t>real/causal</w:t>
      </w:r>
      <w:r>
        <w:rPr>
          <w:color w:val="2D2D2D"/>
        </w:rPr>
        <w:t xml:space="preserve">: «significativo» = </w:t>
      </w:r>
      <w:r>
        <w:rPr>
          <w:b/>
          <w:color w:val="2D2D2D"/>
        </w:rPr>
        <w:t>estadísticamente distinguible de cero</w:t>
      </w:r>
      <w:r>
        <w:rPr>
          <w:color w:val="2D2D2D"/>
        </w:rPr>
        <w:t xml:space="preserve">, no necesariamente grande ni causal. Se lee cada coeficiente </w:t>
      </w:r>
      <w:r>
        <w:rPr>
          <w:b/>
          <w:color w:val="2D2D2D"/>
        </w:rPr>
        <w:t>junto a</w:t>
      </w:r>
      <w:r>
        <w:rPr>
          <w:color w:val="2D2D2D"/>
        </w:rPr>
        <w:t xml:space="preserve"> su tamaño y sus unidades. Un coeficiente </w:t>
      </w:r>
      <w:r>
        <w:rPr>
          <w:b/>
          <w:color w:val="2D2D2D"/>
        </w:rPr>
        <w:t>parcial</w:t>
      </w:r>
      <w:r>
        <w:rPr>
          <w:color w:val="2D2D2D"/>
        </w:rPr>
        <w:t xml:space="preserve"> no es la correlación bruta ni prueba causalidad. Si los residuos no tienen varianza constante (</w:t>
      </w:r>
      <w:r>
        <w:rPr>
          <w:b/>
          <w:color w:val="2D2D2D"/>
        </w:rPr>
        <w:t>heterocedasticidad</w:t>
      </w:r>
      <w:r>
        <w:rPr>
          <w:color w:val="2D2D2D"/>
        </w:rPr>
        <w:t xml:space="preserve">, frecuente en precios), la inferencia honesta usa errores robustos </w:t>
      </w:r>
      <w:r>
        <w:rPr>
          <w:b/>
          <w:color w:val="2D2D2D"/>
        </w:rPr>
        <w:t>HC3</w:t>
      </w:r>
      <w:r>
        <w:rPr>
          <w:color w:val="2D2D2D"/>
        </w:rPr>
        <w:t xml:space="preserve">, que </w:t>
      </w:r>
      <w:r>
        <w:rPr>
          <w:b/>
          <w:color w:val="2D2D2D"/>
        </w:rPr>
        <w:t>re-miden</w:t>
      </w:r>
      <w:r>
        <w:rPr>
          <w:color w:val="2D2D2D"/>
        </w:rPr>
        <w:t xml:space="preserve"> la incertidumbre: pueden </w:t>
      </w:r>
      <w:r>
        <w:rPr>
          <w:b/>
          <w:color w:val="2D2D2D"/>
        </w:rPr>
        <w:t>ensanchar</w:t>
      </w:r>
      <w:r>
        <w:rPr>
          <w:color w:val="2D2D2D"/>
        </w:rPr>
        <w:t xml:space="preserve"> el margen (+9/+13 % en calidad/garaje) o </w:t>
      </w:r>
      <w:r>
        <w:rPr>
          <w:b/>
          <w:color w:val="2D2D2D"/>
        </w:rPr>
        <w:t>estrecharlo</w:t>
      </w:r>
      <w:r>
        <w:rPr>
          <w:color w:val="2D2D2D"/>
        </w:rPr>
        <w:t xml:space="preserve"> (−10 % en el premium); garantizan </w:t>
      </w:r>
      <w:r>
        <w:rPr>
          <w:b/>
          <w:color w:val="2D2D2D"/>
        </w:rPr>
        <w:t>honestidad</w:t>
      </w:r>
      <w:r>
        <w:rPr>
          <w:color w:val="2D2D2D"/>
        </w:rPr>
        <w:t>, no conservadurismo (ejecutados en el cuaderno; aquí se citan como límite).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Cuánto explica el modelo — R²</w:t>
      </w:r>
    </w:p>
    <w:p>
      <w:pPr>
        <w:pStyle w:val="ListBullet"/>
        <w:spacing w:after="40"/>
      </w:pPr>
      <w:r>
        <w:rPr>
          <w:b/>
        </w:rPr>
        <w:t>R² = ___ →</w:t>
      </w:r>
      <w:r>
        <w:t xml:space="preserve"> el modelo explica el </w:t>
      </w:r>
      <w:r>
        <w:rPr>
          <w:b/>
        </w:rPr>
        <w:t>___ %</w:t>
      </w:r>
      <w:r>
        <w:t xml:space="preserve"> de la variación del resultado; el resto lo explican otros factores no incluidos.</w:t>
      </w:r>
    </w:p>
    <w:p>
      <w:pPr>
        <w:pStyle w:val="ListBullet"/>
        <w:spacing w:after="40"/>
      </w:pPr>
      <w:r>
        <w:rPr>
          <w:b/>
        </w:rPr>
        <w:t>Cómo leerlo:</w:t>
      </w:r>
      <w:r>
        <w:t xml:space="preserve"> al pasar de un predictor a varios, el R² sube (en el laboratorio, de ~0,52 a ~0,81). Pero un R² alto </w:t>
      </w:r>
      <w:r>
        <w:rPr>
          <w:b/>
        </w:rPr>
        <w:t>no</w:t>
      </w:r>
      <w:r>
        <w:t xml:space="preserve"> garantiza buenas predicciones nuevas ni prueba causalidad: se interpreta junto al error fuera de muestra (Sección 6).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La idea de multicolinealidad (variables redundantes)</w:t>
      </w:r>
    </w:p>
    <w:p>
      <w:pPr>
        <w:pStyle w:val="ListBullet"/>
        <w:spacing w:after="40"/>
      </w:pPr>
      <w:r>
        <w:t xml:space="preserve">¿Hay dos predictores que miden </w:t>
      </w:r>
      <w:r>
        <w:rPr>
          <w:b/>
        </w:rPr>
        <w:t>casi lo mismo</w:t>
      </w:r>
      <w:r>
        <w:t xml:space="preserve"> (correlación muy alta entre sí)? Sí / No — ¿cuáles? ___</w:t>
      </w:r>
    </w:p>
    <w:p>
      <w:pPr>
        <w:pStyle w:val="ListBullet"/>
        <w:spacing w:after="40"/>
      </w:pPr>
      <w:r>
        <w:t xml:space="preserve">Si los hay: al incluir ambos, sus coeficientes se vuelven </w:t>
      </w:r>
      <w:r>
        <w:rPr>
          <w:b/>
        </w:rPr>
        <w:t>inestables</w:t>
      </w:r>
      <w:r>
        <w:t xml:space="preserve"> y difíciles de interpretar. </w:t>
      </w:r>
      <w:r>
        <w:rPr>
          <w:b/>
        </w:rPr>
        <w:t>Decisión:</w:t>
      </w:r>
      <w:r>
        <w:t xml:space="preserve"> conservar la variable más interpretable para el negocio y descartar la redundante.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Nivel EPE: basta la </w:t>
      </w:r>
      <w:r>
        <w:rPr>
          <w:b/>
          <w:color w:val="2D2D2D"/>
        </w:rPr>
        <w:t>intuición</w:t>
      </w:r>
      <w:r>
        <w:rPr>
          <w:color w:val="2D2D2D"/>
        </w:rPr>
        <w:t xml:space="preserve"> (si sobra información, sobra una variable). El indicador formal (VIF) queda fuera del alcance de esta sesión.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Qué tan bien predice fuera de muestra</w:t>
      </w:r>
    </w:p>
    <w:p>
      <w:pPr>
        <w:jc w:val="both"/>
      </w:pPr>
      <w:r>
        <w:t xml:space="preserve">El modelo se compra por lo que predecirá mañana. Se reporta el error sobre el conjunto de </w:t>
      </w:r>
      <w:r>
        <w:rPr>
          <w:b/>
        </w:rPr>
        <w:t>prueba</w:t>
      </w:r>
      <w:r>
        <w:t xml:space="preserve"> (datos no vistos), en las unidades del negocio (hoja </w:t>
      </w:r>
      <w:r>
        <w:rPr>
          <w:rFonts w:ascii="Consolas" w:hAnsi="Consolas"/>
          <w:color w:val="9B1B30"/>
          <w:sz w:val="19"/>
        </w:rPr>
        <w:t>evaluacion</w:t>
      </w:r>
      <w:r>
        <w:t xml:space="preserve"> del Excel).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Métrica (conjunto de prueba)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negocio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RMSE (test)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Error típico; penaliza más los errores grandes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MAE (test)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«En promedio nos equivocamos en ___ [unidad de Y]»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¿El modelo múltiple predice mejor que el simple?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Comparar RMSE de ambos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¿Hay señales de sobreajuste?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R² alto en train pero error alto en test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Efecto vs. error.</w:t>
      </w:r>
      <w:r>
        <w:rPr>
          <w:color w:val="2D2D2D"/>
        </w:rPr>
        <w:t xml:space="preserve"> Antes de decidir por un coeficiente, comparar su </w:t>
      </w:r>
      <w:r>
        <w:rPr>
          <w:b/>
          <w:color w:val="2D2D2D"/>
        </w:rPr>
        <w:t>magnitud</w:t>
      </w:r>
      <w:r>
        <w:rPr>
          <w:color w:val="2D2D2D"/>
        </w:rPr>
        <w:t xml:space="preserve"> con el </w:t>
      </w:r>
      <w:r>
        <w:rPr>
          <w:b/>
          <w:color w:val="2D2D2D"/>
        </w:rPr>
        <w:t>error del modelo</w:t>
      </w:r>
      <w:r>
        <w:rPr>
          <w:color w:val="2D2D2D"/>
        </w:rPr>
        <w:t xml:space="preserve"> (MAE/RMSE de prueba). Si el efecto por caso es </w:t>
      </w:r>
      <w:r>
        <w:rPr>
          <w:b/>
          <w:color w:val="2D2D2D"/>
        </w:rPr>
        <w:t>menor</w:t>
      </w:r>
      <w:r>
        <w:rPr>
          <w:color w:val="2D2D2D"/>
        </w:rPr>
        <w:t xml:space="preserve"> que el error típico (p. ej. premium ~6 700 USD o calidad ~15 900 USD sobre la mediana ≈163 000 USD, frente a un MAE ~24 000 USD), la señal es fiable </w:t>
      </w:r>
      <w:r>
        <w:rPr>
          <w:b/>
          <w:color w:val="2D2D2D"/>
        </w:rPr>
        <w:t>en agregado / para rankear</w:t>
      </w:r>
      <w:r>
        <w:rPr>
          <w:color w:val="2D2D2D"/>
        </w:rPr>
        <w:t>, no caso por caso.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Del error al dinero — «error esperado evitado» (NO es un ROI).</w:t>
      </w:r>
      <w:r>
        <w:rPr>
          <w:color w:val="2D2D2D"/>
        </w:rPr>
        <w:t xml:space="preserve"> La mejora del error del mejor modelo, multiplicada por el nº de decisiones que apoya, es el </w:t>
      </w:r>
      <w:r>
        <w:rPr>
          <w:b/>
          <w:color w:val="2D2D2D"/>
        </w:rPr>
        <w:t>error esperado evitado</w:t>
      </w:r>
      <w:r>
        <w:rPr>
          <w:color w:val="2D2D2D"/>
        </w:rPr>
        <w:t xml:space="preserve">: </w:t>
      </w:r>
      <w:r>
        <w:rPr>
          <w:rFonts w:ascii="Consolas" w:hAnsi="Consolas"/>
          <w:color w:val="2D2D2D"/>
          <w:sz w:val="19"/>
        </w:rPr>
        <w:t>error evitado ≈ (MAE_peor − MAE_mejor) × N casos</w:t>
      </w:r>
      <w:r>
        <w:rPr>
          <w:color w:val="2D2D2D"/>
        </w:rPr>
        <w:t xml:space="preserve">. </w:t>
      </w:r>
      <w:r>
        <w:rPr>
          <w:i/>
          <w:color w:val="2D2D2D"/>
        </w:rPr>
        <w:t>Ej. Ames:</w:t>
      </w:r>
      <w:r>
        <w:rPr>
          <w:color w:val="2D2D2D"/>
        </w:rPr>
        <w:t xml:space="preserve"> el modelo múltiple baja el MAE del orden de </w:t>
      </w:r>
      <w:r>
        <w:rPr>
          <w:b/>
          <w:color w:val="2D2D2D"/>
        </w:rPr>
        <w:t>12 000 a 15 500 USD/tasación</w:t>
      </w:r>
      <w:r>
        <w:rPr>
          <w:color w:val="2D2D2D"/>
        </w:rPr>
        <w:t xml:space="preserve">, luego sobre </w:t>
      </w:r>
      <w:r>
        <w:rPr>
          <w:b/>
          <w:color w:val="2D2D2D"/>
        </w:rPr>
        <w:t>N</w:t>
      </w:r>
      <w:r>
        <w:rPr>
          <w:color w:val="2D2D2D"/>
        </w:rPr>
        <w:t xml:space="preserve"> tasaciones/mes evita ese rango·N — así se pone en dinero la mejora de predicción (el −43 % del RMSE). </w:t>
      </w:r>
      <w:r>
        <w:rPr>
          <w:b/>
          <w:color w:val="2D2D2D"/>
        </w:rPr>
        <w:t>Tres avisos obligatorios al reportarlo:</w:t>
      </w:r>
      <w:r>
        <w:rPr>
          <w:color w:val="2D2D2D"/>
        </w:rPr>
        <w:t xml:space="preserve"> 1. </w:t>
      </w:r>
      <w:r>
        <w:rPr>
          <w:b/>
          <w:color w:val="2D2D2D"/>
        </w:rPr>
        <w:t>El titular es un RANGO, no un punto: se declara la semilla.</w:t>
      </w:r>
      <w:r>
        <w:rPr>
          <w:color w:val="2D2D2D"/>
        </w:rPr>
        <w:t xml:space="preserve"> El error de prueba —y por tanto su monetización— depende de </w:t>
      </w:r>
      <w:r>
        <w:rPr>
          <w:b/>
          <w:color w:val="2D2D2D"/>
        </w:rPr>
        <w:t>qué</w:t>
      </w:r>
      <w:r>
        <w:rPr>
          <w:color w:val="2D2D2D"/>
        </w:rPr>
        <w:t xml:space="preserve"> partición train/test tocó. </w:t>
      </w:r>
      <w:r>
        <w:rPr>
          <w:i/>
          <w:color w:val="2D2D2D"/>
        </w:rPr>
        <w:t>Ej. Ames:</w:t>
      </w:r>
      <w:r>
        <w:rPr>
          <w:color w:val="2D2D2D"/>
        </w:rPr>
        <w:t xml:space="preserve"> recomputado con cinco semillas (0, 1, 7, 42, 123), el ahorro por casa da </w:t>
      </w:r>
      <w:r>
        <w:rPr>
          <w:b/>
          <w:color w:val="2D2D2D"/>
        </w:rPr>
        <w:t>11 744, 13 407, 13 733, 14 898, 15 498 USD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ahorro_semillas</w:t>
      </w:r>
      <w:r>
        <w:rPr>
          <w:color w:val="2D2D2D"/>
        </w:rPr>
        <w:t xml:space="preserve"> del Excel; el rango se rotula </w:t>
      </w:r>
      <w:r>
        <w:rPr>
          <w:b/>
          <w:color w:val="2D2D2D"/>
        </w:rPr>
        <w:t>mín–máx de 5 semillas</w:t>
      </w:r>
      <w:r>
        <w:rPr>
          <w:color w:val="2D2D2D"/>
        </w:rPr>
        <w:t xml:space="preserve">, no un intervalo de confianza). </w:t>
      </w:r>
      <w:r>
        <w:rPr>
          <w:b/>
          <w:color w:val="2D2D2D"/>
        </w:rPr>
        <w:t>Lo robusto es el signo</w:t>
      </w:r>
      <w:r>
        <w:rPr>
          <w:color w:val="2D2D2D"/>
        </w:rPr>
        <w:t xml:space="preserve"> (el mejor modelo supera al otro en las cinco: eso sostiene la decisión); </w:t>
      </w:r>
      <w:r>
        <w:rPr>
          <w:b/>
          <w:color w:val="2D2D2D"/>
        </w:rPr>
        <w:t>la magnitud no lo es</w:t>
      </w:r>
      <w:r>
        <w:rPr>
          <w:color w:val="2D2D2D"/>
        </w:rPr>
        <w:t xml:space="preserve">. Se comunica «del orden de 12 a 15 mil USD por caso, semilla 42: 15 498», nunca la cifra exacta aislada — hacerlo atribuye al dato una precisión que no tiene. 2. </w:t>
      </w:r>
      <w:r>
        <w:rPr>
          <w:b/>
          <w:color w:val="2D2D2D"/>
        </w:rPr>
        <w:t>`N` es un supuesto de operación, no un dato del modelo.</w:t>
      </w:r>
      <w:r>
        <w:rPr>
          <w:color w:val="2D2D2D"/>
        </w:rPr>
        <w:t xml:space="preserve"> Se declara de dónde proviene (volumen histórico, plan comercial o escenario) y se marca como supuesto. </w:t>
      </w:r>
      <w:r>
        <w:rPr>
          <w:i/>
          <w:color w:val="2D2D2D"/>
        </w:rPr>
        <w:t>Ej. Ames:</w:t>
      </w:r>
      <w:r>
        <w:rPr>
          <w:color w:val="2D2D2D"/>
        </w:rPr>
        <w:t xml:space="preserve"> la hoja </w:t>
      </w:r>
      <w:r>
        <w:rPr>
          <w:rFonts w:ascii="Consolas" w:hAnsi="Consolas"/>
          <w:color w:val="2D2D2D"/>
          <w:sz w:val="19"/>
        </w:rPr>
        <w:t>valor_monetario_error</w:t>
      </w:r>
      <w:r>
        <w:rPr>
          <w:color w:val="2D2D2D"/>
        </w:rPr>
        <w:t xml:space="preserve"> tabula escenarios </w:t>
      </w:r>
      <w:r>
        <w:rPr>
          <w:b/>
          <w:color w:val="2D2D2D"/>
        </w:rPr>
        <w:t>100 / 500 / 1 000</w:t>
      </w:r>
      <w:r>
        <w:rPr>
          <w:color w:val="2D2D2D"/>
        </w:rPr>
        <w:t xml:space="preserve"> tasaciones/mes; ninguno es un volumen medido. 3. </w:t>
      </w:r>
      <w:r>
        <w:rPr>
          <w:b/>
          <w:color w:val="2D2D2D"/>
        </w:rPr>
        <w:t>Esto todavía no es un ROI.</w:t>
      </w:r>
      <w:r>
        <w:rPr>
          <w:color w:val="2D2D2D"/>
        </w:rPr>
        <w:t xml:space="preserve"> Faltan (a) </w:t>
      </w:r>
      <w:r>
        <w:rPr>
          <w:b/>
          <w:color w:val="2D2D2D"/>
        </w:rPr>
        <w:t>restar el costo de desplegar y operar</w:t>
      </w:r>
      <w:r>
        <w:rPr>
          <w:color w:val="2D2D2D"/>
        </w:rPr>
        <w:t xml:space="preserve"> el modelo —datos, integración, validación, monitoreo— y (b) valorar el error con un </w:t>
      </w:r>
      <w:r>
        <w:rPr>
          <w:b/>
          <w:color w:val="2D2D2D"/>
        </w:rPr>
        <w:t>costo asimétrico</w:t>
      </w:r>
      <w:r>
        <w:rPr>
          <w:color w:val="2D2D2D"/>
        </w:rPr>
        <w:t xml:space="preserve">, porque el MAE es </w:t>
      </w:r>
      <w:r>
        <w:rPr>
          <w:b/>
          <w:color w:val="2D2D2D"/>
        </w:rPr>
        <w:t>simétrico</w:t>
      </w:r>
      <w:r>
        <w:rPr>
          <w:color w:val="2D2D2D"/>
        </w:rPr>
        <w:t xml:space="preserve"> y el negocio no lo es (sobre-estimar y sub-estimar rara vez cuestan lo mismo; en valuación, </w:t>
      </w:r>
      <w:r>
        <w:rPr>
          <w:b/>
          <w:color w:val="2D2D2D"/>
        </w:rPr>
        <w:t>sobre-valuar</w:t>
      </w:r>
      <w:r>
        <w:rPr>
          <w:color w:val="2D2D2D"/>
        </w:rPr>
        <w:t xml:space="preserve"> expone a crédito mal garantizado y riesgo regulatorio, </w:t>
      </w:r>
      <w:r>
        <w:rPr>
          <w:b/>
          <w:color w:val="2D2D2D"/>
        </w:rPr>
        <w:t>infra-valuar</w:t>
      </w:r>
      <w:r>
        <w:rPr>
          <w:color w:val="2D2D2D"/>
        </w:rPr>
        <w:t xml:space="preserve"> solo cuesta operaciones perdidas). El ROI genuino es </w:t>
      </w:r>
      <w:r>
        <w:rPr>
          <w:rFonts w:ascii="Consolas" w:hAnsi="Consolas"/>
          <w:color w:val="2D2D2D"/>
          <w:sz w:val="19"/>
        </w:rPr>
        <w:t>ROI ≈ [error evitado × costo por USD de error, por dirección] − (costo de despliegue y operación)</w:t>
      </w:r>
      <w:r>
        <w:rPr>
          <w:color w:val="2D2D2D"/>
        </w:rP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7. Del modelo a la decisión — regla, break-even y sensibilidad</w:t>
      </w:r>
    </w:p>
    <w:p>
      <w:pPr>
        <w:jc w:val="both"/>
      </w:pPr>
      <w:r>
        <w:t xml:space="preserve">El valor del modelo se cierra cuando deja de ser una cifra y se vuelve una </w:t>
      </w:r>
      <w:r>
        <w:rPr>
          <w:b/>
        </w:rPr>
        <w:t>regla que se puede defender</w:t>
      </w:r>
      <w:r>
        <w:t xml:space="preserve">: con su umbral, su punto de rentabilidad y una nota de </w:t>
      </w:r>
      <w:r>
        <w:rPr>
          <w:b/>
        </w:rPr>
        <w:t>cuánto cambia la decisión si el modelo se equivoca</w:t>
      </w:r>
      <w:r>
        <w:t>.</w:t>
      </w:r>
    </w:p>
    <w:p>
      <w:pPr>
        <w:pStyle w:val="ListBullet"/>
        <w:spacing w:after="40"/>
      </w:pPr>
      <w:r>
        <w:rPr>
          <w:b/>
        </w:rPr>
        <w:t>Regla de decisión (predicción → acción).</w:t>
      </w:r>
      <w:r>
        <w:t xml:space="preserve"> Formular el criterio operable. </w:t>
      </w:r>
      <w:r>
        <w:rPr>
          <w:i/>
        </w:rPr>
        <w:t>Ej. tasación/compra:</w:t>
      </w:r>
      <w:r>
        <w:t xml:space="preserve"> marcar una vivienda como candidata si el precio de lista está por debajo del predicho en más de </w:t>
      </w:r>
      <w:r>
        <w:rPr>
          <w:b/>
        </w:rPr>
        <w:t>`k — MAE`</w:t>
      </w:r>
      <w:r>
        <w:t xml:space="preserve"> (con MAE = error de prueba). </w:t>
      </w:r>
      <w:r>
        <w:rPr>
          <w:i/>
        </w:rPr>
        <w:t>Ej. presupuesto:</w:t>
      </w:r>
      <w:r>
        <w:t xml:space="preserve"> invertir el próximo tramo de gasto si el rendimiento esperado (</w:t>
      </w:r>
      <w:r>
        <w:rPr>
          <w:rFonts w:ascii="Consolas" w:hAnsi="Consolas"/>
          <w:color w:val="9B1B30"/>
          <w:sz w:val="19"/>
        </w:rPr>
        <w:t>unidades ganadas, margen</w:t>
      </w:r>
      <w:r>
        <w:t>) supera el gasto.</w:t>
      </w:r>
    </w:p>
    <w:p>
      <w:pPr>
        <w:pStyle w:val="ListBullet"/>
        <w:spacing w:after="40"/>
      </w:pPr>
      <w:r>
        <w:rPr>
          <w:b/>
        </w:rPr>
        <w:t>Break-even (modelo simple en unidades).</w:t>
      </w:r>
      <w:r>
        <w:t xml:space="preserve"> El punto donde el gasto cubre su costo: </w:t>
      </w:r>
      <w:r>
        <w:rPr>
          <w:rFonts w:ascii="Consolas" w:hAnsi="Consolas"/>
          <w:color w:val="9B1B30"/>
          <w:sz w:val="19"/>
        </w:rPr>
        <w:t>unidades ganadas — m = gasto</w:t>
      </w:r>
      <w:r>
        <w:t xml:space="preserve">. </w:t>
      </w:r>
      <w:r>
        <w:rPr>
          <w:i/>
        </w:rPr>
        <w:t>Ej. Advertising:</w:t>
      </w:r>
      <w:r>
        <w:t xml:space="preserve"> +47,5 uds por mil USD ⇒ break-even en </w:t>
      </w:r>
      <w:r>
        <w:rPr>
          <w:b/>
        </w:rPr>
        <w:t>m ≈ 21 USD/unidad</w:t>
      </w:r>
      <w:r>
        <w:t>.</w:t>
      </w:r>
    </w:p>
    <w:p>
      <w:pPr>
        <w:pStyle w:val="ListBullet"/>
        <w:spacing w:after="40"/>
      </w:pPr>
      <w:r>
        <w:rPr>
          <w:b/>
        </w:rPr>
        <w:t>Análisis de sensibilidad (obligatorio para cerrar la decisión).</w:t>
      </w:r>
      <w:r>
        <w:t xml:space="preserve"> Mostrar cómo se mueve la decisión al variar el </w:t>
      </w:r>
      <w:r>
        <w:rPr>
          <w:b/>
        </w:rPr>
        <w:t>umbral</w:t>
      </w:r>
      <w:r>
        <w:t xml:space="preserve"> o el </w:t>
      </w:r>
      <w:r>
        <w:rPr>
          <w:b/>
        </w:rPr>
        <w:t>error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Palanca de sensibilidad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mueve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decisión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Umbral de compra </w:t>
            </w:r>
            <w:r>
              <w:rPr>
                <w:rFonts w:ascii="Consolas" w:hAnsi="Consolas"/>
                <w:color w:val="9B1B30"/>
                <w:sz w:val="19"/>
              </w:rPr>
              <w:t>k</w:t>
            </w:r>
            <w:r>
              <w:rPr>
                <w:sz w:val="19"/>
              </w:rPr>
              <w:t xml:space="preserve"> (0 → 1 → 1.5 → 2)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Descuento exigido 0 → 1·MAE → 1.5·MAE → 2·MAE (</w:t>
            </w:r>
            <w:r>
              <w:rPr>
                <w:i/>
                <w:sz w:val="19"/>
              </w:rPr>
              <w:t>Ej. Ames:</w:t>
            </w:r>
            <w:r>
              <w:rPr>
                <w:sz w:val="19"/>
              </w:rPr>
              <w:t xml:space="preserve"> 115 → 63 → 36 candidatas en el test, hoja </w:t>
            </w:r>
            <w:r>
              <w:rPr>
                <w:rFonts w:ascii="Consolas" w:hAnsi="Consolas"/>
                <w:color w:val="9B1B30"/>
                <w:sz w:val="19"/>
              </w:rPr>
              <w:t>candidatas_por_k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Sube </w:t>
            </w:r>
            <w:r>
              <w:rPr>
                <w:i/>
                <w:sz w:val="19"/>
              </w:rPr>
              <w:t>k</w:t>
            </w:r>
            <w:r>
              <w:rPr>
                <w:sz w:val="19"/>
              </w:rPr>
              <w:t xml:space="preserve"> ⇒ menos candidatas (</w:t>
            </w:r>
            <w:r>
              <w:rPr>
                <w:b/>
                <w:sz w:val="19"/>
              </w:rPr>
              <w:t>cobertura</w:t>
            </w:r>
            <w:r>
              <w:rPr>
                <w:sz w:val="19"/>
              </w:rPr>
              <w:t>) pero más fiables (</w:t>
            </w:r>
            <w:r>
              <w:rPr>
                <w:b/>
                <w:sz w:val="19"/>
              </w:rPr>
              <w:t>precisión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Capacidad operativa</w:t>
            </w:r>
            <w:r>
              <w:rPr>
                <w:sz w:val="19"/>
              </w:rPr>
              <w:t xml:space="preserve"> (casos/mes que el equipo puede procesar)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nº de candidatas que arroja cada </w:t>
            </w:r>
            <w:r>
              <w:rPr>
                <w:i/>
                <w:sz w:val="19"/>
              </w:rPr>
              <w:t>k</w:t>
            </w:r>
            <w:r>
              <w:rPr>
                <w:sz w:val="19"/>
              </w:rPr>
              <w:t xml:space="preserve"> se compara con la capacidad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 la restricción que fija el `k`</w:t>
            </w:r>
            <w:r>
              <w:rPr>
                <w:sz w:val="19"/>
              </w:rPr>
              <w:t xml:space="preserve">: se elige el umbral cuya lista </w:t>
            </w:r>
            <w:r>
              <w:rPr>
                <w:b/>
                <w:sz w:val="19"/>
              </w:rPr>
              <w:t>cabe</w:t>
            </w:r>
            <w:r>
              <w:rPr>
                <w:sz w:val="19"/>
              </w:rPr>
              <w:t xml:space="preserve"> en la capacidad (y se corta ahí, con las candidatas ordenadas por descuento)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Incertidumbre del efecto (IC)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 break-even se recalcula en los extremos del IC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Decisión </w:t>
            </w:r>
            <w:r>
              <w:rPr>
                <w:b/>
                <w:sz w:val="19"/>
              </w:rPr>
              <w:t>robusta</w:t>
            </w:r>
            <w:r>
              <w:rPr>
                <w:sz w:val="19"/>
              </w:rPr>
              <w:t xml:space="preserve"> si se sostiene en todo el IC; </w:t>
            </w:r>
            <w:r>
              <w:rPr>
                <w:b/>
                <w:sz w:val="19"/>
              </w:rPr>
              <w:t>frágil</w:t>
            </w:r>
            <w:r>
              <w:rPr>
                <w:sz w:val="19"/>
              </w:rPr>
              <w:t xml:space="preserve"> si el signo cambia dentro del IC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Efecto por caso vs. MAE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Efecto (p. ej. ~6 700 USD) frente a MAE (~24 000 USD)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 efecto &lt; MAE ⇒ ningún atributo aislado decide </w:t>
            </w:r>
            <w:r>
              <w:rPr>
                <w:b/>
                <w:sz w:val="19"/>
              </w:rPr>
              <w:t>una</w:t>
            </w:r>
            <w:r>
              <w:rPr>
                <w:sz w:val="19"/>
              </w:rPr>
              <w:t xml:space="preserve"> casa; fiable en </w:t>
            </w:r>
            <w:r>
              <w:rPr>
                <w:b/>
                <w:sz w:val="19"/>
              </w:rPr>
              <w:t>agregado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La capacidad operativa es lo que vuelve el umbral una decisión de negocio.</w:t>
      </w:r>
      <w:r>
        <w:t xml:space="preserve"> El compromiso cobertura↔precisión es estadístico; </w:t>
      </w:r>
      <w:r>
        <w:rPr>
          <w:b/>
        </w:rPr>
        <w:t>cuántos casos se pueden inspeccionar, financiar o atender al mes</w:t>
      </w:r>
      <w:r>
        <w:t xml:space="preserve"> es la restricción real. </w:t>
      </w:r>
      <w:r>
        <w:rPr>
          <w:i/>
        </w:rPr>
        <w:t>Ej. Ames</w:t>
      </w:r>
      <w:r>
        <w:t xml:space="preserve"> (hoja </w:t>
      </w:r>
      <w:r>
        <w:rPr>
          <w:rFonts w:ascii="Consolas" w:hAnsi="Consolas"/>
          <w:color w:val="9B1B30"/>
          <w:sz w:val="19"/>
        </w:rPr>
        <w:t>candidatas_por_k</w:t>
      </w:r>
      <w:r>
        <w:t xml:space="preserve">, recuentos sobre las 292 casas del conjunto de prueba): </w:t>
      </w:r>
      <w:r>
        <w:rPr>
          <w:rFonts w:ascii="Consolas" w:hAnsi="Consolas"/>
          <w:color w:val="9B1B30"/>
          <w:sz w:val="19"/>
        </w:rPr>
        <w:t>k = 1</w:t>
      </w:r>
      <w:r>
        <w:t xml:space="preserve"> marca </w:t>
      </w:r>
      <w:r>
        <w:rPr>
          <w:b/>
        </w:rPr>
        <w:t>115 candidatas (39.4 %)</w:t>
      </w:r>
      <w:r>
        <w:t xml:space="preserve"> — </w:t>
      </w:r>
      <w:r>
        <w:rPr>
          <w:b/>
        </w:rPr>
        <w:t>5.75×</w:t>
      </w:r>
      <w:r>
        <w:t xml:space="preserve"> una capacidad de ~20 inspecciones/mes: la lista desborda la agenda y no prioriza nada (se acaba por decidir por orden de llegada)—; </w:t>
      </w:r>
      <w:r>
        <w:rPr>
          <w:rFonts w:ascii="Consolas" w:hAnsi="Consolas"/>
          <w:color w:val="9B1B30"/>
          <w:sz w:val="19"/>
        </w:rPr>
        <w:t>k = 1.5</w:t>
      </w:r>
      <w:r>
        <w:t xml:space="preserve"> deja </w:t>
      </w:r>
      <w:r>
        <w:rPr>
          <w:b/>
        </w:rPr>
        <w:t>63 (21.6 %)</w:t>
      </w:r>
      <w:r>
        <w:t xml:space="preserve"> y </w:t>
      </w:r>
      <w:r>
        <w:rPr>
          <w:rFonts w:ascii="Consolas" w:hAnsi="Consolas"/>
          <w:color w:val="9B1B30"/>
          <w:sz w:val="19"/>
        </w:rPr>
        <w:t>k = 2</w:t>
      </w:r>
      <w:r>
        <w:t xml:space="preserve">, </w:t>
      </w:r>
      <w:r>
        <w:rPr>
          <w:b/>
        </w:rPr>
        <w:t>36 (12.3 %)</w:t>
      </w:r>
      <w:r>
        <w:t xml:space="preserve">. Normalizado a un flujo de ~100 tasaciones/mes son ~39, ~22 y ~12 candidatas/mes: </w:t>
      </w:r>
      <w:r>
        <w:rPr>
          <w:rFonts w:ascii="Consolas" w:hAnsi="Consolas"/>
          <w:color w:val="9B1B30"/>
          <w:sz w:val="19"/>
        </w:rPr>
        <w:t>k ≈ 1.5</w:t>
      </w:r>
      <w:r>
        <w:t xml:space="preserve"> </w:t>
      </w:r>
      <w:r>
        <w:rPr>
          <w:b/>
        </w:rPr>
        <w:t>llena la agenda</w:t>
      </w:r>
      <w:r>
        <w:t xml:space="preserve"> y </w:t>
      </w:r>
      <w:r>
        <w:rPr>
          <w:rFonts w:ascii="Consolas" w:hAnsi="Consolas"/>
          <w:color w:val="9B1B30"/>
          <w:sz w:val="19"/>
        </w:rPr>
        <w:t>k = 2</w:t>
      </w:r>
      <w:r>
        <w:t xml:space="preserve"> </w:t>
      </w:r>
      <w:r>
        <w:rPr>
          <w:b/>
        </w:rPr>
        <w:t>deja ociosa casi la mitad</w:t>
      </w:r>
      <w:r>
        <w:t xml:space="preserve"> de la capacidad (12 de 20). Se declaran la capacidad y el flujo supuestos y se elige el </w:t>
      </w:r>
      <w:r>
        <w:rPr>
          <w:rFonts w:ascii="Consolas" w:hAnsi="Consolas"/>
          <w:color w:val="9B1B30"/>
          <w:sz w:val="19"/>
        </w:rPr>
        <w:t>k</w:t>
      </w:r>
      <w:r>
        <w:t xml:space="preserve"> que llena la capacidad (aquí, </w:t>
      </w:r>
      <w:r>
        <w:rPr>
          <w:rFonts w:ascii="Consolas" w:hAnsi="Consolas"/>
          <w:color w:val="9B1B30"/>
          <w:sz w:val="19"/>
        </w:rPr>
        <w:t>k ≈ 1.5</w:t>
      </w:r>
      <w:r>
        <w:t>, con corte en las ~20 por descuento descendente).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se lee.</w:t>
      </w:r>
      <w:r>
        <w:rPr>
          <w:color w:val="2D2D2D"/>
        </w:rPr>
        <w:t xml:space="preserve"> Una decisión </w:t>
      </w:r>
      <w:r>
        <w:rPr>
          <w:b/>
          <w:color w:val="2D2D2D"/>
        </w:rPr>
        <w:t>frágil</w:t>
      </w:r>
      <w:r>
        <w:rPr>
          <w:color w:val="2D2D2D"/>
        </w:rPr>
        <w:t xml:space="preserve"> (el break-even o el signo del efecto cae dentro de la banda de incertidumbre) pide </w:t>
      </w:r>
      <w:r>
        <w:rPr>
          <w:b/>
          <w:color w:val="2D2D2D"/>
        </w:rPr>
        <w:t>más evidencia</w:t>
      </w:r>
      <w:r>
        <w:rPr>
          <w:color w:val="2D2D2D"/>
        </w:rPr>
        <w:t xml:space="preserve"> —más datos, un piloto o una prueba A/B— antes de comprometer dinero. Una decisión </w:t>
      </w:r>
      <w:r>
        <w:rPr>
          <w:b/>
          <w:color w:val="2D2D2D"/>
        </w:rPr>
        <w:t>robusta</w:t>
      </w:r>
      <w:r>
        <w:rPr>
          <w:color w:val="2D2D2D"/>
        </w:rPr>
        <w:t xml:space="preserve"> se sostiene aunque el modelo se equivoque dentro de su margen. </w:t>
      </w:r>
      <w:r>
        <w:rPr>
          <w:b/>
          <w:color w:val="2D2D2D"/>
        </w:rPr>
        <w:t>Nota sobre «fiable en agregado» (declarar los supuestos):</w:t>
      </w:r>
      <w:r>
        <w:rPr>
          <w:color w:val="2D2D2D"/>
        </w:rPr>
        <w:t xml:space="preserve"> promediar sobre muchos casos reduce solo el error </w:t>
      </w:r>
      <w:r>
        <w:rPr>
          <w:b/>
          <w:color w:val="2D2D2D"/>
        </w:rPr>
        <w:t>aleatorio</w:t>
      </w:r>
      <w:r>
        <w:rPr>
          <w:color w:val="2D2D2D"/>
        </w:rPr>
        <w:t xml:space="preserve">, y el escalado </w:t>
      </w:r>
      <w:r>
        <w:rPr>
          <w:rFonts w:ascii="Consolas" w:hAnsi="Consolas"/>
          <w:color w:val="2D2D2D"/>
          <w:sz w:val="19"/>
        </w:rPr>
        <w:t>1/√N</w:t>
      </w:r>
      <w:r>
        <w:rPr>
          <w:color w:val="2D2D2D"/>
        </w:rPr>
        <w:t xml:space="preserve"> (o </w:t>
      </w:r>
      <w:r>
        <w:rPr>
          <w:rFonts w:ascii="Consolas" w:hAnsi="Consolas"/>
          <w:color w:val="2D2D2D"/>
          <w:sz w:val="19"/>
        </w:rPr>
        <w:t>RMSE/√N</w:t>
      </w:r>
      <w:r>
        <w:rPr>
          <w:color w:val="2D2D2D"/>
        </w:rPr>
        <w:t xml:space="preserve">) exige </w:t>
      </w:r>
      <w:r>
        <w:rPr>
          <w:b/>
          <w:color w:val="2D2D2D"/>
        </w:rPr>
        <w:t>dos</w:t>
      </w:r>
      <w:r>
        <w:rPr>
          <w:color w:val="2D2D2D"/>
        </w:rPr>
        <w:t xml:space="preserve"> supuestos: errores </w:t>
      </w:r>
      <w:r>
        <w:rPr>
          <w:b/>
          <w:color w:val="2D2D2D"/>
        </w:rPr>
        <w:t>independientes</w:t>
      </w:r>
      <w:r>
        <w:rPr>
          <w:color w:val="2D2D2D"/>
        </w:rPr>
        <w:t xml:space="preserve"> y de </w:t>
      </w:r>
      <w:r>
        <w:rPr>
          <w:b/>
          <w:color w:val="2D2D2D"/>
        </w:rPr>
        <w:t>varianza homogénea (homocedasticidad)</w:t>
      </w:r>
      <w:r>
        <w:rPr>
          <w:color w:val="2D2D2D"/>
        </w:rPr>
        <w:t xml:space="preserve">. Si están </w:t>
      </w:r>
      <w:r>
        <w:rPr>
          <w:b/>
          <w:color w:val="2D2D2D"/>
        </w:rPr>
        <w:t>correlacionados</w:t>
      </w:r>
      <w:r>
        <w:rPr>
          <w:color w:val="2D2D2D"/>
        </w:rPr>
        <w:t xml:space="preserve"> (p. ej. un AVM en el mismo barrio o bajo el mismo shock de mercado), si la varianza </w:t>
      </w:r>
      <w:r>
        <w:rPr>
          <w:b/>
          <w:color w:val="2D2D2D"/>
        </w:rPr>
        <w:t>crece con el nivel</w:t>
      </w:r>
      <w:r>
        <w:rPr>
          <w:color w:val="2D2D2D"/>
        </w:rPr>
        <w:t xml:space="preserve"> de </w:t>
      </w:r>
      <w:r>
        <w:rPr>
          <w:rFonts w:ascii="Consolas" w:hAnsi="Consolas"/>
          <w:color w:val="2D2D2D"/>
          <w:sz w:val="19"/>
        </w:rPr>
        <w:t>Y</w:t>
      </w:r>
      <w:r>
        <w:rPr>
          <w:color w:val="2D2D2D"/>
        </w:rPr>
        <w:t xml:space="preserve"> —como confirma el Breusch-Pagan del propio modelo de Ames (</w:t>
      </w:r>
      <w:r>
        <w:rPr>
          <w:b/>
          <w:color w:val="2D2D2D"/>
        </w:rPr>
        <w:t>LM = 173.69</w:t>
      </w:r>
      <w:r>
        <w:rPr>
          <w:color w:val="2D2D2D"/>
        </w:rPr>
        <w:t xml:space="preserve"> en nivel; 55.64 en log)— o si hay </w:t>
      </w:r>
      <w:r>
        <w:rPr>
          <w:b/>
          <w:color w:val="2D2D2D"/>
        </w:rPr>
        <w:t>sesgo sistemático</w:t>
      </w:r>
      <w:r>
        <w:rPr>
          <w:color w:val="2D2D2D"/>
        </w:rPr>
        <w:t xml:space="preserve">, el error de cartera se reduce </w:t>
      </w:r>
      <w:r>
        <w:rPr>
          <w:b/>
          <w:color w:val="2D2D2D"/>
        </w:rPr>
        <w:t>más lentamente</w:t>
      </w:r>
      <w:r>
        <w:rPr>
          <w:color w:val="2D2D2D"/>
        </w:rPr>
        <w:t xml:space="preserve"> que </w:t>
      </w:r>
      <w:r>
        <w:rPr>
          <w:rFonts w:ascii="Consolas" w:hAnsi="Consolas"/>
          <w:color w:val="2D2D2D"/>
          <w:sz w:val="19"/>
        </w:rPr>
        <w:t>1/√N</w:t>
      </w:r>
      <w:r>
        <w:rPr>
          <w:color w:val="2D2D2D"/>
        </w:rPr>
        <w:t xml:space="preserve">: la cifra agregada es una </w:t>
      </w:r>
      <w:r>
        <w:rPr>
          <w:b/>
          <w:color w:val="2D2D2D"/>
        </w:rPr>
        <w:t>cota optimista</w:t>
      </w:r>
      <w:r>
        <w:rPr>
          <w:color w:val="2D2D2D"/>
        </w:rPr>
        <w:t>, no una garantía.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8. Recomendación y riesgos</w:t>
      </w:r>
    </w:p>
    <w:p>
      <w:pPr>
        <w:pStyle w:val="ListBullet"/>
        <w:spacing w:after="40"/>
      </w:pPr>
      <w:r>
        <w:rPr>
          <w:b/>
        </w:rPr>
        <w:t>Recomendación (una frase accionable, con su regla de decisión de la Sección 7):</w:t>
      </w:r>
    </w:p>
    <w:p>
      <w:pPr>
        <w:pStyle w:val="ListBullet"/>
        <w:spacing w:after="40"/>
      </w:pPr>
      <w:r>
        <w:rPr>
          <w:b/>
        </w:rPr>
        <w:t>Riesgos y límites que se deben declarar:</w:t>
      </w:r>
    </w:p>
    <w:p>
      <w:pPr>
        <w:jc w:val="both"/>
      </w:pPr>
      <w:r>
        <w:t xml:space="preserve"> - </w:t>
      </w:r>
      <w:r>
        <w:rPr>
          <w:b/>
        </w:rPr>
        <w:t>Regresión ≠ causalidad:</w:t>
      </w:r>
      <w:r>
        <w:t xml:space="preserve"> un coeficiente significativo no prueba que </w:t>
      </w:r>
      <w:r>
        <w:rPr>
          <w:rFonts w:ascii="Consolas" w:hAnsi="Consolas"/>
          <w:color w:val="9B1B30"/>
          <w:sz w:val="19"/>
        </w:rPr>
        <w:t>X</w:t>
      </w:r>
      <w:r>
        <w:t xml:space="preserve"> cause </w:t>
      </w:r>
      <w:r>
        <w:rPr>
          <w:rFonts w:ascii="Consolas" w:hAnsi="Consolas"/>
          <w:color w:val="9B1B30"/>
          <w:sz w:val="19"/>
        </w:rPr>
        <w:t>Y</w:t>
      </w:r>
      <w:r>
        <w:t xml:space="preserve">; puede haber factores omitidos.  - </w:t>
      </w:r>
      <w:r>
        <w:rPr>
          <w:b/>
        </w:rPr>
        <w:t>Rango válido:</w:t>
      </w:r>
      <w:r>
        <w:t xml:space="preserve"> la regla solo aplica dentro del rango de los datos observados; extrapolar no es fiable.  - </w:t>
      </w:r>
      <w:r>
        <w:rPr>
          <w:b/>
        </w:rPr>
        <w:t>Variables categóricas:</w:t>
      </w:r>
      <w:r>
        <w:t xml:space="preserve"> el efecto de una dummy es una </w:t>
      </w:r>
      <w:r>
        <w:rPr>
          <w:b/>
        </w:rPr>
        <w:t>diferencia respecto a la base</w:t>
      </w:r>
      <w:r>
        <w:t xml:space="preserve">, no un valor absoluto.  - </w:t>
      </w:r>
      <w:r>
        <w:rPr>
          <w:b/>
        </w:rPr>
        <w:t>Efecto vs. error / robustez:</w:t>
      </w:r>
      <w:r>
        <w:t xml:space="preserve"> si el efecto por caso es menor que el error del modelo, la decisión es fiable en </w:t>
      </w:r>
      <w:r>
        <w:rPr>
          <w:b/>
        </w:rPr>
        <w:t>agregado</w:t>
      </w:r>
      <w:r>
        <w:t xml:space="preserve">, no caso por caso (ver sensibilidad, Sección 7) — y ese «agregado» supone errores independientes y homocedásticos (cota optimista).  - </w:t>
      </w:r>
      <w:r>
        <w:rPr>
          <w:b/>
        </w:rPr>
        <w:t>Costo asimétrico del error:</w:t>
      </w:r>
      <w:r>
        <w:t xml:space="preserve"> el RMSE/MAE tratan por igual el error por exceso y por defecto; el negocio casi nunca. Se declara qué dirección del error cuesta más y qué implica para el umbral de la regla.  - </w:t>
      </w:r>
      <w:r>
        <w:rPr>
          <w:b/>
        </w:rPr>
        <w:t>Marco regulatorio (si aplica).</w:t>
      </w:r>
      <w:r>
        <w:t xml:space="preserve"> Un modelo de precios en decisiones hipotecarias es un </w:t>
      </w:r>
      <w:r>
        <w:rPr>
          <w:b/>
        </w:rPr>
        <w:t>AVM</w:t>
      </w:r>
      <w:r>
        <w:t xml:space="preserve">; la regla de la </w:t>
      </w:r>
      <w:r>
        <w:rPr>
          <w:b/>
        </w:rPr>
        <w:t>CFPB</w:t>
      </w:r>
      <w:r>
        <w:t xml:space="preserve"> (vigente 01/10/2025) exige control de </w:t>
      </w:r>
      <w:r>
        <w:rPr>
          <w:b/>
        </w:rPr>
        <w:t>calidad</w:t>
      </w:r>
      <w:r>
        <w:t xml:space="preserve"> y </w:t>
      </w:r>
      <w:r>
        <w:rPr>
          <w:b/>
        </w:rPr>
        <w:t>no discriminación</w:t>
      </w:r>
      <w:r>
        <w:t xml:space="preserve">. La regla del modelo es </w:t>
      </w:r>
      <w:r>
        <w:rPr>
          <w:b/>
        </w:rPr>
        <w:t>apoyo a la decisión</w:t>
      </w:r>
      <w:r>
        <w:t>, no la tasación oficial de registro.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 xml:space="preserve">[ ] 1. ¿Cada coeficiente se interpretó en </w:t>
      </w:r>
      <w:r>
        <w:rPr>
          <w:b/>
        </w:rPr>
        <w:t>unidades de negocio</w:t>
      </w:r>
      <w:r>
        <w:t xml:space="preserve"> (USD o %)?</w:t>
      </w:r>
    </w:p>
    <w:p>
      <w:pPr>
        <w:pStyle w:val="ListBullet"/>
        <w:spacing w:after="40"/>
      </w:pPr>
      <w:r>
        <w:t xml:space="preserve">[ ] 2. ¿Se leyó cada coeficiente </w:t>
      </w:r>
      <w:r>
        <w:rPr>
          <w:b/>
        </w:rPr>
        <w:t>junto a</w:t>
      </w:r>
      <w:r>
        <w:t xml:space="preserve"> su tamaño y su p-valor (no solo el p-valor)?</w:t>
      </w:r>
    </w:p>
    <w:p>
      <w:pPr>
        <w:pStyle w:val="ListBullet"/>
        <w:spacing w:after="40"/>
      </w:pPr>
      <w:r>
        <w:t>[ ] 3. ¿El intercepto se trató como ancla y no como predicción?</w:t>
      </w:r>
    </w:p>
    <w:p>
      <w:pPr>
        <w:pStyle w:val="ListBullet"/>
        <w:spacing w:after="40"/>
      </w:pPr>
      <w:r>
        <w:t>[ ] 4. ¿Se reportó qué fracción explica el R² y se contextualizó (bajo ≠ inútil)?</w:t>
      </w:r>
    </w:p>
    <w:p>
      <w:pPr>
        <w:pStyle w:val="ListBullet"/>
        <w:spacing w:after="40"/>
      </w:pPr>
      <w:r>
        <w:t>[ ] 5. ¿Se revisó si hay variables redundantes (idea de multicolinealidad)?</w:t>
      </w:r>
    </w:p>
    <w:p>
      <w:pPr>
        <w:pStyle w:val="ListBullet"/>
        <w:spacing w:after="40"/>
      </w:pPr>
      <w:r>
        <w:t>[ ] 6. ¿El error fuera de muestra (RMSE/MAE en test) sustenta la decisión?</w:t>
      </w:r>
    </w:p>
    <w:p>
      <w:pPr>
        <w:pStyle w:val="ListBullet"/>
        <w:spacing w:after="40"/>
      </w:pPr>
      <w:r>
        <w:t>[ ] 7. ¿Se declararon los riesgos (causalidad, rango, lectura de dummies)?</w:t>
      </w:r>
    </w:p>
    <w:p>
      <w:pPr>
        <w:pStyle w:val="ListBullet"/>
        <w:spacing w:after="40"/>
      </w:pPr>
      <w:r>
        <w:t xml:space="preserve">[ ] 8. ¿Se comparó la </w:t>
      </w:r>
      <w:r>
        <w:rPr>
          <w:b/>
        </w:rPr>
        <w:t>magnitud</w:t>
      </w:r>
      <w:r>
        <w:t xml:space="preserve"> de los efectos con el </w:t>
      </w:r>
      <w:r>
        <w:rPr>
          <w:b/>
        </w:rPr>
        <w:t>error del modelo</w:t>
      </w:r>
      <w:r>
        <w:t xml:space="preserve"> (efecto vs. error) antes de decidir caso por caso?</w:t>
      </w:r>
    </w:p>
    <w:p>
      <w:pPr>
        <w:pStyle w:val="ListBullet"/>
        <w:spacing w:after="40"/>
      </w:pPr>
      <w:r>
        <w:t xml:space="preserve">[ ] 9. ¿La recomendación es una </w:t>
      </w:r>
      <w:r>
        <w:rPr>
          <w:b/>
        </w:rPr>
        <w:t>regla de decisión</w:t>
      </w:r>
      <w:r>
        <w:t xml:space="preserve"> (umbral/break-even) con una </w:t>
      </w:r>
      <w:r>
        <w:rPr>
          <w:b/>
        </w:rPr>
        <w:t>nota de sensibilidad</w:t>
      </w:r>
      <w:r>
        <w:t xml:space="preserve"> (cómo cambia la decisión con el umbral o el error)?</w:t>
      </w:r>
    </w:p>
    <w:p>
      <w:pPr>
        <w:pStyle w:val="ListBullet"/>
        <w:spacing w:after="40"/>
      </w:pPr>
      <w:r>
        <w:t xml:space="preserve">[ ] 10. ¿El umbral está atado a la </w:t>
      </w:r>
      <w:r>
        <w:rPr>
          <w:b/>
        </w:rPr>
        <w:t>capacidad operativa</w:t>
      </w:r>
      <w:r>
        <w:t xml:space="preserve"> (cuántos casos se pueden procesar al mes), y no solo al compromiso cobertura↔precisión?</w:t>
      </w:r>
    </w:p>
    <w:p>
      <w:pPr>
        <w:pStyle w:val="ListBullet"/>
        <w:spacing w:after="40"/>
      </w:pPr>
      <w:r>
        <w:t>[ ] 11. ¿La mejora monetizada se llama por su nombre —</w:t>
      </w:r>
      <w:r>
        <w:rPr>
          <w:b/>
        </w:rPr>
        <w:t>error esperado evitado</w:t>
      </w:r>
      <w:r>
        <w:t xml:space="preserve">, no «ROI»— con su </w:t>
      </w:r>
      <w:r>
        <w:rPr>
          <w:b/>
        </w:rPr>
        <w:t>N declarado como supuesto</w:t>
      </w:r>
      <w:r>
        <w:t xml:space="preserve">, o bien se completó a </w:t>
      </w:r>
      <w:r>
        <w:rPr>
          <w:b/>
        </w:rPr>
        <w:t>ROI</w:t>
      </w:r>
      <w:r>
        <w:t xml:space="preserve"> al restar el costo de despliegue y usar un costo de error </w:t>
      </w:r>
      <w:r>
        <w:rPr>
          <w:b/>
        </w:rPr>
        <w:t>asimétrico</w:t>
      </w:r>
      <w:r>
        <w:t>?</w:t>
      </w:r>
    </w:p>
    <w:p>
      <w:pPr>
        <w:pStyle w:val="ListBullet"/>
        <w:spacing w:after="40"/>
      </w:pPr>
      <w:r>
        <w:t xml:space="preserve">[ ] 12. ¿La mejora se reportó como </w:t>
      </w:r>
      <w:r>
        <w:rPr>
          <w:b/>
        </w:rPr>
        <w:t>rango con la semilla declarada</w:t>
      </w:r>
      <w:r>
        <w:t xml:space="preserve"> (mín–máx de 5 semillas, no una cifra exacta ni un intervalo de confianza), que separa lo </w:t>
      </w:r>
      <w:r>
        <w:rPr>
          <w:b/>
        </w:rPr>
        <w:t>robusto</w:t>
      </w:r>
      <w:r>
        <w:t xml:space="preserve"> (el signo: el mejor modelo supera al otro en todas las particiones) de lo </w:t>
      </w:r>
      <w:r>
        <w:rPr>
          <w:b/>
        </w:rPr>
        <w:t>inestable</w:t>
      </w:r>
      <w:r>
        <w:t xml:space="preserve"> (la magnitud)?</w:t>
      </w:r>
    </w:p>
    <w:p>
      <w:pPr>
        <w:pStyle w:val="ListBullet"/>
        <w:spacing w:after="40"/>
      </w:pPr>
      <w:r>
        <w:t>[ ] 13. Si se agregó el error sobre una cartera (</w:t>
      </w:r>
      <w:r>
        <w:rPr>
          <w:rFonts w:ascii="Consolas" w:hAnsi="Consolas"/>
          <w:color w:val="9B1B30"/>
          <w:sz w:val="19"/>
        </w:rPr>
        <w:t>1/√N</w:t>
      </w:r>
      <w:r>
        <w:t>), ¿se declararon los supuestos (</w:t>
      </w:r>
      <w:r>
        <w:rPr>
          <w:b/>
        </w:rPr>
        <w:t>independencia</w:t>
      </w:r>
      <w:r>
        <w:t xml:space="preserve"> y </w:t>
      </w:r>
      <w:r>
        <w:rPr>
          <w:b/>
        </w:rPr>
        <w:t>varianza homogénea</w:t>
      </w:r>
      <w:r>
        <w:t xml:space="preserve">) y que el resultado es una </w:t>
      </w:r>
      <w:r>
        <w:rPr>
          <w:b/>
        </w:rPr>
        <w:t>cota optimista</w:t>
      </w:r>
      <w:r>
        <w:t>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con los resultados del cuaderno </w:t>
      </w:r>
      <w:r>
        <w:rPr>
          <w:rFonts w:ascii="Consolas" w:hAnsi="Consolas"/>
          <w:color w:val="2D2D2D"/>
          <w:sz w:val="19"/>
        </w:rPr>
        <w:t>notebook/EPE_S2_regresion.ipynb</w:t>
      </w:r>
      <w:r>
        <w:rPr>
          <w:color w:val="2D2D2D"/>
        </w:rPr>
        <w:t xml:space="preserve"> (modelos de Advertising y Ames, exportados a </w:t>
      </w:r>
      <w:r>
        <w:rPr>
          <w:rFonts w:ascii="Consolas" w:hAnsi="Consolas"/>
          <w:color w:val="2D2D2D"/>
          <w:sz w:val="19"/>
        </w:rPr>
        <w:t>resultados/E02_resultados.xlsx</w:t>
      </w:r>
      <w:r>
        <w:rPr>
          <w:color w:val="2D2D2D"/>
        </w:rPr>
        <w:t xml:space="preserve">). Su versión completada es el </w:t>
      </w:r>
      <w:r>
        <w:rPr>
          <w:b/>
          <w:color w:val="2D2D2D"/>
        </w:rPr>
        <w:t>entregable evaluable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, rúbrica vigesimal = 20): el informe gerencial del modelo de precio de vivienda. Marco: ISLR cap. 3; Provost &amp; Fawcett (2013) cap. 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Reporte de regresión para audiencia gerencial (EPE)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