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de una página: cómo interpretar las componentes del PCA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para la Ciencia de Datos, Modalidad EPE, Sesión E3 (Demasiadas variables). Guía del estudiante para leer una salida de PCA sin tecnicismos: cuántas componentes retener (varianza&gt; explicada), por qué estandarizar y cómo </w:t>
      </w:r>
      <w:r>
        <w:rPr>
          <w:b/>
          <w:color w:val="2D2D2D"/>
        </w:rPr>
        <w:t>nombrar</w:t>
      </w:r>
      <w:r>
        <w:rPr>
          <w:color w:val="2D2D2D"/>
        </w:rPr>
        <w:t xml:space="preserve"> cada componente con sus cargas. El método es el mismo que recorren los Pasos 7-11 del cuaderno del alumno (</w:t>
      </w:r>
      <w:r>
        <w:rPr>
          <w:rFonts w:ascii="Consolas" w:hAnsi="Consolas"/>
          <w:color w:val="2D2D2D"/>
          <w:sz w:val="19"/>
        </w:rPr>
        <w:t>notebook/EPE_S3_regularizacion_pca.ipynb</w:t>
      </w:r>
      <w:r>
        <w:rPr>
          <w:color w:val="2D2D2D"/>
        </w:rPr>
        <w:t xml:space="preserve">), ahí aplicado a </w:t>
      </w:r>
      <w:r>
        <w:rPr>
          <w:b/>
          <w:color w:val="2D2D2D"/>
        </w:rPr>
        <w:t>Communities and Crime</w:t>
      </w:r>
      <w:r>
        <w:rPr>
          <w:color w:val="2D2D2D"/>
        </w:rPr>
        <w:t xml:space="preserve">. Esta guía trabaja el ejemplo con </w:t>
      </w:r>
      <w:r>
        <w:rPr>
          <w:b/>
          <w:color w:val="2D2D2D"/>
        </w:rPr>
        <w:t>Wine</w:t>
      </w:r>
      <w:r>
        <w:rPr>
          <w:color w:val="2D2D2D"/>
        </w:rPr>
        <w:t xml:space="preserve"> — el caso </w:t>
      </w:r>
      <w:r>
        <w:rPr>
          <w:b/>
          <w:color w:val="2D2D2D"/>
        </w:rPr>
        <w:t>nuevo</w:t>
      </w:r>
      <w:r>
        <w:rPr>
          <w:color w:val="2D2D2D"/>
        </w:rPr>
        <w:t xml:space="preserve"> del entregable (</w:t>
      </w:r>
      <w:r>
        <w:rPr>
          <w:rFonts w:ascii="Consolas" w:hAnsi="Consolas"/>
          <w:color w:val="2D2D2D"/>
          <w:sz w:val="19"/>
        </w:rPr>
        <w:t>evaluación/entregable.docx</w:t>
      </w:r>
      <w:r>
        <w:rPr>
          <w:color w:val="2D2D2D"/>
        </w:rPr>
        <w:t>), no visto en el cuaderno: mismo método, dataset distinto. Español impersonal.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Nivel EPE:</w:t>
      </w:r>
      <w:r>
        <w:rPr>
          <w:color w:val="2D2D2D"/>
        </w:rPr>
        <w:t xml:space="preserve"> intuición y decisión. </w:t>
      </w:r>
      <w:r>
        <w:rPr>
          <w:b/>
          <w:color w:val="2D2D2D"/>
        </w:rPr>
        <w:t>Deja fuera</w:t>
      </w:r>
      <w:r>
        <w:rPr>
          <w:color w:val="2D2D2D"/>
        </w:rPr>
        <w:t xml:space="preserve"> (solo mención): Análisis Factorial y rotación varimax, t-SNE y UMAP.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La idea en una frase</w:t>
      </w:r>
    </w:p>
    <w:p>
      <w:pPr>
        <w:jc w:val="both"/>
      </w:pPr>
      <w:r>
        <w:t xml:space="preserve">El </w:t>
      </w:r>
      <w:r>
        <w:rPr>
          <w:b/>
        </w:rPr>
        <w:t>PCA</w:t>
      </w:r>
      <w:r>
        <w:t xml:space="preserve"> (Análisis de Componentes Principales) reemplaza </w:t>
      </w:r>
      <w:r>
        <w:rPr>
          <w:b/>
        </w:rPr>
        <w:t>muchas variables correlacionadas</w:t>
      </w:r>
      <w:r>
        <w:t xml:space="preserve"> por unas pocas </w:t>
      </w:r>
      <w:r>
        <w:rPr>
          <w:b/>
        </w:rPr>
        <w:t>componentes</w:t>
      </w:r>
      <w:r>
        <w:t xml:space="preserve"> nuevas —combinaciones de las originales— ordenadas por la </w:t>
      </w:r>
      <w:r>
        <w:rPr>
          <w:b/>
        </w:rPr>
        <w:t>cantidad de información (varianza) que capturan</w:t>
      </w:r>
      <w:r>
        <w:t xml:space="preserve">. La componente 1 (PC1) es la dirección donde los datos más varían; PC2 la siguiente, y así. Sirve para </w:t>
      </w:r>
      <w:r>
        <w:rPr>
          <w:b/>
        </w:rPr>
        <w:t>comprimir</w:t>
      </w:r>
      <w:r>
        <w:t xml:space="preserve"> (menos columnas) y para </w:t>
      </w:r>
      <w:r>
        <w:rPr>
          <w:b/>
        </w:rPr>
        <w:t>visualizar</w:t>
      </w:r>
      <w:r>
        <w:t xml:space="preserve"> en 2D. Es </w:t>
      </w:r>
      <w:r>
        <w:rPr>
          <w:b/>
        </w:rPr>
        <w:t>no supervisado</w:t>
      </w:r>
      <w:r>
        <w:t>: no usa la variable objetivo.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TRES PALABRAS CLAVE:</w:t>
      </w:r>
    </w:p>
    <w:p>
      <w:pPr>
        <w:pStyle w:val="ListBullet"/>
        <w:spacing w:after="40"/>
      </w:pPr>
      <w:r>
        <w:rPr>
          <w:b/>
        </w:rPr>
        <w:t>Varianza explicada:</w:t>
      </w:r>
      <w:r>
        <w:t xml:space="preserve"> qué fracción de la información captura cada componente.</w:t>
      </w:r>
    </w:p>
    <w:p>
      <w:pPr>
        <w:pStyle w:val="ListBullet"/>
        <w:spacing w:after="40"/>
      </w:pPr>
      <w:r>
        <w:rPr>
          <w:b/>
        </w:rPr>
        <w:t>Varianza acumulada:</w:t>
      </w:r>
      <w:r>
        <w:t xml:space="preserve"> cuánta se conserva al sumar las primeras </w:t>
      </w:r>
      <w:r>
        <w:rPr>
          <w:i/>
        </w:rPr>
        <w:t>k</w:t>
      </w:r>
      <w:r>
        <w:t xml:space="preserve"> componentes → la métrica para</w:t>
      </w:r>
    </w:p>
    <w:p>
      <w:pPr>
        <w:jc w:val="both"/>
      </w:pPr>
      <w:r>
        <w:t xml:space="preserve"> decidir cuántas retener.</w:t>
      </w:r>
    </w:p>
    <w:p>
      <w:pPr>
        <w:pStyle w:val="ListBullet"/>
        <w:spacing w:after="40"/>
      </w:pPr>
      <w:r>
        <w:rPr>
          <w:b/>
        </w:rPr>
        <w:t>Cargas (loadings):</w:t>
      </w:r>
      <w:r>
        <w:t xml:space="preserve"> cuánto «pesa» cada variable original en una componente → sirven para</w:t>
      </w:r>
    </w:p>
    <w:p>
      <w:pPr>
        <w:jc w:val="both"/>
      </w:pPr>
      <w:r>
        <w:t xml:space="preserve"> </w:t>
      </w:r>
      <w:r>
        <w:rPr>
          <w:b/>
        </w:rPr>
        <w:t>nombrarla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Decidir cuántas componentes retener (varianza acumulada)</w:t>
      </w:r>
    </w:p>
    <w:p>
      <w:pPr>
        <w:jc w:val="both"/>
      </w:pPr>
      <w:r>
        <w:t xml:space="preserve">Se mira la </w:t>
      </w:r>
      <w:r>
        <w:rPr>
          <w:b/>
        </w:rPr>
        <w:t>varianza acumulada</w:t>
      </w:r>
      <w:r>
        <w:t xml:space="preserve"> y se fija el objetivo:</w:t>
      </w:r>
    </w:p>
    <w:p>
      <w:pPr>
        <w:pStyle w:val="ListBullet"/>
        <w:spacing w:after="40"/>
      </w:pPr>
      <w:r>
        <w:rPr>
          <w:b/>
        </w:rPr>
        <w:t>Visualizar</w:t>
      </w:r>
      <w:r>
        <w:t xml:space="preserve"> → 2 (o 3) componentes.</w:t>
      </w:r>
    </w:p>
    <w:p>
      <w:pPr>
        <w:pStyle w:val="ListBullet"/>
        <w:spacing w:after="40"/>
      </w:pPr>
      <w:r>
        <w:rPr>
          <w:b/>
        </w:rPr>
        <w:t>Modelar / comprimir</w:t>
      </w:r>
      <w:r>
        <w:t xml:space="preserve"> → el mínimo </w:t>
      </w:r>
      <w:r>
        <w:rPr>
          <w:i/>
        </w:rPr>
        <w:t>k</w:t>
      </w:r>
      <w:r>
        <w:t xml:space="preserve"> que supere un </w:t>
      </w:r>
      <w:r>
        <w:rPr>
          <w:b/>
        </w:rPr>
        <w:t>umbral</w:t>
      </w:r>
      <w:r>
        <w:t xml:space="preserve"> (típico 80–95 %).</w:t>
      </w:r>
    </w:p>
    <w:p>
      <w:pPr>
        <w:jc w:val="both"/>
      </w:pPr>
      <w:r>
        <w:t xml:space="preserve">Ejemplo — PCA de </w:t>
      </w:r>
      <w:r>
        <w:rPr>
          <w:b/>
        </w:rPr>
        <w:t>Wine estandarizado</w:t>
      </w:r>
      <w:r>
        <w:t xml:space="preserve"> (caso del entregable):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Var. explicada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Acumulada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36.2 %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36.2 %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19.2 %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55.4 %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11.1 %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66.5 %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7.1 %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73.6 %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6.6 %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80.2 %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Lectura:</w:t>
      </w:r>
      <w:r>
        <w:t xml:space="preserve"> con </w:t>
      </w:r>
      <w:r>
        <w:rPr>
          <w:b/>
        </w:rPr>
        <w:t>2 componentes</w:t>
      </w:r>
      <w:r>
        <w:t xml:space="preserve"> se conserva el </w:t>
      </w:r>
      <w:r>
        <w:rPr>
          <w:b/>
        </w:rPr>
        <w:t>55.4 %</w:t>
      </w:r>
      <w:r>
        <w:t xml:space="preserve"> (suficiente para </w:t>
      </w:r>
      <w:r>
        <w:rPr>
          <w:i/>
        </w:rPr>
        <w:t>ver</w:t>
      </w:r>
      <w:r>
        <w:t xml:space="preserve"> en 2D); para </w:t>
      </w:r>
      <w:r>
        <w:rPr>
          <w:b/>
        </w:rPr>
        <w:t>≥ 90 %</w:t>
      </w:r>
      <w:r>
        <w:t xml:space="preserve"> de la información hacen falta </w:t>
      </w:r>
      <w:r>
        <w:rPr>
          <w:b/>
        </w:rPr>
        <w:t>8</w:t>
      </w:r>
      <w:r>
        <w:t xml:space="preserve"> componentes. El «codo» del </w:t>
      </w:r>
      <w:r>
        <w:rPr>
          <w:i/>
        </w:rPr>
        <w:t>scree plot</w:t>
      </w:r>
      <w:r>
        <w:t xml:space="preserve"> (donde la curva de varianza se aplana) es una guía visual complementaria.</w:t>
      </w:r>
    </w:p>
    <w:p>
      <w:pPr>
        <w:jc w:val="both"/>
      </w:pPr>
      <w:r>
        <w:rPr>
          <w:b/>
        </w:rPr>
        <w:t>Lo que ahorra comprimir (en dinero).</w:t>
      </w:r>
      <w:r>
        <w:t xml:space="preserve"> Cada columna cuesta almacenamiento, cómputo y mantenimiento. Pasar de </w:t>
      </w:r>
      <w:r>
        <w:rPr>
          <w:b/>
        </w:rPr>
        <w:t>13</w:t>
      </w:r>
      <w:r>
        <w:t xml:space="preserve"> variables a </w:t>
      </w:r>
      <w:r>
        <w:rPr>
          <w:b/>
        </w:rPr>
        <w:t>2</w:t>
      </w:r>
      <w:r>
        <w:t xml:space="preserve"> (visualizar) o a </w:t>
      </w:r>
      <w:r>
        <w:rPr>
          <w:b/>
        </w:rPr>
        <w:t>8</w:t>
      </w:r>
      <w:r>
        <w:t xml:space="preserve"> (≥ 90 %) reduce el tamaño de los datos en esa proporción. A escala importa: la fuente de la sesión comprime </w:t>
      </w:r>
      <w:r>
        <w:rPr>
          <w:i/>
        </w:rPr>
        <w:t>embeddings</w:t>
      </w:r>
      <w:r>
        <w:t xml:space="preserve"> </w:t>
      </w:r>
      <w:r>
        <w:rPr>
          <w:b/>
        </w:rPr>
        <w:t>8×</w:t>
      </w:r>
      <w:r>
        <w:t xml:space="preserve"> para abaratar un sistema RAG. Ejemplo ilustrativo: 1 000 000 de registros × 13 números × 4 bytes ≈ 52 MB; con 8 componentes ≈ 32 MB (−38 %); con </w:t>
      </w:r>
      <w:r>
        <w:rPr>
          <w:i/>
        </w:rPr>
        <w:t>embeddings</w:t>
      </w:r>
      <w:r>
        <w:t xml:space="preserve"> de miles de dimensiones comprimidos 8×, el ahorro de almacenamiento y de cómputo por consulta se multiplica. Conviene traducir la compresión a </w:t>
      </w:r>
      <w:r>
        <w:rPr>
          <w:b/>
        </w:rPr>
        <w:t>GB y a US$/mes</w:t>
      </w:r>
      <w:r>
        <w:t xml:space="preserve"> de almacenamiento y cómputo, no solo a un ratio. (Cifras de costo ilustrativas;sustituir por las del caso propio.)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Estandarizar NO es opcional (el sesgo de escala)</w:t>
      </w:r>
    </w:p>
    <w:p>
      <w:pPr>
        <w:jc w:val="both"/>
      </w:pPr>
      <w:r>
        <w:t xml:space="preserve">Si las variables tienen </w:t>
      </w:r>
      <w:r>
        <w:rPr>
          <w:b/>
        </w:rPr>
        <w:t>unidades muy distintas</w:t>
      </w:r>
      <w:r>
        <w:t xml:space="preserve">, hay que </w:t>
      </w:r>
      <w:r>
        <w:rPr>
          <w:b/>
        </w:rPr>
        <w:t>estandarizarlas</w:t>
      </w:r>
      <w:r>
        <w:t xml:space="preserve"> (misma escala) antes del PCA. Si no, la variable de números más grandes domina la PC1.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Convención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PC1 (Wine)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Crudo</w:t>
            </w:r>
            <w:r>
              <w:rPr>
                <w:sz w:val="19"/>
              </w:rPr>
              <w:t xml:space="preserve"> (sin estandarizar)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99.8 %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Artefacto</w:t>
            </w:r>
            <w:r>
              <w:rPr>
                <w:sz w:val="19"/>
              </w:rPr>
              <w:t xml:space="preserve">: solo refleja que </w:t>
            </w:r>
            <w:r>
              <w:rPr>
                <w:rFonts w:ascii="Consolas" w:hAnsi="Consolas"/>
                <w:color w:val="9B1B30"/>
                <w:sz w:val="19"/>
              </w:rPr>
              <w:t>proline</w:t>
            </w:r>
            <w:r>
              <w:rPr>
                <w:sz w:val="19"/>
              </w:rPr>
              <w:t xml:space="preserve"> va en cientos. Señal de alarma.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36.2 %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Reparto realista de la información entre las 13 variables.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Regla:</w:t>
      </w:r>
      <w:r>
        <w:t xml:space="preserve"> que «una sola componente lo explique casi todo» suele significar que </w:t>
      </w:r>
      <w:r>
        <w:rPr>
          <w:b/>
        </w:rPr>
        <w:t>no se estandarizó</w:t>
      </w:r>
      <w:r>
        <w:t xml:space="preserve">, no que la compresión sea magnífica. </w:t>
      </w:r>
      <w:r>
        <w:rPr>
          <w:b/>
        </w:rPr>
        <w:t>Documentar siempre</w:t>
      </w:r>
      <w:r>
        <w:t xml:space="preserve"> qué convención se usó.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Nombrar cada componente con sus cargas</w:t>
      </w:r>
    </w:p>
    <w:p>
      <w:pPr>
        <w:jc w:val="both"/>
      </w:pPr>
      <w:r>
        <w:t xml:space="preserve">Las </w:t>
      </w:r>
      <w:r>
        <w:rPr>
          <w:b/>
        </w:rPr>
        <w:t>cargas</w:t>
      </w:r>
      <w:r>
        <w:t xml:space="preserve"> dicen qué variables definen cada eje. Se leen las </w:t>
      </w:r>
      <w:r>
        <w:rPr>
          <w:b/>
        </w:rPr>
        <w:t>más altas</w:t>
      </w:r>
      <w:r>
        <w:t xml:space="preserve"> (en valor absoluto) para ponerle un nombre de negocio a la componente. Pero hay que leer el </w:t>
      </w:r>
      <w:r>
        <w:rPr>
          <w:b/>
        </w:rPr>
        <w:t>número correcto</w:t>
      </w:r>
      <w:r>
        <w:t>: se confunden dos objetos distintos.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Objeto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`flavanoids` en PC1 (Wine)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Autovector unitario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pca.components_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 </w:t>
            </w:r>
            <w:r>
              <w:rPr>
                <w:b/>
                <w:sz w:val="19"/>
              </w:rPr>
              <w:t>dirección</w:t>
            </w:r>
            <w:r>
              <w:rPr>
                <w:sz w:val="19"/>
              </w:rPr>
              <w:t xml:space="preserve"> del eje; el vector tiene norma 1, por eso sus números son pequeños.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0.423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Carga de correlación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color w:val="9B1B30"/>
                <w:sz w:val="19"/>
              </w:rPr>
              <w:t>v · √λ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autovector </w:t>
            </w:r>
            <w:r>
              <w:rPr>
                <w:b/>
                <w:sz w:val="19"/>
              </w:rPr>
              <w:t>escalado por la raíz del eigenvalor</w:t>
            </w:r>
            <w:r>
              <w:rPr>
                <w:sz w:val="19"/>
              </w:rPr>
              <w:t xml:space="preserve"> de la componente. Es la </w:t>
            </w:r>
            <w:r>
              <w:rPr>
                <w:b/>
                <w:sz w:val="19"/>
              </w:rPr>
              <w:t>correlación</w:t>
            </w:r>
            <w:r>
              <w:rPr>
                <w:sz w:val="19"/>
              </w:rPr>
              <w:t xml:space="preserve"> entre la variable y la componente: la magnitud que se interpreta.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0.92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⚠️ </w:t>
      </w:r>
      <w:r>
        <w:rPr>
          <w:b/>
          <w:color w:val="2D2D2D"/>
        </w:rPr>
        <w:t>`pca.components_` ≠ carga (falta ×√λ).</w:t>
      </w:r>
      <w:r>
        <w:rPr>
          <w:color w:val="2D2D2D"/>
        </w:rPr>
        <w:t xml:space="preserve"> Lo que devuelve scikit-learn en </w:t>
      </w:r>
      <w:r>
        <w:rPr>
          <w:rFonts w:ascii="Consolas" w:hAnsi="Consolas"/>
          <w:color w:val="2D2D2D"/>
          <w:sz w:val="19"/>
        </w:rPr>
        <w:t>pca.components_</w:t>
      </w:r>
      <w:r>
        <w:rPr>
          <w:color w:val="2D2D2D"/>
        </w:rPr>
        <w:t xml:space="preserve"> —y la hoja </w:t>
      </w:r>
      <w:r>
        <w:rPr>
          <w:rFonts w:ascii="Consolas" w:hAnsi="Consolas"/>
          <w:color w:val="2D2D2D"/>
          <w:sz w:val="19"/>
        </w:rPr>
        <w:t>pca_cargas</w:t>
      </w:r>
      <w:r>
        <w:rPr>
          <w:color w:val="2D2D2D"/>
        </w:rPr>
        <w:t xml:space="preserve"> del Excel— es el </w:t>
      </w:r>
      <w:r>
        <w:rPr>
          <w:b/>
          <w:color w:val="2D2D2D"/>
        </w:rPr>
        <w:t>autovector unitario</w:t>
      </w:r>
      <w:r>
        <w:rPr>
          <w:color w:val="2D2D2D"/>
        </w:rPr>
        <w:t xml:space="preserve"> (≈ 0.42 para </w:t>
      </w:r>
      <w:r>
        <w:rPr>
          <w:rFonts w:ascii="Consolas" w:hAnsi="Consolas"/>
          <w:color w:val="2D2D2D"/>
          <w:sz w:val="19"/>
        </w:rPr>
        <w:t>flavanoids</w:t>
      </w:r>
      <w:r>
        <w:rPr>
          <w:color w:val="2D2D2D"/>
        </w:rPr>
        <w:t xml:space="preserve">), </w:t>
      </w:r>
      <w:r>
        <w:rPr>
          <w:b/>
          <w:color w:val="2D2D2D"/>
        </w:rPr>
        <w:t>no</w:t>
      </w:r>
      <w:r>
        <w:rPr>
          <w:color w:val="2D2D2D"/>
        </w:rPr>
        <w:t xml:space="preserve"> la carga: falta multiplicarlo por </w:t>
      </w:r>
      <w:r>
        <w:rPr>
          <w:rFonts w:ascii="Consolas" w:hAnsi="Consolas"/>
          <w:color w:val="2D2D2D"/>
          <w:sz w:val="19"/>
        </w:rPr>
        <w:t>√λ</w:t>
      </w:r>
      <w:r>
        <w:rPr>
          <w:color w:val="2D2D2D"/>
        </w:rPr>
        <w:t xml:space="preserve">. La </w:t>
      </w:r>
      <w:r>
        <w:rPr>
          <w:b/>
          <w:color w:val="2D2D2D"/>
        </w:rPr>
        <w:t>carga de correlación</w:t>
      </w:r>
      <w:r>
        <w:rPr>
          <w:color w:val="2D2D2D"/>
        </w:rPr>
        <w:t xml:space="preserve"> es </w:t>
      </w:r>
      <w:r>
        <w:rPr>
          <w:rFonts w:ascii="Consolas" w:hAnsi="Consolas"/>
          <w:color w:val="2D2D2D"/>
          <w:sz w:val="19"/>
        </w:rPr>
        <w:t>l = v · √λ</w:t>
      </w:r>
      <w:r>
        <w:rPr>
          <w:color w:val="2D2D2D"/>
        </w:rPr>
        <w:t xml:space="preserve"> (ya calculada en la hoja </w:t>
      </w:r>
      <w:r>
        <w:rPr>
          <w:rFonts w:ascii="Consolas" w:hAnsi="Consolas"/>
          <w:color w:val="2D2D2D"/>
          <w:sz w:val="19"/>
        </w:rPr>
        <w:t>pca_cargas_corr</w:t>
      </w:r>
      <w:r>
        <w:rPr>
          <w:color w:val="2D2D2D"/>
        </w:rPr>
        <w:t xml:space="preserve"> del Excel); aquí </w:t>
      </w:r>
      <w:r>
        <w:rPr>
          <w:rFonts w:ascii="Consolas" w:hAnsi="Consolas"/>
          <w:color w:val="2D2D2D"/>
          <w:sz w:val="19"/>
        </w:rPr>
        <w:t>0.423 · √4.706 ≈ 0.92</w:t>
      </w:r>
      <w:r>
        <w:rPr>
          <w:color w:val="2D2D2D"/>
        </w:rPr>
        <w:t xml:space="preserve">, con </w:t>
      </w:r>
      <w:r>
        <w:rPr>
          <w:rFonts w:ascii="Consolas" w:hAnsi="Consolas"/>
          <w:color w:val="2D2D2D"/>
          <w:sz w:val="19"/>
        </w:rPr>
        <w:t>λ₁ = 36.2 % × 13 = 4.706</w:t>
      </w:r>
      <w:r>
        <w:rPr>
          <w:color w:val="2D2D2D"/>
        </w:rPr>
        <w:t xml:space="preserve"> (la traza de la matriz de correlación de 13 variables estandarizadas es 13). El </w:t>
      </w:r>
      <w:r>
        <w:rPr>
          <w:b/>
          <w:color w:val="2D2D2D"/>
        </w:rPr>
        <w:t>nombre</w:t>
      </w:r>
      <w:r>
        <w:rPr>
          <w:color w:val="2D2D2D"/>
        </w:rPr>
        <w:t xml:space="preserve"> del eje no cambia (√λ es una constante positiva que no altera el orden ni el signo de las variables), pero el número que se reporta como «carga» sí.</w:t>
      </w:r>
    </w:p>
    <w:p>
      <w:pPr>
        <w:jc w:val="both"/>
      </w:pPr>
      <w:r>
        <w:t xml:space="preserve">Ejemplo (Wine estandarizado, caso del entregable; </w:t>
      </w:r>
      <w:r>
        <w:rPr>
          <w:b/>
        </w:rPr>
        <w:t>cargas de correlación</w:t>
      </w:r>
      <w:r>
        <w:t xml:space="preserve"> </w:t>
      </w:r>
      <w:r>
        <w:rPr>
          <w:rFonts w:ascii="Consolas" w:hAnsi="Consolas"/>
          <w:color w:val="9B1B30"/>
          <w:sz w:val="19"/>
        </w:rPr>
        <w:t>v·√λ</w:t>
      </w:r>
      <w:r>
        <w:t>):</w:t>
      </w:r>
    </w:p>
    <w:p>
      <w:pPr>
        <w:pStyle w:val="ListBullet"/>
        <w:spacing w:after="40"/>
      </w:pPr>
      <w:r>
        <w:rPr>
          <w:b/>
        </w:rPr>
        <w:t>PC1</w:t>
      </w:r>
      <w:r>
        <w:t xml:space="preserve"> carga fuerte en </w:t>
      </w:r>
      <w:r>
        <w:rPr>
          <w:rFonts w:ascii="Consolas" w:hAnsi="Consolas"/>
          <w:color w:val="9B1B30"/>
          <w:sz w:val="19"/>
        </w:rPr>
        <w:t>flavanoids</w:t>
      </w:r>
      <w:r>
        <w:t xml:space="preserve"> (</w:t>
      </w:r>
      <w:r>
        <w:rPr>
          <w:b/>
        </w:rPr>
        <w:t>0.92</w:t>
      </w:r>
      <w:r>
        <w:t xml:space="preserve">), </w:t>
      </w:r>
      <w:r>
        <w:rPr>
          <w:rFonts w:ascii="Consolas" w:hAnsi="Consolas"/>
          <w:color w:val="9B1B30"/>
          <w:sz w:val="19"/>
        </w:rPr>
        <w:t>total_phenols</w:t>
      </w:r>
      <w:r>
        <w:t xml:space="preserve"> (</w:t>
      </w:r>
      <w:r>
        <w:rPr>
          <w:b/>
        </w:rPr>
        <w:t>0.86</w:t>
      </w:r>
      <w:r>
        <w:t xml:space="preserve">), </w:t>
      </w:r>
      <w:r>
        <w:rPr>
          <w:rFonts w:ascii="Consolas" w:hAnsi="Consolas"/>
          <w:color w:val="9B1B30"/>
          <w:sz w:val="19"/>
        </w:rPr>
        <w:t>od280/od315</w:t>
      </w:r>
    </w:p>
    <w:p>
      <w:pPr>
        <w:jc w:val="both"/>
      </w:pPr>
      <w:r>
        <w:t xml:space="preserve"> (</w:t>
      </w:r>
      <w:r>
        <w:rPr>
          <w:b/>
        </w:rPr>
        <w:t>0.82</w:t>
      </w:r>
      <w:r>
        <w:t xml:space="preserve">) → se nombra </w:t>
      </w:r>
      <w:r>
        <w:rPr>
          <w:b/>
        </w:rPr>
        <w:t>«riqueza fenólica / cuerpo del vino»</w:t>
      </w:r>
      <w:r>
        <w:t>.</w:t>
      </w:r>
    </w:p>
    <w:p>
      <w:pPr>
        <w:pStyle w:val="ListBullet"/>
        <w:spacing w:after="40"/>
      </w:pPr>
      <w:r>
        <w:rPr>
          <w:b/>
        </w:rPr>
        <w:t>PC2</w:t>
      </w:r>
      <w:r>
        <w:t xml:space="preserve"> carga fuerte en </w:t>
      </w:r>
      <w:r>
        <w:rPr>
          <w:rFonts w:ascii="Consolas" w:hAnsi="Consolas"/>
          <w:color w:val="9B1B30"/>
          <w:sz w:val="19"/>
        </w:rPr>
        <w:t>color_intensity</w:t>
      </w:r>
      <w:r>
        <w:t xml:space="preserve"> (</w:t>
      </w:r>
      <w:r>
        <w:rPr>
          <w:b/>
        </w:rPr>
        <w:t>0.84</w:t>
      </w:r>
      <w:r>
        <w:t xml:space="preserve">), </w:t>
      </w:r>
      <w:r>
        <w:rPr>
          <w:rFonts w:ascii="Consolas" w:hAnsi="Consolas"/>
          <w:color w:val="9B1B30"/>
          <w:sz w:val="19"/>
        </w:rPr>
        <w:t>alcohol</w:t>
      </w:r>
      <w:r>
        <w:t xml:space="preserve"> (</w:t>
      </w:r>
      <w:r>
        <w:rPr>
          <w:b/>
        </w:rPr>
        <w:t>0.76</w:t>
      </w:r>
      <w:r>
        <w:t xml:space="preserve">), </w:t>
      </w:r>
      <w:r>
        <w:rPr>
          <w:rFonts w:ascii="Consolas" w:hAnsi="Consolas"/>
          <w:color w:val="9B1B30"/>
          <w:sz w:val="19"/>
        </w:rPr>
        <w:t>proline</w:t>
      </w:r>
      <w:r>
        <w:t xml:space="preserve"> (</w:t>
      </w:r>
      <w:r>
        <w:rPr>
          <w:b/>
        </w:rPr>
        <w:t>0.58</w:t>
      </w:r>
      <w:r>
        <w:t>) →</w:t>
      </w:r>
    </w:p>
    <w:p>
      <w:pPr>
        <w:jc w:val="both"/>
      </w:pPr>
      <w:r>
        <w:t xml:space="preserve"> </w:t>
      </w:r>
      <w:r>
        <w:rPr>
          <w:b/>
        </w:rPr>
        <w:t>«intensidad de color y alcohol»</w:t>
      </w:r>
      <w:r>
        <w:t>.</w:t>
      </w:r>
    </w:p>
    <w:p>
      <w:pPr>
        <w:jc w:val="both"/>
      </w:pPr>
      <w:r>
        <w:t xml:space="preserve">Con esas 2 componentes se dibuja un plano donde los </w:t>
      </w:r>
      <w:r>
        <w:rPr>
          <w:b/>
        </w:rPr>
        <w:t>tres cultivares</w:t>
      </w:r>
      <w:r>
        <w:t xml:space="preserve"> de vino se </w:t>
      </w:r>
      <w:r>
        <w:rPr>
          <w:b/>
        </w:rPr>
        <w:t>separan a la vista</w:t>
      </w:r>
      <w:r>
        <w:t>: eso es visualizar datos de muchas variables en 2D.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ERRORES A EVITAR:</w:t>
      </w:r>
    </w:p>
    <w:p>
      <w:pPr>
        <w:pStyle w:val="ListBullet"/>
        <w:spacing w:after="40"/>
      </w:pPr>
      <w:r>
        <w:t xml:space="preserve">[ ] Confundir el </w:t>
      </w:r>
      <w:r>
        <w:rPr>
          <w:b/>
        </w:rPr>
        <w:t>autovector unitario</w:t>
      </w:r>
      <w:r>
        <w:t xml:space="preserve"> (</w:t>
      </w:r>
      <w:r>
        <w:rPr>
          <w:rFonts w:ascii="Consolas" w:hAnsi="Consolas"/>
          <w:color w:val="9B1B30"/>
          <w:sz w:val="19"/>
        </w:rPr>
        <w:t>pca.components_</w:t>
      </w:r>
      <w:r>
        <w:t xml:space="preserve">, ≈ 0.42) con la </w:t>
      </w:r>
      <w:r>
        <w:rPr>
          <w:b/>
        </w:rPr>
        <w:t>carga de correlación</w:t>
      </w:r>
    </w:p>
    <w:p>
      <w:pPr>
        <w:jc w:val="both"/>
      </w:pPr>
      <w:r>
        <w:t xml:space="preserve"> (</w:t>
      </w:r>
      <w:r>
        <w:rPr>
          <w:rFonts w:ascii="Consolas" w:hAnsi="Consolas"/>
          <w:color w:val="9B1B30"/>
          <w:sz w:val="19"/>
        </w:rPr>
        <w:t>v·√λ</w:t>
      </w:r>
      <w:r>
        <w:t>, ≈ 0.92): el primero es la dirección; la segunda es la correlación que se interpreta.</w:t>
      </w:r>
    </w:p>
    <w:p>
      <w:pPr>
        <w:pStyle w:val="ListBullet"/>
        <w:spacing w:after="40"/>
      </w:pPr>
      <w:r>
        <w:t xml:space="preserve">[ ] Leer el </w:t>
      </w:r>
      <w:r>
        <w:rPr>
          <w:b/>
        </w:rPr>
        <w:t>signo</w:t>
      </w:r>
      <w:r>
        <w:t xml:space="preserve"> de una carga como «bueno/malo» (es arbitrario: el eje puede venir volteado).</w:t>
      </w:r>
    </w:p>
    <w:p>
      <w:pPr>
        <w:pStyle w:val="ListBullet"/>
        <w:spacing w:after="40"/>
      </w:pPr>
      <w:r>
        <w:t xml:space="preserve">[ ] Reportar la varianza de una componente </w:t>
      </w:r>
      <w:r>
        <w:rPr>
          <w:b/>
        </w:rPr>
        <w:t>sin la acumulada</w:t>
      </w:r>
      <w:r>
        <w:t xml:space="preserve"> (sin ella no se decide cuántas retener).</w:t>
      </w:r>
    </w:p>
    <w:p>
      <w:pPr>
        <w:pStyle w:val="ListBullet"/>
        <w:spacing w:after="40"/>
      </w:pPr>
      <w:r>
        <w:t>[ ] Interpretar distancias del plano 2D como exactas (solo son fieles si PC1+PC2 explican bastante varianza).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LASSO vs. PCA (cuándo cada uno)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Técnica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conserva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Quedarse con las </w:t>
            </w:r>
            <w:r>
              <w:rPr>
                <w:b/>
                <w:sz w:val="19"/>
              </w:rPr>
              <w:t>variables que importan</w:t>
            </w:r>
            <w:r>
              <w:rPr>
                <w:sz w:val="19"/>
              </w:rPr>
              <w:t xml:space="preserve"> (y nombrarlas)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LASSO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Variables </w:t>
            </w:r>
            <w:r>
              <w:rPr>
                <w:b/>
                <w:sz w:val="19"/>
              </w:rPr>
              <w:t>originales</w:t>
            </w:r>
            <w:r>
              <w:rPr>
                <w:sz w:val="19"/>
              </w:rPr>
              <w:t xml:space="preserve"> (unas sí, otras no)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Comprimir / visualizar</w:t>
            </w:r>
            <w:r>
              <w:rPr>
                <w:sz w:val="19"/>
              </w:rPr>
              <w:t xml:space="preserve"> muchas variables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PCA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Componentes nuevas</w:t>
            </w:r>
            <w:r>
              <w:rPr>
                <w:sz w:val="19"/>
              </w:rPr>
              <w:t xml:space="preserve"> (mezclas de las originales)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Diferencia clave:</w:t>
      </w:r>
      <w:r>
        <w:t xml:space="preserve"> el LASSO conserva variables </w:t>
      </w:r>
      <w:r>
        <w:rPr>
          <w:b/>
        </w:rPr>
        <w:t>originales</w:t>
      </w:r>
      <w:r>
        <w:t xml:space="preserve"> con su significado intacto; el PCA crea variables </w:t>
      </w:r>
      <w:r>
        <w:rPr>
          <w:b/>
        </w:rPr>
        <w:t>nuevas</w:t>
      </w:r>
      <w:r>
        <w:t xml:space="preserve"> que resumen pero ya no son «el ingreso» o «el alcohol».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Recordatorios rápidos (control)</w:t>
      </w:r>
    </w:p>
    <w:p>
      <w:pPr>
        <w:pStyle w:val="ListBullet"/>
        <w:spacing w:after="40"/>
      </w:pPr>
      <w:r>
        <w:t xml:space="preserve">[ ] Se </w:t>
      </w:r>
      <w:r>
        <w:rPr>
          <w:b/>
        </w:rPr>
        <w:t>estandarizó</w:t>
      </w:r>
      <w:r>
        <w:t xml:space="preserve"> antes del PCA si las variables tenían escalas dispares.</w:t>
      </w:r>
    </w:p>
    <w:p>
      <w:pPr>
        <w:pStyle w:val="ListBullet"/>
        <w:spacing w:after="40"/>
      </w:pPr>
      <w:r>
        <w:t xml:space="preserve">[ ] Se decidió el nº de componentes por la </w:t>
      </w:r>
      <w:r>
        <w:rPr>
          <w:b/>
        </w:rPr>
        <w:t>varianza acumulada</w:t>
      </w:r>
      <w:r>
        <w:t xml:space="preserve"> (no por una sola componente).</w:t>
      </w:r>
    </w:p>
    <w:p>
      <w:pPr>
        <w:pStyle w:val="ListBullet"/>
        <w:spacing w:after="40"/>
      </w:pPr>
      <w:r>
        <w:t xml:space="preserve">[ ] Se </w:t>
      </w:r>
      <w:r>
        <w:rPr>
          <w:b/>
        </w:rPr>
        <w:t>nombró</w:t>
      </w:r>
      <w:r>
        <w:t xml:space="preserve"> cada componente con sus cargas altas.</w:t>
      </w:r>
    </w:p>
    <w:p>
      <w:pPr>
        <w:pStyle w:val="ListBullet"/>
        <w:spacing w:after="40"/>
      </w:pPr>
      <w:r>
        <w:t xml:space="preserve">[ ] El </w:t>
      </w:r>
      <w:r>
        <w:rPr>
          <w:b/>
        </w:rPr>
        <w:t>signo</w:t>
      </w:r>
      <w:r>
        <w:t xml:space="preserve"> de las componentes/cargas no se leyó como bueno/malo.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Fuera de alcance (solo mención).</w:t>
      </w:r>
      <w:r>
        <w:rPr>
          <w:color w:val="2D2D2D"/>
        </w:rPr>
        <w:t xml:space="preserve"> Existen técnicas relacionadas —Análisis Factorial (para descubrir «constructos» latentes como satisfacción o riesgo) y t-SNE / UMAP (para visualizar datos de muy alta dimensión, p. ej. </w:t>
      </w:r>
      <w:r>
        <w:rPr>
          <w:i/>
          <w:color w:val="2D2D2D"/>
        </w:rPr>
        <w:t>embeddings</w:t>
      </w:r>
      <w:r>
        <w:rPr>
          <w:color w:val="2D2D2D"/>
        </w:rPr>
        <w:t xml:space="preserve">)— que </w:t>
      </w:r>
      <w:r>
        <w:rPr>
          <w:b/>
          <w:color w:val="2D2D2D"/>
        </w:rPr>
        <w:t>no</w:t>
      </w:r>
      <w:r>
        <w:rPr>
          <w:color w:val="2D2D2D"/>
        </w:rPr>
        <w:t xml:space="preserve"> se desarrollan en esta sesión.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 (actualizado 10/09/2026).</w:t>
      </w:r>
      <w:r>
        <w:rPr>
          <w:color w:val="2D2D2D"/>
        </w:rPr>
        <w:t xml:space="preserve"> El </w:t>
      </w:r>
      <w:r>
        <w:rPr>
          <w:b/>
          <w:color w:val="2D2D2D"/>
        </w:rPr>
        <w:t>método</w:t>
      </w:r>
      <w:r>
        <w:rPr>
          <w:color w:val="2D2D2D"/>
        </w:rPr>
        <w:t xml:space="preserve"> de esta guía es el mismo que recorren los Pasos 7-11 del cuaderno, ahí aplicado a </w:t>
      </w:r>
      <w:r>
        <w:rPr>
          <w:b/>
          <w:color w:val="2D2D2D"/>
        </w:rPr>
        <w:t>Communities and Crime</w:t>
      </w:r>
      <w:r>
        <w:rPr>
          <w:color w:val="2D2D2D"/>
        </w:rPr>
        <w:t xml:space="preserve"> —esas cifras (PC1 crudo 25.2 %, estandarizado 20.7 %, 16/30 de 122 componentes, carga de </w:t>
      </w:r>
      <w:r>
        <w:rPr>
          <w:rFonts w:ascii="Consolas" w:hAnsi="Consolas"/>
          <w:color w:val="2D2D2D"/>
          <w:sz w:val="19"/>
        </w:rPr>
        <w:t>medFamInc</w:t>
      </w:r>
      <w:r>
        <w:rPr>
          <w:color w:val="2D2D2D"/>
        </w:rPr>
        <w:t xml:space="preserve"> ≈ 0.90) viven en </w:t>
      </w:r>
      <w:r>
        <w:rPr>
          <w:rFonts w:ascii="Consolas" w:hAnsi="Consolas"/>
          <w:color w:val="2D2D2D"/>
          <w:sz w:val="19"/>
        </w:rPr>
        <w:t>resultados/E03_resultados.xlsx</w:t>
      </w:r>
      <w:r>
        <w:rPr>
          <w:color w:val="2D2D2D"/>
        </w:rPr>
        <w:t xml:space="preserve">—. Las cifras de </w:t>
      </w:r>
      <w:r>
        <w:rPr>
          <w:b/>
          <w:color w:val="2D2D2D"/>
        </w:rPr>
        <w:t>Wine</w:t>
      </w:r>
      <w:r>
        <w:rPr>
          <w:color w:val="2D2D2D"/>
        </w:rPr>
        <w:t xml:space="preserve"> de esta página son el caso </w:t>
      </w:r>
      <w:r>
        <w:rPr>
          <w:b/>
          <w:color w:val="2D2D2D"/>
        </w:rPr>
        <w:t>nuevo</w:t>
      </w:r>
      <w:r>
        <w:rPr>
          <w:color w:val="2D2D2D"/>
        </w:rPr>
        <w:t xml:space="preserve"> del entregable evaluable, no del cuaderno: provienen de un cálculo directo sobre </w:t>
      </w:r>
      <w:r>
        <w:rPr>
          <w:rFonts w:ascii="Consolas" w:hAnsi="Consolas"/>
          <w:color w:val="2D2D2D"/>
          <w:sz w:val="19"/>
        </w:rPr>
        <w:t>data/wine.csv</w:t>
      </w:r>
      <w:r>
        <w:rPr>
          <w:color w:val="2D2D2D"/>
        </w:rPr>
        <w:t xml:space="preserve"> con el mismo procedimiento (crudo vs. estandarizado, cargas de correlación), verificado por el material de referencia de la sesión (bloque C, verificación ligera de Wine). Fuente conceptual: ISLR Sección 12.2.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de una página: cómo interpretar las componentes del PCA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