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MODALIDAD EPE</w:t>
      </w:r>
    </w:p>
    <w:p>
      <w:pPr>
        <w:spacing w:after="40"/>
      </w:pPr>
      <w:r>
        <w:rPr>
          <w:rFonts w:ascii="Cambria" w:cs="Cambria" w:eastAsia="Cambria" w:hAnsi="Cambria"/>
          <w:b/>
          <w:bCs/>
          <w:color w:val="2D2D2D"/>
          <w:sz w:val="36"/>
          <w:szCs w:val="36"/>
        </w:rPr>
        <w:t xml:space="preserve">Drills — Sesión EPE E4</w:t>
      </w:r>
    </w:p>
    <w:p>
      <w:pPr>
        <w:pBdr>
          <w:bottom w:val="single" w:color="E4002B" w:sz="18" w:space="10"/>
        </w:pBdr>
        <w:spacing w:after="160"/>
      </w:pPr>
      <w:r>
        <w:rPr>
          <w:rFonts w:ascii="Cambria" w:cs="Cambria" w:eastAsia="Cambria" w:hAnsi="Cambria"/>
          <w:color w:val="7A1526"/>
          <w:sz w:val="28"/>
          <w:szCs w:val="28"/>
        </w:rPr>
        <w:t xml:space="preserve">Segmentar clientes y encontrar patrones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Modalidad EPE · Sesión E4 · Drills (ejercicios cortos)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Se resuelven en parejas · entrega 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El desempeño se refuerza en el </w:t>
            </w:r>
            <w:r>
              <w:rPr>
                <w:rFonts w:ascii="Cambria" w:cs="Cambria" w:eastAsia="Cambria" w:hAnsi="Cambria"/>
                <w:b/>
                <w:bCs/>
                <w:color w:val="2D2D2D"/>
                <w:sz w:val="19"/>
                <w:szCs w:val="19"/>
              </w:rPr>
              <w:t xml:space="preserve">control corto</w:t>
            </w:r>
            <w:r>
              <w:rPr>
                <w:rFonts w:ascii="Cambria" w:cs="Cambria" w:eastAsia="Cambria" w:hAnsi="Cambria"/>
                <w:color w:val="2D2D2D"/>
                <w:sz w:val="19"/>
                <w:szCs w:val="19"/>
              </w:rPr>
              <w:t xml:space="preserve"> de cierre y se evalúa de forma integral en 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notebook/EPE_S4_no_supervisado.ipynb</w:t>
            </w:r>
          </w:p>
        </w:tc>
      </w:tr>
    </w:tbl>
    <w:p>
      <w:pPr>
        <w:spacing w:after="150"/>
      </w:pPr>
    </w:p>
    <w:p>
      <w:pPr>
        <w:spacing w:after="180" w:line="265"/>
      </w:pPr>
      <w:r>
        <w:rPr>
          <w:rFonts w:ascii="Cambria" w:cs="Cambria" w:eastAsia="Cambria" w:hAnsi="Cambria"/>
          <w:color w:val="3A3A3A"/>
          <w:sz w:val="18"/>
          <w:szCs w:val="18"/>
        </w:rPr>
        <w:t xml:space="preserve">Material del estudiante. Tres ejercicios de práctica de la Sesión E4 (Segmentar clientes y encontrar patrones). Se resuelven en parejas; la entrega es individual. Español impersonal. </w:t>
      </w:r>
      <w:r>
        <w:rPr>
          <w:rFonts w:ascii="Cambria" w:cs="Cambria" w:eastAsia="Cambria" w:hAnsi="Cambria"/>
          <w:b/>
          <w:bCs/>
          <w:color w:val="3A3A3A"/>
          <w:sz w:val="18"/>
          <w:szCs w:val="18"/>
        </w:rPr>
        <w:t xml:space="preserve">Material de apoyo:</w:t>
      </w:r>
      <w:r>
        <w:rPr>
          <w:rFonts w:ascii="Cambria" w:cs="Cambria" w:eastAsia="Cambria" w:hAnsi="Cambria"/>
          <w:color w:val="3A3A3A"/>
          <w:sz w:val="18"/>
          <w:szCs w:val="18"/>
        </w:rPr>
        <w:t xml:space="preserve"> el cuaderno </w:t>
      </w:r>
      <w:r>
        <w:rPr>
          <w:rFonts w:ascii="Consolas" w:cs="Consolas" w:eastAsia="Consolas" w:hAnsi="Consolas"/>
          <w:color w:val="7A1526"/>
          <w:sz w:val="16"/>
          <w:szCs w:val="16"/>
        </w:rPr>
        <w:t xml:space="preserve">notebook/EPE_S4_no_supervisado.ipynb</w:t>
      </w:r>
      <w:r>
        <w:rPr>
          <w:rFonts w:ascii="Cambria" w:cs="Cambria" w:eastAsia="Cambria" w:hAnsi="Cambria"/>
          <w:color w:val="3A3A3A"/>
          <w:sz w:val="18"/>
          <w:szCs w:val="18"/>
        </w:rPr>
        <w:t xml:space="preserve">, la </w:t>
      </w:r>
      <w:r>
        <w:rPr>
          <w:rFonts w:ascii="Consolas" w:cs="Consolas" w:eastAsia="Consolas" w:hAnsi="Consolas"/>
          <w:color w:val="7A1526"/>
          <w:sz w:val="16"/>
          <w:szCs w:val="16"/>
        </w:rPr>
        <w:t xml:space="preserve">plantillas/plantilla_rfm_segmentos.docx</w:t>
      </w:r>
      <w:r>
        <w:rPr>
          <w:rFonts w:ascii="Cambria" w:cs="Cambria" w:eastAsia="Cambria" w:hAnsi="Cambria"/>
          <w:color w:val="3A3A3A"/>
          <w:sz w:val="18"/>
          <w:szCs w:val="18"/>
        </w:rPr>
        <w:t xml:space="preserve"> (Drills 1–2) y la </w:t>
      </w:r>
      <w:r>
        <w:rPr>
          <w:rFonts w:ascii="Consolas" w:cs="Consolas" w:eastAsia="Consolas" w:hAnsi="Consolas"/>
          <w:color w:val="7A1526"/>
          <w:sz w:val="16"/>
          <w:szCs w:val="16"/>
        </w:rPr>
        <w:t xml:space="preserve">plantillas/plantilla_top_reglas.docx</w:t>
      </w:r>
      <w:r>
        <w:rPr>
          <w:rFonts w:ascii="Cambria" w:cs="Cambria" w:eastAsia="Cambria" w:hAnsi="Cambria"/>
          <w:color w:val="3A3A3A"/>
          <w:sz w:val="18"/>
          <w:szCs w:val="18"/>
        </w:rPr>
        <w:t xml:space="preserve"> (Drill 3). El entregable evaluable está en </w:t>
      </w:r>
      <w:r>
        <w:rPr>
          <w:rFonts w:ascii="Consolas" w:cs="Consolas" w:eastAsia="Consolas" w:hAnsi="Consolas"/>
          <w:color w:val="7A1526"/>
          <w:sz w:val="16"/>
          <w:szCs w:val="16"/>
        </w:rPr>
        <w:t xml:space="preserve">evaluacion/entregable.docx</w:t>
      </w:r>
      <w:r>
        <w:rPr>
          <w:rFonts w:ascii="Cambria" w:cs="Cambria" w:eastAsia="Cambria" w:hAnsi="Cambria"/>
          <w:color w:val="3A3A3A"/>
          <w:sz w:val="18"/>
          <w:szCs w:val="18"/>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 LOS DRILLS</w:t>
            </w:r>
          </w:p>
          <w:p>
            <w:pPr>
              <w:spacing w:line="280"/>
            </w:pPr>
            <w:r>
              <w:rPr>
                <w:rFonts w:ascii="Cambria" w:cs="Cambria" w:eastAsia="Cambria" w:hAnsi="Cambria"/>
                <w:color w:val="FFFFFF"/>
                <w:sz w:val="21"/>
                <w:szCs w:val="21"/>
              </w:rPr>
              <w:t xml:space="preserve">Practicar, en tres ejercicios cortos, las destrezas que evalúa el entregable de la sesión: nombrar y perfilar segmentos de clientes a partir de RFM, distinguir una anomalía excepcional de un error de registro, y seleccionar reglas de asociación accionables por su lift.</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1</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Definir y perfilar tres segmentos de clientes a partir de RFM</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2</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Marcar y revisar las observaciones más anómalas</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3</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Seleccionar tres reglas de asociación accionables</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bl>
    <w:p>
      <w:pPr>
        <w:spacing w:after="220"/>
      </w:pP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DRILL 1 — DEFINIR Y PERFILAR TRES SEGMENTOS DE CLIENTES A PARTIR DE RFM</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Una tienda online resume a cuatro clientes con su </w:t>
      </w:r>
      <w:r>
        <w:rPr>
          <w:rFonts w:ascii="Cambria" w:cs="Cambria" w:eastAsia="Cambria" w:hAnsi="Cambria"/>
          <w:b/>
          <w:bCs/>
          <w:color w:val="2D2D2D"/>
          <w:sz w:val="20"/>
          <w:szCs w:val="20"/>
        </w:rPr>
        <w:t xml:space="preserve">RFM</w:t>
      </w:r>
      <w:r>
        <w:rPr>
          <w:rFonts w:ascii="Cambria" w:cs="Cambria" w:eastAsia="Cambria" w:hAnsi="Cambria"/>
          <w:color w:val="2D2D2D"/>
          <w:sz w:val="20"/>
          <w:szCs w:val="20"/>
        </w:rPr>
        <w:t xml:space="preserve"> (Recencia en días, Frecuencia en nº de pedidos, Monto en soles). La mediana de la base es R ≈ 120 días, F ≈ 3 pedidos, M ≈ 900 soles.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Cliente</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Recencia</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Frecuencia</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Monto</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C1</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52 000</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C2</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15</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480</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C3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410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350</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C4</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60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8</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3 100</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Nombrar</w:t>
            </w:r>
            <w:r>
              <w:rPr>
                <w:rFonts w:ascii="Cambria" w:cs="Cambria" w:eastAsia="Cambria" w:hAnsi="Cambria"/>
                <w:color w:val="2D2D2D"/>
                <w:sz w:val="19"/>
                <w:szCs w:val="19"/>
              </w:rPr>
              <w:t xml:space="preserve"> el segmento al que pertenece cada cliente (Campeones/VIP, Leales de alto valor, Recientes/nuevos, Inactivos/en riesgo) con su R, F y M como justificación.</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Proponer </w:t>
            </w:r>
            <w:r>
              <w:rPr>
                <w:rFonts w:ascii="Cambria" w:cs="Cambria" w:eastAsia="Cambria" w:hAnsi="Cambria"/>
                <w:b/>
                <w:bCs/>
                <w:color w:val="2D2D2D"/>
                <w:sz w:val="19"/>
                <w:szCs w:val="19"/>
              </w:rPr>
              <w:t xml:space="preserve">una acción de marketing</w:t>
            </w:r>
            <w:r>
              <w:rPr>
                <w:rFonts w:ascii="Cambria" w:cs="Cambria" w:eastAsia="Cambria" w:hAnsi="Cambria"/>
                <w:color w:val="2D2D2D"/>
                <w:sz w:val="19"/>
                <w:szCs w:val="19"/>
              </w:rPr>
              <w:t xml:space="preserve"> por cliente.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Explicar en una línea por qué, antes de agrupar con k-means, hay que </w:t>
            </w:r>
            <w:r>
              <w:rPr>
                <w:rFonts w:ascii="Cambria" w:cs="Cambria" w:eastAsia="Cambria" w:hAnsi="Cambria"/>
                <w:b/>
                <w:bCs/>
                <w:color w:val="2D2D2D"/>
                <w:sz w:val="19"/>
                <w:szCs w:val="19"/>
              </w:rPr>
              <w:t xml:space="preserve">estandarizar</w:t>
            </w:r>
            <w:r>
              <w:rPr>
                <w:rFonts w:ascii="Cambria" w:cs="Cambria" w:eastAsia="Cambria" w:hAnsi="Cambria"/>
                <w:color w:val="2D2D2D"/>
                <w:sz w:val="19"/>
                <w:szCs w:val="19"/>
              </w:rPr>
              <w:t xml:space="preserve"> R, F y M (¿qué variable dominaría si no se hace?).</w:t>
            </w:r>
          </w:p>
        </w:tc>
      </w:tr>
    </w:tbl>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DRILL 2 — MARCAR Y REVISAR LAS OBSERVACIONES MÁS ANÓMALAS</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Sobre la misma base, un detector de anomalías marca como </w:t>
      </w:r>
      <w:r>
        <w:rPr>
          <w:rFonts w:ascii="Cambria" w:cs="Cambria" w:eastAsia="Cambria" w:hAnsi="Cambria"/>
          <w:b/>
          <w:bCs/>
          <w:color w:val="2D2D2D"/>
          <w:sz w:val="20"/>
          <w:szCs w:val="20"/>
        </w:rPr>
        <w:t xml:space="preserve">más inusuales</w:t>
      </w:r>
      <w:r>
        <w:rPr>
          <w:rFonts w:ascii="Cambria" w:cs="Cambria" w:eastAsia="Cambria" w:hAnsi="Cambria"/>
          <w:color w:val="2D2D2D"/>
          <w:sz w:val="20"/>
          <w:szCs w:val="20"/>
        </w:rPr>
        <w:t xml:space="preserve"> a estos dos clientes: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X:</w:t>
            </w:r>
            <w:r>
              <w:rPr>
                <w:rFonts w:ascii="Cambria" w:cs="Cambria" w:eastAsia="Cambria" w:hAnsi="Cambria"/>
                <w:color w:val="2D2D2D"/>
                <w:sz w:val="19"/>
                <w:szCs w:val="19"/>
              </w:rPr>
              <w:t xml:space="preserve"> Recencia 9 días, Frecuencia 156 pedidos, Monto 314 000 soles.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Y:</w:t>
            </w:r>
            <w:r>
              <w:rPr>
                <w:rFonts w:ascii="Cambria" w:cs="Cambria" w:eastAsia="Cambria" w:hAnsi="Cambria"/>
                <w:color w:val="2D2D2D"/>
                <w:sz w:val="19"/>
                <w:szCs w:val="19"/>
              </w:rPr>
              <w:t xml:space="preserve"> Recencia 600 días, Frecuencia 1 pedido, Monto 17 soles.</w:t>
            </w:r>
          </w:p>
        </w:tc>
      </w:tr>
    </w:tbl>
    <w:p>
      <w:pPr>
        <w:spacing w:after="220"/>
      </w:pPr>
    </w:p>
    <w:p>
      <w:pPr>
        <w:spacing w:line="270"/>
      </w:pPr>
      <w:r>
        <w:rPr>
          <w:rFonts w:ascii="Cambria" w:cs="Cambria" w:eastAsia="Cambria" w:hAnsi="Cambria"/>
          <w:color w:val="2D2D2D"/>
          <w:sz w:val="20"/>
          <w:szCs w:val="20"/>
        </w:rPr>
        <w:t xml:space="preserve">Responder:</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¿Por qué cada uno resulta «inusual» (en qué se aleja del cliente típico)?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Para cada uno, decidir si es un </w:t>
            </w:r>
            <w:r>
              <w:rPr>
                <w:rFonts w:ascii="Cambria" w:cs="Cambria" w:eastAsia="Cambria" w:hAnsi="Cambria"/>
                <w:b/>
                <w:bCs/>
                <w:color w:val="2D2D2D"/>
                <w:sz w:val="19"/>
                <w:szCs w:val="19"/>
              </w:rPr>
              <w:t xml:space="preserve">caso excepcional</w:t>
            </w:r>
            <w:r>
              <w:rPr>
                <w:rFonts w:ascii="Cambria" w:cs="Cambria" w:eastAsia="Cambria" w:hAnsi="Cambria"/>
                <w:color w:val="2D2D2D"/>
                <w:sz w:val="19"/>
                <w:szCs w:val="19"/>
              </w:rPr>
              <w:t xml:space="preserve"> (atender aparte) o un posible </w:t>
            </w:r>
            <w:r>
              <w:rPr>
                <w:rFonts w:ascii="Cambria" w:cs="Cambria" w:eastAsia="Cambria" w:hAnsi="Cambria"/>
                <w:b/>
                <w:bCs/>
                <w:color w:val="2D2D2D"/>
                <w:sz w:val="19"/>
                <w:szCs w:val="19"/>
              </w:rPr>
              <w:t xml:space="preserve">error de registro</w:t>
            </w:r>
            <w:r>
              <w:rPr>
                <w:rFonts w:ascii="Cambria" w:cs="Cambria" w:eastAsia="Cambria" w:hAnsi="Cambria"/>
                <w:color w:val="2D2D2D"/>
                <w:sz w:val="19"/>
                <w:szCs w:val="19"/>
              </w:rPr>
              <w:t xml:space="preserve"> (depurar), y justificar.</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¿Por qué una bandera de anomalía es una </w:t>
            </w:r>
            <w:r>
              <w:rPr>
                <w:rFonts w:ascii="Cambria" w:cs="Cambria" w:eastAsia="Cambria" w:hAnsi="Cambria"/>
                <w:b/>
                <w:bCs/>
                <w:color w:val="2D2D2D"/>
                <w:sz w:val="19"/>
                <w:szCs w:val="19"/>
              </w:rPr>
              <w:t xml:space="preserve">hipótesis para revisar</w:t>
            </w:r>
            <w:r>
              <w:rPr>
                <w:rFonts w:ascii="Cambria" w:cs="Cambria" w:eastAsia="Cambria" w:hAnsi="Cambria"/>
                <w:color w:val="2D2D2D"/>
                <w:sz w:val="19"/>
                <w:szCs w:val="19"/>
              </w:rPr>
              <w:t xml:space="preserve"> y no una prueba de fraude? Dar un ejemplo de decisión equivocada por creerla una sentencia.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Robustez de datos — ¿qué pasaría si...?</w:t>
            </w:r>
          </w:p>
          <w:p>
            <w:pPr>
              <w:spacing w:after="70" w:line="265"/>
            </w:pPr>
            <w:r>
              <w:rPr>
                <w:rFonts w:ascii="Cambria" w:cs="Cambria" w:eastAsia="Cambria" w:hAnsi="Cambria"/>
                <w:color w:val="3A3A3A"/>
                <w:sz w:val="18"/>
                <w:szCs w:val="18"/>
              </w:rPr>
              <w:t xml:space="preserve">Un grupo reducido de clientes corporativos —con compras cien veces más grandes que un cliente minorista típico— se mezclara con los clientes minoristas antes de segmentar? ¿Podrían esos pocos registros distorsionar los segmentos RFM de todos los demás?</w:t>
            </w:r>
          </w:p>
        </w:tc>
      </w:tr>
    </w:tbl>
    <w:p>
      <w:r>
        <w:br w:type="page"/>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DRILL 3 — SELECCIONAR TRES REGLAS DE ASOCIACIÓN ACCIONABLES</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 market basket analysis sobre tickets de un supermercado devuelve estas reglas (soporte del ticket que lleva bolsa: 0.85):</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Regla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Soporte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Confianza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Lift</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R1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{pañales}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{toallitas}</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0.62</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4.8</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R2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{leche}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{bolsa}</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0.40</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0.86</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1.01</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R3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{café}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{filtros de café}</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9.2</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R4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{pan de molde}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{pan}</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0.05</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0.70</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R5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{vino tinto}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{queso curado}</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0.33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3.6</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Seleccionar las tres reglas accionables</w:t>
            </w:r>
            <w:r>
              <w:rPr>
                <w:rFonts w:ascii="Cambria" w:cs="Cambria" w:eastAsia="Cambria" w:hAnsi="Cambria"/>
                <w:color w:val="2D2D2D"/>
                <w:sz w:val="19"/>
                <w:szCs w:val="19"/>
              </w:rPr>
              <w:t xml:space="preserve"> para cross-selling y justificar por qué.</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Explicar por qué </w:t>
            </w:r>
            <w:r>
              <w:rPr>
                <w:rFonts w:ascii="Cambria" w:cs="Cambria" w:eastAsia="Cambria" w:hAnsi="Cambria"/>
                <w:b/>
                <w:bCs/>
                <w:color w:val="2D2D2D"/>
                <w:sz w:val="19"/>
                <w:szCs w:val="19"/>
              </w:rPr>
              <w:t xml:space="preserve">R2 se descarta pese a su confianza 0.86</w:t>
            </w:r>
            <w:r>
              <w:rPr>
                <w:rFonts w:ascii="Cambria" w:cs="Cambria" w:eastAsia="Cambria" w:hAnsi="Cambria"/>
                <w:color w:val="2D2D2D"/>
                <w:sz w:val="19"/>
                <w:szCs w:val="19"/>
              </w:rPr>
              <w:t xml:space="preserve"> (la más alta de la tabla).</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Para R4, ¿qué problema tiene además del lift?</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Proponer una </w:t>
            </w:r>
            <w:r>
              <w:rPr>
                <w:rFonts w:ascii="Cambria" w:cs="Cambria" w:eastAsia="Cambria" w:hAnsi="Cambria"/>
                <w:b/>
                <w:bCs/>
                <w:color w:val="2D2D2D"/>
                <w:sz w:val="19"/>
                <w:szCs w:val="19"/>
              </w:rPr>
              <w:t xml:space="preserve">palanca</w:t>
            </w:r>
            <w:r>
              <w:rPr>
                <w:rFonts w:ascii="Cambria" w:cs="Cambria" w:eastAsia="Cambria" w:hAnsi="Cambria"/>
                <w:color w:val="2D2D2D"/>
                <w:sz w:val="19"/>
                <w:szCs w:val="19"/>
              </w:rPr>
              <w:t xml:space="preserve"> (colocación / oferta conjunta / cupón / recomendación) para cada regla seleccionada y recordar por qué el impacto estimado es una </w:t>
            </w:r>
            <w:r>
              <w:rPr>
                <w:rFonts w:ascii="Cambria" w:cs="Cambria" w:eastAsia="Cambria" w:hAnsi="Cambria"/>
                <w:b/>
                <w:bCs/>
                <w:color w:val="2D2D2D"/>
                <w:sz w:val="19"/>
                <w:szCs w:val="19"/>
              </w:rPr>
              <w:t xml:space="preserve">hipótesis</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5.</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Para la regla elegida como la mejor, </w:t>
            </w:r>
            <w:r>
              <w:rPr>
                <w:rFonts w:ascii="Cambria" w:cs="Cambria" w:eastAsia="Cambria" w:hAnsi="Cambria"/>
                <w:b/>
                <w:bCs/>
                <w:color w:val="2D2D2D"/>
                <w:sz w:val="19"/>
                <w:szCs w:val="19"/>
              </w:rPr>
              <w:t xml:space="preserve">esbozar</w:t>
            </w:r>
            <w:r>
              <w:rPr>
                <w:rFonts w:ascii="Cambria" w:cs="Cambria" w:eastAsia="Cambria" w:hAnsi="Cambria"/>
                <w:color w:val="2D2D2D"/>
                <w:sz w:val="19"/>
                <w:szCs w:val="19"/>
              </w:rPr>
              <w:t xml:space="preserve"> cómo se estimaría su </w:t>
            </w:r>
            <w:r>
              <w:rPr>
                <w:rFonts w:ascii="Cambria" w:cs="Cambria" w:eastAsia="Cambria" w:hAnsi="Cambria"/>
                <w:b/>
                <w:bCs/>
                <w:color w:val="2D2D2D"/>
                <w:sz w:val="19"/>
                <w:szCs w:val="19"/>
              </w:rPr>
              <w:t xml:space="preserve">impacto £</w:t>
            </w:r>
            <w:r>
              <w:rPr>
                <w:rFonts w:ascii="Cambria" w:cs="Cambria" w:eastAsia="Cambria" w:hAnsi="Cambria"/>
                <w:color w:val="2D2D2D"/>
                <w:sz w:val="19"/>
                <w:szCs w:val="19"/>
              </w:rPr>
              <w:t xml:space="preserve"> de venta cruzada (pista: </w:t>
            </w:r>
            <w:r>
              <w:rPr>
                <w:rFonts w:ascii="Consolas" w:cs="Consolas" w:eastAsia="Consolas" w:hAnsi="Consolas"/>
                <w:color w:val="7A1526"/>
                <w:sz w:val="17"/>
                <w:szCs w:val="17"/>
              </w:rPr>
              <w:t xml:space="preserve">base de tickets del antecedente × valor medio del pedido × uplift 15–30 %</w:t>
            </w:r>
            <w:r>
              <w:rPr>
                <w:rFonts w:ascii="Cambria" w:cs="Cambria" w:eastAsia="Cambria" w:hAnsi="Cambria"/>
                <w:color w:val="2D2D2D"/>
                <w:sz w:val="19"/>
                <w:szCs w:val="19"/>
              </w:rPr>
              <w:t xml:space="preserve">) y por qué esa cifra se mantiene como una </w:t>
            </w:r>
            <w:r>
              <w:rPr>
                <w:rFonts w:ascii="Cambria" w:cs="Cambria" w:eastAsia="Cambria" w:hAnsi="Cambria"/>
                <w:b/>
                <w:bCs/>
                <w:color w:val="2D2D2D"/>
                <w:sz w:val="19"/>
                <w:szCs w:val="19"/>
              </w:rPr>
              <w:t xml:space="preserve">hipótesis</w:t>
            </w:r>
            <w:r>
              <w:rPr>
                <w:rFonts w:ascii="Cambria" w:cs="Cambria" w:eastAsia="Cambria" w:hAnsi="Cambria"/>
                <w:color w:val="2D2D2D"/>
                <w:sz w:val="19"/>
                <w:szCs w:val="19"/>
              </w:rPr>
              <w:t xml:space="preserve"> a validar con un A/B.</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Proyección — ¿qué pasaría si...?</w:t>
            </w:r>
          </w:p>
          <w:p>
            <w:pPr>
              <w:spacing w:after="70" w:line="265"/>
            </w:pPr>
            <w:r>
              <w:rPr>
                <w:rFonts w:ascii="Cambria" w:cs="Cambria" w:eastAsia="Cambria" w:hAnsi="Cambria"/>
                <w:color w:val="3A3A3A"/>
                <w:sz w:val="18"/>
                <w:szCs w:val="18"/>
              </w:rPr>
              <w:t xml:space="preserve">Aquí las reglas de asociación identificaron qué productos se compran juntos. ¿Qué pasaría si, en lugar de eso, se quisiera predecir con anticipación qué cliente específico está a punto de irse (fuga) o cuál transacción es fraudulenta? ¿Qué técnica estima esa probabilidad individual? </w:t>
            </w:r>
            <w:r>
              <w:rPr>
                <w:rFonts w:ascii="Cambria" w:cs="Cambria" w:eastAsia="Cambria" w:hAnsi="Cambria"/>
                <w:i/>
                <w:iCs/>
                <w:color w:val="3A3A3A"/>
                <w:sz w:val="18"/>
                <w:szCs w:val="18"/>
              </w:rPr>
              <w:t xml:space="preserve">(No se resuelve aquí — churn y fraude con regresión logística son el tema de la E05.)</w:t>
            </w:r>
          </w:p>
        </w:tc>
      </w:tr>
    </w:tbl>
    <w:p>
      <w:pPr>
        <w:spacing w:after="220"/>
      </w:pPr>
    </w:p>
    <w:p>
      <w:pPr>
        <w:spacing w:after="260" w:line="265"/>
      </w:pPr>
      <w:r>
        <w:rPr>
          <w:rFonts w:ascii="Cambria" w:cs="Cambria" w:eastAsia="Cambria" w:hAnsi="Cambria"/>
          <w:i/>
          <w:iCs/>
          <w:color w:val="6E6E6E"/>
          <w:sz w:val="18"/>
          <w:szCs w:val="18"/>
        </w:rPr>
        <w:t xml:space="preserve">El procedimiento y las respuestas los conserva el docente. El desempeño en estos drills se refuerza en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de cierre y se evalúa de forma integral en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Drills — Sesión EPE E4: Segmentar clientes y encontrar patrones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Drills — Sesión EPE E4</dc:title>
  <dc:creator>UPC</dc:creator>
  <dc:description>Segmentar clientes y encontrar patrones</dc:description>
  <cp:lastModifiedBy>Un-named</cp:lastModifiedBy>
  <cp:revision>1</cp:revision>
  <dcterms:created xsi:type="dcterms:W3CDTF">2026-09-11T14:14:43.634Z</dcterms:created>
  <dcterms:modified xsi:type="dcterms:W3CDTF">2026-09-11T14:14:43.634Z</dcterms:modified>
</cp:coreProperties>
</file>

<file path=docProps/custom.xml><?xml version="1.0" encoding="utf-8"?>
<Properties xmlns="http://schemas.openxmlformats.org/officeDocument/2006/custom-properties" xmlns:vt="http://schemas.openxmlformats.org/officeDocument/2006/docPropsVTypes"/>
</file>