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7A1526"/>
          <w:spacing w:val="40"/>
          <w:sz w:val="15"/>
          <w:szCs w:val="15"/>
        </w:rPr>
        <w:t xml:space="preserve">UPC · FACULTAD DE NEGOCIOS · MODALIDAD EPE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2D2D2D"/>
          <w:sz w:val="36"/>
          <w:szCs w:val="36"/>
        </w:rPr>
        <w:t xml:space="preserve">Entregable evaluable — Sesión EPE E4</w:t>
      </w:r>
    </w:p>
    <w:p>
      <w:pPr>
        <w:pBdr>
          <w:bottom w:val="single" w:color="E4002B" w:sz="18" w:space="10"/>
        </w:pBdr>
        <w:spacing w:after="160"/>
      </w:pPr>
      <w:r>
        <w:rPr>
          <w:rFonts w:ascii="Cambria" w:cs="Cambria" w:eastAsia="Cambria" w:hAnsi="Cambria"/>
          <w:color w:val="7A1526"/>
          <w:sz w:val="28"/>
          <w:szCs w:val="28"/>
        </w:rPr>
        <w:t xml:space="preserve">Segmentación de clientes y reglas de cross-selling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CURSO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Herramientas para la Ciencia de Datos · Modalidad EPE · Sesión E4 · Entregable evaluable · Material del estudiante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MODALIDAD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Trabajo en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parejas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· entrega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individual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CALIFICACIÓN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Escala vigesimal 0–20, según la rúbrica de la sección 4 de este documento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CUADERNO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notebook/EPE_S4_no_supervisado.ipynb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(todo el análisis se desarrolla y reproduce aquí)</w:t>
            </w:r>
          </w:p>
        </w:tc>
      </w:tr>
    </w:tbl>
    <w:p>
      <w:pPr>
        <w:spacing w:after="150"/>
      </w:pPr>
    </w:p>
    <w:p>
      <w:pPr>
        <w:spacing w:after="180" w:line="265"/>
      </w:pPr>
      <w:r>
        <w:rPr>
          <w:rFonts w:ascii="Cambria" w:cs="Cambria" w:eastAsia="Cambria" w:hAnsi="Cambria"/>
          <w:color w:val="3A3A3A"/>
          <w:sz w:val="18"/>
          <w:szCs w:val="18"/>
        </w:rPr>
        <w:t xml:space="preserve">Material del estudiante. Trabajo evaluable de la Sesión E4 (Segmentar clientes y encontrar patrones). Modalidad: parejas,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entrega individual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. Calificación vigesimal 0–20 según la rúbrica de este documento. Español impersonal.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El entregable se completa con: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la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plantillas/plantilla_rfm_segmentos.docx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(fichas de segmento con acciones) y la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plantillas/plantilla_top_reglas.docx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(top-N reglas con lectura de negocio). Todo el análisis se desarrolla en el cuaderno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notebook/EPE_S4_no_supervisado.ipynb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; los pasos guiados están en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laboratorio/GUIA_LABORATORIO_E04.docx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. Los ejercicios previos, en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evaluacion/drills.docx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1526" w:color="auto" w:val="clear"/>
            <w:tcMar>
              <w:top w:type="dxa" w:w="180"/>
              <w:left w:type="dxa" w:w="150"/>
              <w:bottom w:type="dxa" w:w="180"/>
              <w:right w:type="dxa" w:w="15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30"/>
                <w:sz w:val="15"/>
                <w:szCs w:val="15"/>
              </w:rPr>
              <w:t xml:space="preserve">OBJETIVO DEL ENTREGABLE</w:t>
            </w:r>
          </w:p>
          <w:p>
            <w:pPr>
              <w:spacing w:line="280"/>
            </w:pP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Producir el </w:t>
            </w:r>
            <w:r>
              <w:rPr>
                <w:rFonts w:ascii="Cambria" w:cs="Cambria" w:eastAsia="Cambria" w:hAnsi="Cambria"/>
                <w:b/>
                <w:bCs/>
                <w:color w:val="FFFFFF"/>
                <w:sz w:val="21"/>
                <w:szCs w:val="21"/>
              </w:rPr>
              <w:t xml:space="preserve">reporte de negocio</w:t>
            </w: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 que segmenta a los clientes por comportamiento (RFM + k-means), identifica a los clientes más inusuales, descubre patrones de compra con reglas de asociación, y convierte ambos resultados en acciones de marketing y de cross-selling con su impacto en dinero.</w:t>
            </w:r>
          </w:p>
        </w:tc>
      </w:tr>
    </w:tbl>
    <w:p>
      <w:pPr>
        <w:spacing w:after="200"/>
      </w:pPr>
    </w:p>
    <w:p>
      <w:pPr>
        <w:keepNext/>
        <w:spacing w:after="110" w:before="240"/>
      </w:pPr>
      <w:r>
        <w:rPr>
          <w:rFonts w:ascii="Calibri" w:cs="Calibri" w:eastAsia="Calibri" w:hAnsi="Calibri"/>
          <w:b/>
          <w:bCs/>
          <w:color w:val="7A1526"/>
          <w:sz w:val="21"/>
          <w:szCs w:val="21"/>
        </w:rPr>
        <w:t xml:space="preserve">Contenido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6180"/>
        <w:gridCol w:w="2400"/>
      </w:tblGrid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1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Contexto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2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La tarea (siete puntos, en este orden)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máx. 3 páginas + anexos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3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Formato de entrega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4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Rúbrica de evaluación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vigesimal, total 20</w:t>
            </w:r>
          </w:p>
        </w:tc>
      </w:tr>
    </w:tbl>
    <w:p>
      <w:pPr>
        <w:spacing w:after="220"/>
      </w:pP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1.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CONTEXTO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Online Retail II — segmentación por cliente y reglas por factura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Se trabaja con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Online Retail II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(transacciones reales de un e-commerce de regalos), en dos preparaciones (ver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data/diccionario_datos.md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):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1.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Segmentación (por cliente).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140 clientes con toda su historia de compra (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data/online_retail_II_rfm_muestra.csv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). Objetivo: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agrupar a los clientes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por comportamiento (RFM + k-means) y orientar acciones de marketing.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2.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Reglas de asociación (por factura).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800 tickets con el nombre de cada producto (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data/online_retail_baskets_muestra.csv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). Objetivo: descubrir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productos que se compran juntos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proponer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cross-selling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.</w:t>
            </w:r>
          </w:p>
        </w:tc>
      </w:tr>
    </w:tbl>
    <w:p>
      <w:r>
        <w:br w:type="page"/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2.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TAREA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Producir un reporte de negocio, en este orden — máx. 3 páginas + anexos del cuaderno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Producir un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reporte de negocio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(máx. 3 páginas + anexos del cuaderno) que contenga, en este orden: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Encuadre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La pregunta de negocio y la unidad de análisis de cada parte (cliente vs. ticket).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2.2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Cálculo RFM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Recencia, Frecuencia y Monto por cliente; la fecha de referencia; y la preparación antes de agrupar (log en F/M +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estandarización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), con la justificación de por qué es imprescindible.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2.3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Elección de segmentos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Silueta media para varios k y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k elegido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justificado con la métrica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y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con la accionabilidad (no maximizar la silueta de forma mecánica).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2.4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Fichas de segmento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Una ficha por segmento (nº de clientes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medianas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R, F, M en unidades de negocio), con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nombre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acción de marketing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(usar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plantillas/plantilla_rfm_segmentos.docx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2.5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Clientes inusuales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Los 3–5 clientes más anómalos, clasificados como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excepcionales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errores de registro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con qué hacer con cada uno (recordar: hipótesis, no sentencia).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2.6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Top-N de reglas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Itemsets y reglas (con su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min_support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),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ordenadas por lift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sin triviales, con una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palanca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una lectura de negocio por regla (usar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plantillas/plantilla_top_reglas.docx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). Estimar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impacto £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la mejor regla (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AOV +15–30 % × base de tickets del antecedente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), como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hipótesis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a validar con un A/B.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2.7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Recomendación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En una frase accionable: 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qué segmento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priorizar y qué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cross-selling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activar, con el recordatorio de que el lift es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asociación, no causalidad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(validar con un A/B).</w:t>
            </w:r>
          </w:p>
        </w:tc>
      </w:tr>
    </w:tbl>
    <w:p>
      <w:r>
        <w:br w:type="page"/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3.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FORMATO DE ENTREGA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/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1.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Reporte en.md o.docx apoyado en las plantillas de la sesión, con las figuras y tablas exportadas desde el cuaderno.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2.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El análisis reproducible en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notebook/EPE_S4_no_supervisado.ipynb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; los resultados numéricos (silueta, perfiles de segmento, anomalías, soporte/confianza/lift) volcados a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resultados/E04_resultados.xlsx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las figuras de resultados generadas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al leer ese Excel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(convención del curso).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3.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Toda cifra citada debe existir en el cuaderno o en el Excel de resultados.</w:t>
            </w:r>
          </w:p>
        </w:tc>
      </w:tr>
    </w:tbl>
    <w:p>
      <w:r>
        <w:br w:type="page"/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4.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RÚBRICA DE EVALUACIÓN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Escala vigesimal, 0–20 · seis criterios × cuatro niveles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>   |   total 20 puntos</w:t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Seis criterios × cuatro niveles. La columna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Peso (máx.)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es el puntaje del nivel </w:t>
      </w:r>
      <w:r>
        <w:rPr>
          <w:rFonts w:ascii="Cambria" w:cs="Cambria" w:eastAsia="Cambria" w:hAnsi="Cambria"/>
          <w:i/>
          <w:iCs/>
          <w:color w:val="2D2D2D"/>
          <w:sz w:val="20"/>
          <w:szCs w:val="20"/>
        </w:rPr>
        <w:t xml:space="preserve">Excelente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; los pesos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suman exactamente 20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. Cada nivel otorga el puntaje indicado entre paréntesis.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20"/>
        <w:gridCol w:w="1638"/>
        <w:gridCol w:w="1638"/>
        <w:gridCol w:w="1638"/>
        <w:gridCol w:w="1638"/>
        <w:gridCol w:w="908"/>
      </w:tblGrid>
      <w:tr>
        <w:trPr>
          <w:tblHeader/>
        </w:trPr>
        <w:tc>
          <w:tcPr>
            <w:tcW w:type="dxa" w:w="2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CRITERIO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INSUFICIENTE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BÁSICO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COMPETENTE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EXCELENTE</w:t>
            </w:r>
          </w:p>
        </w:tc>
        <w:tc>
          <w:tcPr>
            <w:tcW w:type="dxa" w:w="9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PESO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C1. Cálculo RFM y preparación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calcula RFM o lo hace mal.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Calcula RFM pero no estandariza ni justifica.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RFM correcto y estandarizado.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Además justifica por qué estandarizar (qué variable dominaría) y usa log en las colas.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C2. Elección del nº de segmentos (silueta)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usa la silueta.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Reporta silueta sin decidir con ella.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Elige k con la silueta.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Elige k con la silueta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y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con accionabilidad, y explica por qué no se maximiza de forma mecánica (la silueta es casi plana entre k).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C3. Fichas de segmento y acción de marketing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Sin fichas o sin acción.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Fichas incompletas o acciones genéricas.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Fichas con nombre, cifras y una acción por segmento.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Además prioriza por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valor × tamaño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y las medianas están en unidades de negocio.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(4)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C4. Clientes inusuales (anomalías)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los identifica.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Los marca sin interpretar.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Los marca y clasifica (excepcional / error).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Además decide qué hacer con cada uno y trata la bandera como hipótesis, no sentencia.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C5. Reglas de asociación (soporte/confianza/lift)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mina reglas o las lee mal.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Ordena por confianza o incluye triviales.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Ordena por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lift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, filtra triviales, top-N con lectura.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Además explica una regla trivial (lift ≈ 1), asigna una palanca por regla y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cuantifica en £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el valor de la mejor regla (venta cruzada, como hipótesis).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(4)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C6. Recomendación y comunicación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Sin recomendación o incoherente.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Recomendación débilmente sustentada.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Recomendación clara y coherente con el análisis.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Decisión accionable (segmento + cross-selling), en lenguaje de negocio y con aviso asociación </w:t>
            </w:r>
            <w:r>
              <w:rPr>
                <w:rFonts w:ascii="Calibri" w:cs="Calibri" w:eastAsia="Calibri" w:hAnsi="Calibri"/>
                <w:color w:val="2D2D2D"/>
                <w:sz w:val="16"/>
                <w:szCs w:val="16"/>
              </w:rPr>
              <w:t xml:space="preserve">≠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causalidad.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3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9D9D9" w:sz="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Puntaje total = C1 + C2 + C3 + C4 + C5 + C6 = 20 puntos.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4.1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Nota de honestidad analítica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No existe una única «respuesta correcta» de negocio, pero la recomendación debe ser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coherente con la evidencia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(perfiles, silueta y lift reales del cuaderno). Priorizar un segmento muy reducido con una campaña cara, u ordenar reglas por confianza sin excluir las triviales, resta puntaje aunque el reporte «se vea» completo.</w:t>
            </w:r>
          </w:p>
        </w:tc>
      </w:tr>
    </w:tbl>
    <w:p>
      <w:pPr>
        <w:spacing w:after="220"/>
      </w:pPr>
    </w:p>
    <w:p>
      <w:pPr>
        <w:spacing w:after="260" w:line="265"/>
      </w:pP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El desempeño en este entregable se refuerza con el </w:t>
      </w:r>
      <w:r>
        <w:rPr>
          <w:rFonts w:ascii="Cambria" w:cs="Cambria" w:eastAsia="Cambria" w:hAnsi="Cambria"/>
          <w:b/>
          <w:bCs/>
          <w:i/>
          <w:iCs/>
          <w:color w:val="6E6E6E"/>
          <w:sz w:val="18"/>
          <w:szCs w:val="18"/>
        </w:rPr>
        <w:t xml:space="preserve">control corto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 de cierre y con los ítems [E04] del banco de exámenes (el material de referencia de la sesión). Lecturas de apoyo en la portada del cuaderno (ISLR cap. 12.4; Provost &amp; Fawcett 2013 cap. 6).</w:t>
      </w:r>
    </w:p>
    <w:sectPr>
      <w:headerReference w:type="default" r:id="rId7"/>
      <w:footerReference w:type="default" r:id="rId8"/>
      <w:pgSz w:w="12240" w:h="15840" w:orient="portrait"/>
      <w:pgMar w:top="108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E6E"/>
        <w:sz w:val="14"/>
        <w:szCs w:val="14"/>
      </w:rPr>
      <w:t xml:space="preserve">Herramientas para la Ciencia de Datos, UPC, Facultad de Negocios     |     </w:t>
    </w:r>
    <w:r>
      <w:rPr>
        <w:rFonts w:ascii="Calibri" w:cs="Calibri" w:eastAsia="Calibri" w:hAnsi="Calibri"/>
        <w:b/>
        <w:bCs/>
        <w:color w:val="7A152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FE2E6" w:sz="4" w:space="4"/>
      </w:pBdr>
      <w:spacing w:after="120"/>
    </w:pPr>
    <w:r>
      <w:rPr>
        <w:rFonts w:ascii="Calibri" w:cs="Calibri" w:eastAsia="Calibri" w:hAnsi="Calibri"/>
        <w:color w:val="6E6E6E"/>
        <w:sz w:val="15"/>
        <w:szCs w:val="15"/>
      </w:rPr>
      <w:t xml:space="preserve">Entregable evaluable — Sesión EPE E4: segmentación de clientes y reglas de cross-selling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2D2D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Entregable evaluable — Sesión EPE E4</dc:title>
  <dc:creator>UPC</dc:creator>
  <dc:description>Segmentación de clientes y reglas de cross-selling</dc:description>
  <cp:lastModifiedBy>Un-named</cp:lastModifiedBy>
  <cp:revision>1</cp:revision>
  <dcterms:created xsi:type="dcterms:W3CDTF">2026-09-11T14:14:43.774Z</dcterms:created>
  <dcterms:modified xsi:type="dcterms:W3CDTF">2026-09-11T14:14:43.774Z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