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top-N reglas de asociación (con lectura de negocio)</w:t>
      </w: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Herramientas para la Ciencia de Datos, Modalidad EPE, Sesión E4 (Segmentar clientes y encontrar&gt; patrones). Plantilla del estudiante: guía la </w:t>
      </w:r>
      <w:r>
        <w:rPr>
          <w:b/>
          <w:color w:val="2D2D2D"/>
        </w:rPr>
        <w:t>lectura y selección</w:t>
      </w:r>
      <w:r>
        <w:rPr>
          <w:color w:val="2D2D2D"/>
        </w:rPr>
        <w:t xml:space="preserve"> de las mejores reglas de asociación (canasta de mercado) y su traducción en acciones de </w:t>
      </w:r>
      <w:r>
        <w:rPr>
          <w:b/>
          <w:color w:val="2D2D2D"/>
        </w:rPr>
        <w:t>cross-selling</w:t>
      </w:r>
      <w:r>
        <w:rPr>
          <w:color w:val="2D2D2D"/>
        </w:rPr>
        <w:t>. Se usa en el laboratorio (</w:t>
      </w:r>
      <w:r>
        <w:rPr>
          <w:rFonts w:ascii="Consolas" w:hAnsi="Consolas"/>
          <w:color w:val="2D2D2D"/>
          <w:sz w:val="19"/>
        </w:rPr>
        <w:t>laboratorio/GUIA_LABORATORIO_E04.docx</w:t>
      </w:r>
      <w:r>
        <w:rPr>
          <w:color w:val="2D2D2D"/>
        </w:rPr>
        <w:t>) y materializa parte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). Referencia: el cuaderno </w:t>
      </w:r>
      <w:r>
        <w:rPr>
          <w:rFonts w:ascii="Consolas" w:hAnsi="Consolas"/>
          <w:color w:val="2D2D2D"/>
          <w:sz w:val="19"/>
        </w:rPr>
        <w:t>notebook/EPE_S4_no_supervisado.ipynb</w:t>
      </w:r>
      <w:r>
        <w:rPr>
          <w:color w:val="2D2D2D"/>
        </w:rPr>
        <w:t xml:space="preserve">, bloque </w:t>
      </w:r>
      <w:r>
        <w:rPr>
          <w:i/>
          <w:color w:val="2D2D2D"/>
        </w:rPr>
        <w:t>d</w:t>
      </w:r>
      <w:r>
        <w:rPr>
          <w:color w:val="2D2D2D"/>
        </w:rPr>
        <w:t>. Español impersonal.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Regla de oro:</w:t>
      </w:r>
      <w:r>
        <w:rPr>
          <w:color w:val="2D2D2D"/>
        </w:rPr>
        <w:t xml:space="preserve"> </w:t>
      </w:r>
      <w:r>
        <w:rPr>
          <w:b/>
          <w:color w:val="2D2D2D"/>
        </w:rPr>
        <w:t>ordenar por lift, nunca por confianza sola.</w:t>
      </w:r>
      <w:r>
        <w:rPr>
          <w:color w:val="2D2D2D"/>
        </w:rPr>
        <w:t xml:space="preserve"> La confianza alta puede ser un espejismo si el producto es muy popular (regla </w:t>
      </w:r>
      <w:r>
        <w:rPr>
          <w:b/>
          <w:color w:val="2D2D2D"/>
        </w:rPr>
        <w:t>trivial</w:t>
      </w:r>
      <w:r>
        <w:rPr>
          <w:color w:val="2D2D2D"/>
        </w:rPr>
        <w:t>, lift ≈ 1).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0. Identificación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Respuesta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Integrante(s) / código(s)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Fecha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Dataset y unidad de análisis (una transacción = …)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tickets — Nº de productos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min_support</w:t>
            </w:r>
            <w:r>
              <w:rPr>
                <w:sz w:val="19"/>
              </w:rPr>
              <w:t xml:space="preserve"> usado — Nº de itemsets frecuentes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reglas obtenidas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1. Cómo se lee cada número de una regla `A → B`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Pregunta que responde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Rango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Soporte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¿Cuán </w:t>
            </w:r>
            <w:r>
              <w:rPr>
                <w:b/>
                <w:sz w:val="19"/>
              </w:rPr>
              <w:t>común</w:t>
            </w:r>
            <w:r>
              <w:rPr>
                <w:sz w:val="19"/>
              </w:rPr>
              <w:t xml:space="preserve"> es el patrón </w:t>
            </w:r>
            <w:r>
              <w:rPr>
                <w:rFonts w:ascii="Consolas" w:hAnsi="Consolas"/>
                <w:color w:val="9B1B30"/>
                <w:sz w:val="19"/>
              </w:rPr>
              <w:t>A y B</w:t>
            </w:r>
            <w:r>
              <w:rPr>
                <w:sz w:val="19"/>
              </w:rPr>
              <w:t xml:space="preserve"> juntos?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1]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Volumen: qué fracción de tickets los llevan. Bajo = nicho; alto = masivo.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Confianza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Dado </w:t>
            </w:r>
            <w:r>
              <w:rPr>
                <w:rFonts w:ascii="Consolas" w:hAnsi="Consolas"/>
                <w:color w:val="9B1B30"/>
                <w:sz w:val="19"/>
              </w:rPr>
              <w:t>A</w:t>
            </w:r>
            <w:r>
              <w:rPr>
                <w:sz w:val="19"/>
              </w:rPr>
              <w:t xml:space="preserve">, ¿qué fracción también lleva </w:t>
            </w:r>
            <w:r>
              <w:rPr>
                <w:rFonts w:ascii="Consolas" w:hAnsi="Consolas"/>
                <w:color w:val="9B1B30"/>
                <w:sz w:val="19"/>
              </w:rPr>
              <w:t>B</w:t>
            </w:r>
            <w:r>
              <w:rPr>
                <w:sz w:val="19"/>
              </w:rPr>
              <w:t>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1]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Fiabilidad</w:t>
            </w:r>
            <w:r>
              <w:rPr>
                <w:sz w:val="19"/>
              </w:rPr>
              <w:t xml:space="preserve"> de la sugerencia. Alta ≠ útil por sí sola.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Lift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¿Cuánto </w:t>
            </w:r>
            <w:r>
              <w:rPr>
                <w:b/>
                <w:sz w:val="19"/>
              </w:rPr>
              <w:t>supera al azar</w:t>
            </w:r>
            <w:r>
              <w:rPr>
                <w:sz w:val="19"/>
              </w:rPr>
              <w:t xml:space="preserve"> la co-ocurrencia?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[0, ∞)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&gt;1</w:t>
            </w:r>
            <w:r>
              <w:rPr>
                <w:sz w:val="19"/>
              </w:rPr>
              <w:t xml:space="preserve"> asociación positiva (cross-sell); </w:t>
            </w:r>
            <w:r>
              <w:rPr>
                <w:b/>
                <w:sz w:val="19"/>
              </w:rPr>
              <w:t>=1</w:t>
            </w:r>
            <w:r>
              <w:rPr>
                <w:sz w:val="19"/>
              </w:rPr>
              <w:t xml:space="preserve"> independencia (trivial); </w:t>
            </w:r>
            <w:r>
              <w:rPr>
                <w:b/>
                <w:sz w:val="19"/>
              </w:rPr>
              <w:t>&lt;1</w:t>
            </w:r>
            <w:r>
              <w:rPr>
                <w:sz w:val="19"/>
              </w:rPr>
              <w:t xml:space="preserve"> asociación negativa (a veces sustitución). </w:t>
            </w:r>
            <w:r>
              <w:rPr>
                <w:b/>
                <w:sz w:val="19"/>
              </w:rPr>
              <w:t>La métrica de decisión.</w:t>
            </w:r>
          </w:p>
        </w:tc>
      </w:tr>
    </w:tbl>
    <w:p>
      <w:pPr>
        <w:spacing w:after="40"/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calcula el lift (y el error a evitar).</w:t>
      </w:r>
      <w:r>
        <w:rPr>
          <w:color w:val="2D2D2D"/>
        </w:rPr>
        <w:t xml:space="preserve"> El lift compara la confianza con lo esperado </w:t>
      </w:r>
      <w:r>
        <w:rPr>
          <w:b/>
          <w:color w:val="2D2D2D"/>
        </w:rPr>
        <w:t>por azar</w:t>
      </w:r>
      <w:r>
        <w:rPr>
          <w:color w:val="2D2D2D"/>
        </w:rPr>
        <w:t xml:space="preserve">: </w:t>
      </w:r>
      <w:r>
        <w:rPr>
          <w:rFonts w:ascii="Consolas" w:hAnsi="Consolas"/>
          <w:color w:val="2D2D2D"/>
          <w:sz w:val="19"/>
        </w:rPr>
        <w:t>lift = confianza ÷ soporte(consecuente B)</w:t>
      </w:r>
      <w:r>
        <w:rPr>
          <w:color w:val="2D2D2D"/>
        </w:rPr>
        <w:t xml:space="preserve">. </w:t>
      </w:r>
      <w:r>
        <w:rPr>
          <w:b/>
          <w:color w:val="2D2D2D"/>
        </w:rPr>
        <w:t>El denominador es el soporte del consecuente</w:t>
      </w:r>
      <w:r>
        <w:rPr>
          <w:color w:val="2D2D2D"/>
        </w:rPr>
        <w:t xml:space="preserve"> (cuán común es </w:t>
      </w:r>
      <w:r>
        <w:rPr>
          <w:i/>
          <w:color w:val="2D2D2D"/>
        </w:rPr>
        <w:t>B</w:t>
      </w:r>
      <w:r>
        <w:rPr>
          <w:color w:val="2D2D2D"/>
        </w:rPr>
        <w:t xml:space="preserve"> por sí solo), </w:t>
      </w:r>
      <w:r>
        <w:rPr>
          <w:b/>
          <w:color w:val="2D2D2D"/>
        </w:rPr>
        <w:t>no</w:t>
      </w:r>
      <w:r>
        <w:rPr>
          <w:color w:val="2D2D2D"/>
        </w:rPr>
        <w:t xml:space="preserve"> el soporte </w:t>
      </w:r>
      <w:r>
        <w:rPr>
          <w:b/>
          <w:color w:val="2D2D2D"/>
        </w:rPr>
        <w:t>conjunto</w:t>
      </w:r>
      <w:r>
        <w:rPr>
          <w:color w:val="2D2D2D"/>
        </w:rPr>
        <w:t xml:space="preserve"> de la regla (cuán&gt; común es </w:t>
      </w:r>
      <w:r>
        <w:rPr>
          <w:i/>
          <w:color w:val="2D2D2D"/>
        </w:rPr>
        <w:t>A y B juntos</w:t>
      </w:r>
      <w:r>
        <w:rPr>
          <w:color w:val="2D2D2D"/>
        </w:rPr>
        <w:t>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i/>
          <w:color w:val="2D2D2D"/>
        </w:rPr>
        <w:t>Ejemplo del cuaderno (taza rosa → taza verde):</w:t>
      </w:r>
      <w:r>
        <w:rPr>
          <w:color w:val="2D2D2D"/>
        </w:rPr>
        <w:t xml:space="preserve"> soporte conjunto = 0,02 (≈16 de 800 tickets llevan&gt; </w:t>
      </w:r>
      <w:r>
        <w:rPr>
          <w:b/>
          <w:color w:val="2D2D2D"/>
        </w:rPr>
        <w:t>ambas</w:t>
      </w:r>
      <w:r>
        <w:rPr>
          <w:color w:val="2D2D2D"/>
        </w:rPr>
        <w:t xml:space="preserve">); confianza = 0,90; soporte del consecuente (taza verde) = confianza ÷ lift = 0,90 ÷ 32,7 = </w:t>
      </w:r>
      <w:r>
        <w:rPr>
          <w:b/>
          <w:color w:val="2D2D2D"/>
        </w:rPr>
        <w:t>0,0275</w:t>
      </w:r>
      <w:r>
        <w:rPr>
          <w:color w:val="2D2D2D"/>
        </w:rPr>
        <w:t xml:space="preserve"> (≈22 de 800 tickets llevan la </w:t>
      </w:r>
      <w:r>
        <w:rPr>
          <w:b/>
          <w:color w:val="2D2D2D"/>
        </w:rPr>
        <w:t>verde</w:t>
      </w:r>
      <w:r>
        <w:rPr>
          <w:color w:val="2D2D2D"/>
        </w:rPr>
        <w:t xml:space="preserve">). Entonces </w:t>
      </w:r>
      <w:r>
        <w:rPr>
          <w:rFonts w:ascii="Consolas" w:hAnsi="Consolas"/>
          <w:color w:val="2D2D2D"/>
          <w:sz w:val="19"/>
        </w:rPr>
        <w:t>lift = 0,90 ÷ 0,0275 ≈ 32,7</w:t>
      </w:r>
      <w:r>
        <w:rPr>
          <w:color w:val="2D2D2D"/>
        </w:rPr>
        <w:t xml:space="preserve">. </w:t>
      </w:r>
      <w:r>
        <w:rPr>
          <w:b/>
          <w:color w:val="2D2D2D"/>
        </w:rPr>
        <w:t>Error típico:</w:t>
      </w:r>
      <w:r>
        <w:rPr>
          <w:color w:val="2D2D2D"/>
        </w:rPr>
        <w:t xml:space="preserve"> dividir por el soporte conjunto, </w:t>
      </w:r>
      <w:r>
        <w:rPr>
          <w:rFonts w:ascii="Consolas" w:hAnsi="Consolas"/>
          <w:color w:val="2D2D2D"/>
          <w:sz w:val="19"/>
        </w:rPr>
        <w:t>0,90 ÷ 0,02 = 45</w:t>
      </w:r>
      <w:r>
        <w:rPr>
          <w:color w:val="2D2D2D"/>
        </w:rPr>
        <w:t xml:space="preserve"> — </w:t>
      </w:r>
      <w:r>
        <w:rPr>
          <w:b/>
          <w:color w:val="2D2D2D"/>
        </w:rPr>
        <w:t>incorrecto</w:t>
      </w:r>
      <w:r>
        <w:rPr>
          <w:color w:val="2D2D2D"/>
        </w:rPr>
        <w:t>; el denominador es el soporte del consecuente (0,0275), no el de la regla (0,02).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2. Filtro de reglas (del más al menos importante)</w:t>
      </w:r>
    </w:p>
    <w:p>
      <w:pPr>
        <w:jc w:val="both"/>
      </w:pPr>
      <w:r>
        <w:rPr>
          <w:i/>
        </w:rPr>
        <w:t>Marcar cada filtro aplicado: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Filtro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☐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Umbral usado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Soporte mínimo</w:t>
            </w:r>
            <w:r>
              <w:rPr>
                <w:sz w:val="19"/>
              </w:rPr>
              <w:t xml:space="preserve"> (ya al minar los itemsets) — elimina patrones irreproducibles.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Lift &gt; 1</w:t>
            </w:r>
            <w:r>
              <w:rPr>
                <w:sz w:val="19"/>
              </w:rPr>
              <w:t xml:space="preserve"> (con margen) — descarta triviales (lift ≈ 1) y sustituciones (lift &lt; 1).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Confianza mínima</w:t>
            </w:r>
            <w:r>
              <w:rPr>
                <w:sz w:val="19"/>
              </w:rPr>
              <w:t xml:space="preserve"> — asegura fiabilidad accionable.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Sentido de negocio</w:t>
            </w:r>
            <w:r>
              <w:rPr>
                <w:sz w:val="19"/>
              </w:rPr>
              <w:t xml:space="preserve"> — quitar reglas </w:t>
            </w:r>
            <w:r>
              <w:rPr>
                <w:b/>
                <w:sz w:val="19"/>
              </w:rPr>
              <w:t>obvias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9B1B30"/>
                <w:sz w:val="19"/>
              </w:rPr>
              <w:t>{pan de molde} → {pan}</w:t>
            </w:r>
            <w:r>
              <w:rPr>
                <w:sz w:val="19"/>
              </w:rPr>
              <w:t>) o sin acción posible.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3. Tabla top-N (ordenada por lift)</w:t>
      </w:r>
    </w:p>
    <w:p>
      <w:pPr>
        <w:jc w:val="both"/>
      </w:pPr>
      <w:r>
        <w:rPr>
          <w:i/>
        </w:rPr>
        <w:t xml:space="preserve">Seleccionar entre 5 y 10 reglas accionables. Para cada una, una </w:t>
      </w:r>
      <w:r>
        <w:rPr>
          <w:i/>
        </w:rPr>
        <w:t>palanca</w:t>
      </w:r>
      <w:r>
        <w:rPr>
          <w:i/>
        </w:rPr>
        <w:t xml:space="preserve"> (colocación / oferta conjunta / cupón / recomendación), una estimación de </w:t>
      </w:r>
      <w:r>
        <w:rPr>
          <w:i/>
        </w:rPr>
        <w:t>impacto £</w:t>
      </w:r>
      <w:r>
        <w:rPr>
          <w:i/>
        </w:rPr>
        <w:t xml:space="preserve"> (ver recuadro abajo) y una </w:t>
      </w:r>
      <w:r>
        <w:rPr>
          <w:i/>
        </w:rPr>
        <w:t>lectura de negocio</w:t>
      </w:r>
      <w:r>
        <w:rPr>
          <w:i/>
        </w:rPr>
        <w:t xml:space="preserve"> de una línea.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Antecedente (A)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Consecuente (B)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Soporte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Confianza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Lift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Palanca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Impacto £ estimado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de negocio (1 línea)</w:t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5</w:t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08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estimar el impacto £ de una regla (venta cruzada).</w:t>
      </w:r>
      <w:r>
        <w:rPr>
          <w:color w:val="2D2D2D"/>
        </w:rPr>
        <w:t xml:space="preserve"> Un cross-selling efectivo eleva el </w:t>
      </w:r>
      <w:r>
        <w:rPr>
          <w:b/>
          <w:color w:val="2D2D2D"/>
        </w:rPr>
        <w:t>valor medio del pedido (AOV) 15–30 %</w:t>
      </w:r>
      <w:r>
        <w:rPr>
          <w:color w:val="2D2D2D"/>
        </w:rPr>
        <w:t xml:space="preserve"> (referencia de mercado: </w:t>
      </w:r>
      <w:r>
        <w:rPr>
          <w:i/>
          <w:color w:val="2D2D2D"/>
        </w:rPr>
        <w:t>The AI Journal</w:t>
      </w:r>
      <w:r>
        <w:rPr>
          <w:color w:val="2D2D2D"/>
        </w:rPr>
        <w:t xml:space="preserve">, 2025). Estimación: </w:t>
      </w:r>
      <w:r>
        <w:rPr>
          <w:rFonts w:ascii="Consolas" w:hAnsi="Consolas"/>
          <w:color w:val="2D2D2D"/>
          <w:sz w:val="19"/>
        </w:rPr>
        <w:t>£ incremental ≈ (nº de tickets del antecedente) × AOV × uplift(0,15 a 0,30)</w:t>
      </w:r>
      <w:r>
        <w:rPr>
          <w:color w:val="2D2D2D"/>
        </w:rPr>
        <w:t xml:space="preserve">. Para la regla estrella, el antecedente (taza rosa) aparece en ~18 de 800 tickets. </w:t>
      </w:r>
      <w:r>
        <w:rPr>
          <w:b/>
          <w:color w:val="2D2D2D"/>
        </w:rPr>
        <w:t>Es una hipótesis</w:t>
      </w:r>
      <w:r>
        <w:rPr>
          <w:color w:val="2D2D2D"/>
        </w:rPr>
        <w:t xml:space="preserve">, no un resultado garantizado: el lift es </w:t>
      </w:r>
      <w:r>
        <w:rPr>
          <w:b/>
          <w:color w:val="2D2D2D"/>
        </w:rPr>
        <w:t>asociación, no causa</w:t>
      </w:r>
      <w:r>
        <w:rPr>
          <w:color w:val="2D2D2D"/>
        </w:rPr>
        <w:t xml:space="preserve">; se confirma con un </w:t>
      </w:r>
      <w:r>
        <w:rPr>
          <w:b/>
          <w:color w:val="2D2D2D"/>
        </w:rPr>
        <w:t>experimento A/B</w:t>
      </w:r>
      <w:r>
        <w:rPr>
          <w:color w:val="2D2D2D"/>
        </w:rPr>
        <w:t xml:space="preserve"> (E1).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4. Palancas de cross-selling (cómo se activa una regla)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Palanca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En qué consiste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Cuándo conviene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Colocación conjunta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Poner A y B cerca (físico u online).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Lift alto, productos complementarios.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Oferta conjunta (*bundle*)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Vender A + B a precio de paquete.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Confianza y lift altos; margen suficiente.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Cupón cruzado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Descuento en B a quien compra A.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Empujar B (menos vendido) al apalancar A.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Recomendación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"Quienes compraron A también compraron B".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Canal digital; muchas reglas de lift medio-alto.</w:t>
            </w:r>
          </w:p>
        </w:tc>
      </w:tr>
    </w:tbl>
    <w:p>
      <w:pPr>
        <w:spacing w:after="40"/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5. Aviso: asociación ≠ causalidad</w:t>
      </w:r>
    </w:p>
    <w:p>
      <w:pPr>
        <w:jc w:val="both"/>
      </w:pPr>
      <w:r>
        <w:rPr>
          <w:i/>
        </w:rPr>
        <w:t>Marcar antes de recomendar:</w:t>
      </w:r>
      <w:r>
        <w:t xml:space="preserve"> ☐ Se entiende que el </w:t>
      </w:r>
      <w:r>
        <w:rPr>
          <w:b/>
        </w:rPr>
        <w:t>lift mide co-ocurrencia, no causa</w:t>
      </w:r>
      <w:r>
        <w:t xml:space="preserve"> (A y B podrían compartir una causa común: campaña, temporada). La cifra de impacto de una regla es una </w:t>
      </w:r>
      <w:r>
        <w:rPr>
          <w:b/>
        </w:rPr>
        <w:t>hipótesis a validar con un experimento A/B</w:t>
      </w:r>
      <w:r>
        <w:t xml:space="preserve"> (E1); la causalidad formal se ve en E6. Presentar el impacto como </w:t>
      </w:r>
      <w:r>
        <w:rPr>
          <w:b/>
        </w:rPr>
        <w:t>estimación con supuestos</w:t>
      </w:r>
      <w:r>
        <w:t>, no como resultado garantizado.</w:t>
      </w:r>
    </w:p>
    <w:p>
      <w:pPr>
        <w:jc w:val="both"/>
      </w:pPr>
      <w:r>
        <w:rPr>
          <w:i/>
        </w:rPr>
        <w:t>Marcar también:</w:t>
      </w:r>
      <w:r>
        <w:t xml:space="preserve"> ☐ Se revisó el </w:t>
      </w:r>
      <w:r>
        <w:rPr>
          <w:b/>
        </w:rPr>
        <w:t>soporte</w:t>
      </w:r>
      <w:r>
        <w:t xml:space="preserve"> de la regla: un lift muy alto sobre </w:t>
      </w:r>
      <w:r>
        <w:rPr>
          <w:b/>
        </w:rPr>
        <w:t>pocos tickets</w:t>
      </w:r>
      <w:r>
        <w:t xml:space="preserve"> (p. ej. la regla estrella, soporte 0,02 ≈ 16 de 800) es </w:t>
      </w:r>
      <w:r>
        <w:rPr>
          <w:b/>
        </w:rPr>
        <w:t>impreciso</w:t>
      </w:r>
      <w:r>
        <w:t xml:space="preserve"> por el escaso volumen y debe </w:t>
      </w:r>
      <w:r>
        <w:rPr>
          <w:b/>
        </w:rPr>
        <w:t>confirmarse</w:t>
      </w:r>
      <w:r>
        <w:t xml:space="preserve"> antes de invertir.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Cómo se conecta:</w:t>
      </w:r>
      <w:r>
        <w:rPr>
          <w:color w:val="2D2D2D"/>
        </w:rPr>
        <w:t xml:space="preserve"> esta plantilla alimenta la parte de reglas del entregable (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) y se complementa con </w:t>
      </w:r>
      <w:r>
        <w:rPr>
          <w:rFonts w:ascii="Consolas" w:hAnsi="Consolas"/>
          <w:color w:val="2D2D2D"/>
          <w:sz w:val="19"/>
        </w:rPr>
        <w:t>plantillas/plantilla_rfm_segmentos.docx</w:t>
      </w:r>
      <w:r>
        <w:rPr>
          <w:color w:val="2D2D2D"/>
        </w:rPr>
        <w:t xml:space="preserve"> (segmentación). Las cifras salen del cuaderno </w:t>
      </w:r>
      <w:r>
        <w:rPr>
          <w:rFonts w:ascii="Consolas" w:hAnsi="Consolas"/>
          <w:color w:val="2D2D2D"/>
          <w:sz w:val="19"/>
        </w:rPr>
        <w:t>notebook/EPE_S4_no_supervisado.ipynb</w:t>
      </w:r>
      <w:r>
        <w:rPr>
          <w:color w:val="2D2D2D"/>
        </w:rPr>
        <w:t xml:space="preserve"> y de </w:t>
      </w:r>
      <w:r>
        <w:rPr>
          <w:rFonts w:ascii="Consolas" w:hAnsi="Consolas"/>
          <w:color w:val="2D2D2D"/>
          <w:sz w:val="19"/>
        </w:rPr>
        <w:t>resultados/E04_resultados.xlsx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reglas_top</w:t>
      </w:r>
      <w:r>
        <w:rPr>
          <w:color w:val="2D2D2D"/>
        </w:rPr>
        <w:t>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top-N reglas de asociación (con lectura de negocio)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