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MODALIDAD EPE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Guía de laboratorio — Sesión EPE E5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Predecir categorías: churn y fraude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Parejas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· entrega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DURACIÓN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90–110 min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notebook/EPE_S5_clasificacion.ipynb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(botón «Abrir en Colab» en su portada) · Parte A = Churn, Parte B = Fraude</w:t>
            </w:r>
          </w:p>
        </w:tc>
      </w:tr>
    </w:tbl>
    <w:p>
      <w:pPr>
        <w:spacing w:after="15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LABORATORIO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construir e interpretar un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modelo de fuga de clientes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(churn) con regresión logística —probabilidad, odds ratio, ROC/AUC y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umbral por costo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— y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leer un caso de fraude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severamente desbalanceado —paradoja de la accuracy, precisión/recall, PR-AUC y el efecto de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SMOTE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— para </w:t>
            </w:r>
            <w:r>
              <w:rPr>
                <w:rFonts w:ascii="Cambria" w:cs="Cambria" w:eastAsia="Cambria" w:hAnsi="Cambria"/>
                <w:b/>
                <w:bCs/>
                <w:color w:val="FFFFFF"/>
                <w:sz w:val="21"/>
                <w:szCs w:val="21"/>
              </w:rPr>
              <w:t xml:space="preserve">emitir una recomendación de negocio</w:t>
            </w: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 en cada caso.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0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Antes de empezar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Modelo de fuga de clientes: churn (Telco, Parte A)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~50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Detección de fraude y desbalance (Credit Card Fraud, Parte B)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~40 min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Producto esperado del laboratorio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Checklist final de autoevaluación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8 criterios</w:t>
            </w:r>
          </w:p>
        </w:tc>
      </w:tr>
    </w:tbl>
    <w:p>
      <w:pPr>
        <w:spacing w:after="22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0. Antes de empezar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0.1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Abrir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notebook/EPE_S5_clasificacion.ipynb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en Google Colab (o en el venv local).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0.2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Tener a la vista las plantillas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plantillas/evaluacion_clasificador.docx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(matriz de confusión + ROC + umbral por costo + PR-AUC) y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plantillas/guia_odds_ratio.docx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(leer un OR ante negocio).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0.3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Datos: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data/descargar_datos.py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obtiene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Telco Customer Churn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(7 043 clientes) y la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muestra de Credit Card Fraud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. El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completo de fraude (~150,8 MB) nunca vive en OneDrive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; sus métricas 99:1 usan resultados ya validados.</w:t>
      </w:r>
    </w:p>
    <w:p>
      <w:pPr>
        <w:spacing w:after="110" w:line="265"/>
      </w:pPr>
      <w:r>
        <w:rPr>
          <w:rFonts w:ascii="Calibri" w:cs="Calibri" w:eastAsia="Calibri" w:hAnsi="Calibri"/>
          <w:b/>
          <w:bCs/>
          <w:color w:val="7A1526"/>
          <w:sz w:val="18"/>
          <w:szCs w:val="18"/>
        </w:rPr>
        <w:t xml:space="preserve">0.4   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Convención del curso: los resultados van a </w:t>
      </w:r>
      <w:r>
        <w:rPr>
          <w:rFonts w:ascii="Consolas" w:cs="Consolas" w:eastAsia="Consolas" w:hAnsi="Consolas"/>
          <w:color w:val="7A1526"/>
          <w:sz w:val="17"/>
          <w:szCs w:val="17"/>
        </w:rPr>
        <w:t xml:space="preserve">resultados/E05_resultados.xlsx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 y las figuras se generan </w:t>
      </w:r>
      <w:r>
        <w:rPr>
          <w:rFonts w:ascii="Cambria" w:cs="Cambria" w:eastAsia="Cambria" w:hAnsi="Cambria"/>
          <w:b/>
          <w:bCs/>
          <w:color w:val="2D2D2D"/>
          <w:sz w:val="19"/>
          <w:szCs w:val="19"/>
        </w:rPr>
        <w:t xml:space="preserve">al leer ese Excel</w:t>
      </w:r>
      <w:r>
        <w:rPr>
          <w:rFonts w:ascii="Cambria" w:cs="Cambria" w:eastAsia="Cambria" w:hAnsi="Cambria"/>
          <w:color w:val="2D2D2D"/>
          <w:sz w:val="19"/>
          <w:szCs w:val="19"/>
        </w:rPr>
        <w:t xml:space="preserve">. Toda cifra citada debe existir en el cuaderno o en ese Excel.</w:t>
      </w:r>
    </w:p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MODELO DE FUGA DE CLIENTES (CHURN)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Parte A · Telco Customer Churn, bloques a–c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~50 min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Enmarcar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la pregunta de negocio: «¿Qué clientes están en riesgo de fuga y qué acción de retención conviene?». Declarar que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positivo (1) = "el cliente se va"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línea con la pregunta y la decisión que habilita.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1.1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De dónde viene la regresión logística, y por qué se lee en odds ratio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La regresión logística no nació para clasificar, sino para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tamizar factores de riesgo con un presupuesto limitado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Los datos que la fijaron en la literatura proceden del estudio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CORIS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(Rossouw et al., 1983), cuyo título ya declara el objetivo —«Coronary risk factor screening in three rural communities»—, y la continuación del mismo equipo, diez años después, explicita la decisión que dependía de esa línea de base: un programa de intervención comunitaria en el que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visita cara a cara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se reservaba a los individuos de alto riesgo, porque es cara y no alcanza para todos (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International Journal of Epidemiology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22(3), 1993). La pregunta real nunca fue «¿quién se infarta?» sino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«¿cuánto multiplica el riesgo cada factor, y a quién conviene priorizar?»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el mismo problema que se resuelve en los pasos A2 y A4, con clientes en lugar de pacientes. De ahí sus dos decisiones de método. Se descarta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recta sobre una respuesta 0/1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porque devuelve valores fuera de [0, 1] y porque la varianza de un Bernoulli,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p(1−p)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nunca es constante. Y se elige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logit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frente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probit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que era el estándar de la época: las dos curvas casi coinciden, pero solo en el logit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exp(β)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un odds ratio, un multiplicador que se dice en voz alta ante quien firma el presupuesto. La logística se impuso por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comunicable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por ajustar mejor.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1.2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Por qué se le llama «un GLM»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Nelder &amp; Wedderburn (1972)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no traían datos: traían un desorden. Hasta entonces el caso binario se llamaba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probit analysis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el de conteos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contingency tables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continuo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regresión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cada uno con su algoritmo y su capítulo aparte. Su artículo mostró que basta con declarar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tres piezas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—la familia de la respuesta, el predictor lineal y la función de enlace— para ajustarlos todos con la misma máquina: la regresión lineal ponderada iterativa. Por eso la logística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el GLM binomial con enlace logit, y las variantes para conteos (Poisson) o importes (gamma) son ese mismo marco con otra familia. El artículo cierra, además, con las implicaciones del enfoque para el diseño de los cursos de estadística.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Desarrollo completo con las citas verificadas: la ficha de la sesión de réplica del paper, «Sección 0».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Entrenar la logística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el cuaderno (bloque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cargar y limpiar Telco (los 11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TotalCharges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blanco de clientes con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tenure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0), codificar (one-hot), particionar 80/20 estratificado y entrenar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LogisticRegression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Anotar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AUC de test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AUC y su lectura («ordena bien / aceptable / pobre»).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Probabilidad y odds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Para un cliente de ejemplo, leer su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probabilidad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fuga y convertirla 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odds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odds = p/(1−p)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). Con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plantillas/guia_odds_ratio.docx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interpretar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odds ratio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 tabla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churn_odds_ratio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contrato, antigüedad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tenure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tipo de internet.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tres frases de negocio (un factor protector, uno de riesgo,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tenure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"por año").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Matriz de confusión y ROC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Leer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matriz de confusión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al umbral 0,5 (VN, FP, FN, VP) y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curva ROC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Con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plantillas/evaluacion_clasificador.docx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(Secciones 1–2), reportar recall, precisión y especificidad, y explicar por qué el 0,5 deja sin detectar muchos FN.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matriz + tres métricas leídas.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A4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Umbral por costo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Fijar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S/300 (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valor de vida del cliente, CLV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el margen que aún aportaría durante su permanencia; no «un cliente perdido» genérico)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S/20 (llamada de retención). Calcular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t* = C_FP/(C_FP+C_FN)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recorrer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tabla de umbral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(hoja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churn_confusion_umbral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elegir el que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minimiza el costo esperado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umbral elegido + frase de consecuencia («bajar de 0,50 a 0,10 sube el recall de 0,58 a 0,95 y reduce el costo esperado del error de S/50 000 a S/16 720») + los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límites de negocio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anotados: el umbral 0,10 exige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536 contactos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(capacidad operativa) y ese costo es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esperado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no un ahorro realizado (detectar la fuga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salvarla; el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save-rate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valida con un A/B).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4002B" w:sz="18"/>
              <w:bottom w:val="none" w:color="FFFFFF" w:sz="0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1526"/>
                <w:spacing w:val="20"/>
                <w:sz w:val="16"/>
                <w:szCs w:val="16"/>
              </w:rPr>
              <w:t xml:space="preserve">AUTOEVALUACIÓN PARTE 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reportó el AUC con lectura?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interpretó al menos un OR como factor protector y uno de riesgo?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¿La matriz de confusión se leyó al umbral elegido (no solo 0,5)?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¿El umbral se justificó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costo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no por exactitud?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DETECCIÓN DE FRAUDE Y DESBALANCE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Parte B · Credit Card Fraud (ULB), bloques d–f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~40 min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80"/>
        <w:gridCol w:w="3000"/>
      </w:tblGrid>
      <w:tr>
        <w:trPr>
          <w:tblHeader/>
        </w:trPr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TIEMPO</w:t>
            </w:r>
          </w:p>
        </w:tc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QUÉ HACER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PRODUCTO (lo que queda escrito)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B0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 problema del desbalance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En el bloque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mirar la muestra y anotar el desbalance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492 fraudes en 284 807 transacciones = 0,17 %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Declarar que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positivo (1) = "fraude"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que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muestra local (26,7 %) no es el 99:1 real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(solo sirve para mirar los datos).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nota con la prevalencia real y qué clase es la de interés.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La paradoja de la accuracy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Comprobar que un clasificador "todo legítimo" logra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99,83 %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exactitud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recall = 0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(no detecta un solo fraude).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frase que explique por qué la exactitud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se usa en desbalance.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Métricas honestas: precisión, recall y PR-AUC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 las cifras ya validadas (bloques 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/</w:t>
            </w:r>
            <w:r>
              <w:rPr>
                <w:rFonts w:ascii="Cambria" w:cs="Cambria" w:eastAsia="Cambria" w:hAnsi="Cambria"/>
                <w:i/>
                <w:iCs/>
                <w:color w:val="2D2D2D"/>
                <w:sz w:val="19"/>
                <w:szCs w:val="19"/>
              </w:rPr>
              <w:t xml:space="preserve">f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leer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precisión (0,85)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recall (0,61)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ROC-AUC (0,96)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 (0,71)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 Con la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plantillas/evaluacion_clasificador.docx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5), explicar por qué el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es el número honesto y el ROC-AUC induce a error.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frase que contrasta ROC-AUC vs PR-AUC.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10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El efecto de SMOTE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Comparar la matriz de confusión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antes y después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SMOTE: recall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0,61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0,88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(FN 57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18) pero precisión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0,85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 0,06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(FP 16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→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1 885). Decidir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costo esperado del error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con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S/1 200 (fraude no detectado) y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= S/3 (alerta revisada), base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S/68 448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vs. SMOTE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S/27 255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(un FN cuesta 400× un FP). Acotar por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capacidad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SMOTE genera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1 885 alertas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 revisar. Recordar que SMOTE va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solo en train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(aplicarlo antes del split es fuga de información).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7F0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decisión razonada de usar o no SMOTE.</w:t>
            </w:r>
          </w:p>
        </w:tc>
      </w:tr>
      <w:tr>
        <w:tc>
          <w:tcPr>
            <w:tcW w:type="dxa" w:w="10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5 min</w:t>
            </w:r>
          </w:p>
        </w:tc>
        <w:tc>
          <w:tcPr>
            <w:tcW w:type="dxa" w:w="60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22"/>
                <w:szCs w:val="22"/>
              </w:rPr>
              <w:t xml:space="preserve">B4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Recomendación</w:t>
            </w:r>
          </w:p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Escribir la recomendación de negocio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una frase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: qué modelo y qué punto de operación (umbral) se propone y qué tasa de falsas alarmas implica.</w:t>
            </w:r>
          </w:p>
        </w:tc>
        <w:tc>
          <w:tcPr>
            <w:tcW w:type="dxa" w:w="3000"/>
            <w:tcBorders>
              <w:top w:val="single" w:color="DFE2E6" w:sz="4"/>
              <w:left w:val="single" w:color="E4002B" w:sz="12"/>
              <w:bottom w:val="single" w:color="DFE2E6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line="265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▸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recomendación final del caso fraude.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E4002B" w:sz="18"/>
              <w:bottom w:val="none" w:color="FFFFFF" w:sz="0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7A1526"/>
                <w:spacing w:val="20"/>
                <w:sz w:val="16"/>
                <w:szCs w:val="16"/>
              </w:rPr>
              <w:t xml:space="preserve">AUTOEVALUACIÓN PARTE 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demostró la paradoja del 99,83 %?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reportó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PR-AUC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(no accuracy)?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¿Se leyó el trade-off de SMOTE en precisión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y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recall?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A1526"/>
                <w:sz w:val="20"/>
                <w:szCs w:val="20"/>
              </w:rPr>
              <w:t xml:space="preserve">☐   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¿La recomendación es coherente con el costo del error?</w:t>
            </w:r>
          </w:p>
        </w:tc>
      </w:tr>
    </w:tbl>
    <w:p>
      <w:r>
        <w:br w:type="page"/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PRODUCTO ESPERADO DEL LABORATORIO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Entregable de la sesión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máx. 2 páginas + figuras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Un mini-reporte (máx. 2 páginas + figuras del cuaderno) con: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Churn: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AUC + lectura, dos o tres odds ratio interpretados, matriz de confusión al umbral elegido y la justificación del umbral por costo, con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recomendación de retención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Fraude: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la paradoja de la accuracy, precisión/recall y PR-AUC, el efecto de SMOTE, y una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recomendación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del punto de operación.</w:t>
            </w:r>
          </w:p>
        </w:tc>
      </w:tr>
    </w:tbl>
    <w:p>
      <w:pPr>
        <w:spacing w:after="18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Este producto es la base del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entregable evaluable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la sesión (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rúbrica vigesimal total = 20) y alimenta la fase de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Modelado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del proyecto integrador (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plantillas/ficha_proyecto_crispdm.docx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). Los ejercicios de práctica están en </w:t>
      </w:r>
      <w:r>
        <w:rPr>
          <w:rFonts w:ascii="Consolas" w:cs="Consolas" w:eastAsia="Consolas" w:hAnsi="Consolas"/>
          <w:i/>
          <w:iCs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.</w:t>
      </w: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4. Checklist final de autoevaluación</w:t>
      </w:r>
    </w:p>
    <w:p>
      <w:pPr>
        <w:spacing w:after="140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Verificación previa a la entrega. Ninguna casilla debe quedar vacía.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640"/>
        <w:gridCol w:w="8880"/>
      </w:tblGrid>
      <w:tr>
        <w:trPr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✔</w:t>
            </w:r>
          </w:p>
        </w:tc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N.º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Modelo de churn entrenado; AUC de test reportado con su lectura.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Al menos un odds ratio protector y uno de riesgo interpretados en lenguaje de negocio.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Matriz de confusión leída (recall, precisión, especificidad), no solo exactitud.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C_FP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t* fijados; umbral elegido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mínimo costo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su consecuencia comunicada.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5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Prevalencia real del fraude (0,17 %) y la paradoja de la accuracy documentadas.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6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PR-AUC reportado como métrica de decisión (no accuracy ni solo ROC-AUC).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7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Efecto de SMOTE leído en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precisión y recall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SMOTE solo en train.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7A1526"/>
                <w:sz w:val="24"/>
                <w:szCs w:val="24"/>
              </w:rPr>
              <w:t xml:space="preserve">☐</w:t>
            </w:r>
          </w:p>
        </w:tc>
        <w:tc>
          <w:tcPr>
            <w:tcW w:type="dxa" w:w="64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8</w:t>
            </w:r>
          </w:p>
        </w:tc>
        <w:tc>
          <w:tcPr>
            <w:tcW w:type="dxa" w:w="8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line="260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Una recomendación de negocio accionable por cada caso (churn y fraude).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Guía de laboratorio — Sesión EPE E5: Predecir categorías (churn y fraude)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laboratorio — Sesión EPE E5</dc:title>
  <dc:creator>UPC</dc:creator>
  <dc:description>Predecir categorías: churn y fraude</dc:description>
  <cp:lastModifiedBy>Un-named</cp:lastModifiedBy>
  <cp:revision>1</cp:revision>
  <dcterms:created xsi:type="dcterms:W3CDTF">2026-09-11T14:14:45.045Z</dcterms:created>
  <dcterms:modified xsi:type="dcterms:W3CDTF">2026-09-11T14:14:45.046Z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