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Guía de 1 página: interpretar el odds ratio ante una audiencia de negocio (EPE)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Guía de una página de la Sesión EPE </w:t>
      </w:r>
      <w:r>
        <w:rPr>
          <w:b/>
          <w:color w:val="2D2D2D"/>
        </w:rPr>
        <w:t>E5</w:t>
      </w:r>
      <w:r>
        <w:rPr>
          <w:color w:val="2D2D2D"/>
        </w:rPr>
        <w:t xml:space="preserve"> (Predecir categorías: churn y fraude) — Herramientas de Ciencias de Datos (UPC). Con el ejemplo llevado al caso de </w:t>
      </w:r>
      <w:r>
        <w:rPr>
          <w:b/>
          <w:color w:val="2D2D2D"/>
        </w:rPr>
        <w:t>churn</w:t>
      </w:r>
      <w:r>
        <w:rPr>
          <w:color w:val="2D2D2D"/>
        </w:rPr>
        <w:t xml:space="preserve"> (Telco), traduce los coeficientes de una regresión logística (en log-odds) al lenguaje de una decisión: qué es el odds ratio, cómo se lee un factor de riesgo/retención y qué frases usar ante gerencia. Acompaña al cuaderno </w:t>
      </w:r>
      <w:r>
        <w:rPr>
          <w:rFonts w:ascii="Consolas" w:hAnsi="Consolas"/>
          <w:color w:val="2D2D2D"/>
          <w:sz w:val="19"/>
        </w:rPr>
        <w:t>notebook/EPE_S5_clasificacion.ipynb</w:t>
      </w:r>
      <w:r>
        <w:rPr>
          <w:color w:val="2D2D2D"/>
        </w:rPr>
        <w:t xml:space="preserve"> y sustenta la interpretación del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>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Odds vs. probabilidad — no son lo mismo</w:t>
      </w:r>
    </w:p>
    <w:p>
      <w:pPr>
        <w:pStyle w:val="ListBullet"/>
        <w:spacing w:after="40"/>
      </w:pPr>
      <w:r>
        <w:rPr>
          <w:b/>
        </w:rPr>
        <w:t>Probabilidad `p`:</w:t>
      </w:r>
      <w:r>
        <w:t xml:space="preserve"> chance de que el evento ocurra, entre 0 y 1 (p. ej. </w:t>
      </w:r>
      <w:r>
        <w:rPr>
          <w:rFonts w:ascii="Consolas" w:hAnsi="Consolas"/>
          <w:color w:val="9B1B30"/>
          <w:sz w:val="19"/>
        </w:rPr>
        <w:t>p = 0,20</w:t>
      </w:r>
      <w:r>
        <w:t xml:space="preserve"> = 20 % de fuga).</w:t>
      </w:r>
    </w:p>
    <w:p>
      <w:pPr>
        <w:pStyle w:val="ListBullet"/>
        <w:spacing w:after="40"/>
      </w:pPr>
      <w:r>
        <w:rPr>
          <w:b/>
        </w:rPr>
        <w:t>Odds:</w:t>
      </w:r>
      <w:r>
        <w:t xml:space="preserve"> cociente entre la probabilidad de que ocurra y la de que no: </w:t>
      </w:r>
      <w:r>
        <w:rPr>
          <w:rFonts w:ascii="Consolas" w:hAnsi="Consolas"/>
          <w:color w:val="9B1B30"/>
          <w:sz w:val="19"/>
        </w:rPr>
        <w:t>odds = p / (1 − p)</w:t>
      </w:r>
      <w:r>
        <w:t xml:space="preserve">. Rango </w:t>
      </w:r>
      <w:r>
        <w:rPr>
          <w:rFonts w:ascii="Consolas" w:hAnsi="Consolas"/>
          <w:color w:val="9B1B30"/>
          <w:sz w:val="19"/>
        </w:rPr>
        <w:t>[0, +∞)</w:t>
      </w:r>
      <w:r>
        <w:t xml:space="preserve">. Con </w:t>
      </w:r>
      <w:r>
        <w:rPr>
          <w:rFonts w:ascii="Consolas" w:hAnsi="Consolas"/>
          <w:color w:val="9B1B30"/>
          <w:sz w:val="19"/>
        </w:rPr>
        <w:t>p = 0,20</w:t>
      </w:r>
      <w:r>
        <w:t xml:space="preserve">, </w:t>
      </w:r>
      <w:r>
        <w:rPr>
          <w:rFonts w:ascii="Consolas" w:hAnsi="Consolas"/>
          <w:color w:val="9B1B30"/>
          <w:sz w:val="19"/>
        </w:rPr>
        <w:t>odds = 0,20 / 0,80 = 0,25</w:t>
      </w:r>
      <w:r>
        <w:t xml:space="preserve"> ("1 a 4"). Un odds de 1 equivale a </w:t>
      </w:r>
      <w:r>
        <w:rPr>
          <w:rFonts w:ascii="Consolas" w:hAnsi="Consolas"/>
          <w:color w:val="9B1B30"/>
          <w:sz w:val="19"/>
        </w:rPr>
        <w:t>p = 0,5</w:t>
      </w:r>
      <w:r>
        <w:t>; un odds de 4 significa "4 veces más probable que ocurra a que no" (</w:t>
      </w:r>
      <w:r>
        <w:rPr>
          <w:rFonts w:ascii="Consolas" w:hAnsi="Consolas"/>
          <w:color w:val="9B1B30"/>
          <w:sz w:val="19"/>
        </w:rPr>
        <w:t>p = 0,8</w:t>
      </w:r>
      <w:r>
        <w:t>).</w:t>
      </w:r>
    </w:p>
    <w:p>
      <w:pPr>
        <w:pStyle w:val="ListBullet"/>
        <w:spacing w:after="40"/>
      </w:pPr>
      <w:r>
        <w:rPr>
          <w:b/>
        </w:rPr>
        <w:t>Ida y vuelta:</w:t>
      </w:r>
      <w:r>
        <w:t xml:space="preserve"> </w:t>
      </w:r>
      <w:r>
        <w:rPr>
          <w:rFonts w:ascii="Consolas" w:hAnsi="Consolas"/>
          <w:color w:val="9B1B30"/>
          <w:sz w:val="19"/>
        </w:rPr>
        <w:t>odds = p/(1−p)</w:t>
      </w:r>
      <w:r>
        <w:t xml:space="preserve"> y </w:t>
      </w:r>
      <w:r>
        <w:rPr>
          <w:rFonts w:ascii="Consolas" w:hAnsi="Consolas"/>
          <w:color w:val="9B1B30"/>
          <w:sz w:val="19"/>
        </w:rPr>
        <w:t>p = odds/(1+odds)</w:t>
      </w:r>
      <w:r>
        <w:t>.</w:t>
      </w:r>
    </w:p>
    <w:p>
      <w:pPr>
        <w:jc w:val="both"/>
      </w:pPr>
      <w:r>
        <w:t xml:space="preserve">La regresión logística es lineal </w:t>
      </w:r>
      <w:r>
        <w:rPr>
          <w:b/>
        </w:rPr>
        <w:t>en los log-odds</w:t>
      </w:r>
      <w:r>
        <w:t>, no en la probabilidad. Por eso sus coeficientes se interpretan en el terreno de los odds, y ahí se vuelven un mensaje claro para negocio.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OR = exp(β): la regla central</w:t>
      </w:r>
    </w:p>
    <w:p>
      <w:pPr>
        <w:jc w:val="both"/>
      </w:pPr>
      <w:r>
        <w:t xml:space="preserve">Los coeficientes de la logística viven en </w:t>
      </w:r>
      <w:r>
        <w:rPr>
          <w:b/>
        </w:rPr>
        <w:t>log-odds</w:t>
      </w:r>
      <w:r>
        <w:t xml:space="preserve"> y </w:t>
      </w:r>
      <w:r>
        <w:rPr>
          <w:b/>
        </w:rPr>
        <w:t>no</w:t>
      </w:r>
      <w:r>
        <w:t xml:space="preserve"> se leen directamente. Se </w:t>
      </w:r>
      <w:r>
        <w:rPr>
          <w:b/>
        </w:rPr>
        <w:t>exponencian</w:t>
      </w:r>
      <w:r>
        <w:t>: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Odds ratio (OR) de una variable = `exp(β)`.</w:t>
      </w:r>
      <w:r>
        <w:rPr>
          <w:color w:val="2D2D2D"/>
        </w:rPr>
        <w:t xml:space="preserve"> Es cuánto se </w:t>
      </w:r>
      <w:r>
        <w:rPr>
          <w:b/>
          <w:color w:val="2D2D2D"/>
        </w:rPr>
        <w:t>multiplican</w:t>
      </w:r>
      <w:r>
        <w:rPr>
          <w:color w:val="2D2D2D"/>
        </w:rPr>
        <w:t xml:space="preserve"> los odds del evento cuando esa variable aumenta en </w:t>
      </w:r>
      <w:r>
        <w:rPr>
          <w:b/>
          <w:color w:val="2D2D2D"/>
        </w:rPr>
        <w:t>una unidad</w:t>
      </w:r>
      <w:r>
        <w:rPr>
          <w:color w:val="2D2D2D"/>
        </w:rPr>
        <w:t>, con lo demás constante.</w:t>
      </w:r>
    </w:p>
    <w:p>
      <w:pPr>
        <w:pStyle w:val="ListBullet"/>
        <w:spacing w:after="40"/>
      </w:pPr>
      <w:r>
        <w:rPr>
          <w:b/>
        </w:rPr>
        <w:t>`OR &gt; 1`</w:t>
      </w:r>
      <w:r>
        <w:t xml:space="preserve"> → factor de </w:t>
      </w:r>
      <w:r>
        <w:rPr>
          <w:b/>
        </w:rPr>
        <w:t>riesgo</w:t>
      </w:r>
      <w:r>
        <w:t xml:space="preserve"> (aumenta los odds del evento, p. ej. más fuga).</w:t>
      </w:r>
    </w:p>
    <w:p>
      <w:pPr>
        <w:pStyle w:val="ListBullet"/>
        <w:spacing w:after="40"/>
      </w:pPr>
      <w:r>
        <w:rPr>
          <w:b/>
        </w:rPr>
        <w:t>`OR &lt; 1`</w:t>
      </w:r>
      <w:r>
        <w:t xml:space="preserve"> → factor </w:t>
      </w:r>
      <w:r>
        <w:rPr>
          <w:b/>
        </w:rPr>
        <w:t>protector</w:t>
      </w:r>
      <w:r>
        <w:t xml:space="preserve"> (reduce los odds, p. ej. menos fuga).</w:t>
      </w:r>
    </w:p>
    <w:p>
      <w:pPr>
        <w:pStyle w:val="ListBullet"/>
        <w:spacing w:after="40"/>
      </w:pPr>
      <w:r>
        <w:rPr>
          <w:b/>
        </w:rPr>
        <w:t>`OR = 1`</w:t>
      </w:r>
      <w:r>
        <w:t xml:space="preserve"> (β = 0) → sin efecto.</w:t>
      </w:r>
    </w:p>
    <w:p>
      <w:pPr>
        <w:jc w:val="both"/>
      </w:pPr>
      <w:r>
        <w:t xml:space="preserve">La frase-plantilla es siempre la misma: </w:t>
      </w:r>
      <w:r>
        <w:rPr>
          <w:b/>
        </w:rPr>
        <w:t>"el factor X multiplica por OR las odds del evento"</w:t>
      </w:r>
      <w: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Ejemplo de la sesión — factores de fuga del churn (Telco)</w:t>
      </w:r>
    </w:p>
    <w:p>
      <w:pPr>
        <w:jc w:val="both"/>
      </w:pPr>
      <w:r>
        <w:t xml:space="preserve">Del cuaderno </w:t>
      </w:r>
      <w:r>
        <w:rPr>
          <w:rFonts w:ascii="Consolas" w:hAnsi="Consolas"/>
          <w:color w:val="9B1B30"/>
          <w:sz w:val="19"/>
        </w:rPr>
        <w:t>EPE_S5_clasificacion.ipynb</w:t>
      </w:r>
      <w:r>
        <w:t xml:space="preserve"> (hoja </w:t>
      </w:r>
      <w:r>
        <w:rPr>
          <w:rFonts w:ascii="Consolas" w:hAnsi="Consolas"/>
          <w:color w:val="9B1B30"/>
          <w:sz w:val="19"/>
        </w:rPr>
        <w:t>churn_odds_ratio</w:t>
      </w:r>
      <w:r>
        <w:t xml:space="preserve"> de </w:t>
      </w:r>
      <w:r>
        <w:rPr>
          <w:rFonts w:ascii="Consolas" w:hAnsi="Consolas"/>
          <w:color w:val="9B1B30"/>
          <w:sz w:val="19"/>
        </w:rPr>
        <w:t>resultados/E05_resultados.xlsx</w:t>
      </w:r>
      <w:r>
        <w:t>), modelo compacto de fuga: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β (log-odds)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`OR = exp(β)`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IC 95 % del OR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Lectura de negocio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Contrato </w:t>
            </w:r>
            <w:r>
              <w:rPr>
                <w:b/>
                <w:sz w:val="19"/>
              </w:rPr>
              <w:t>a dos años</w:t>
            </w:r>
            <w:r>
              <w:rPr>
                <w:sz w:val="19"/>
              </w:rPr>
              <w:t xml:space="preserve"> (vs. mes a mes)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−1,70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0,18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[0,13 — 0,26]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multiplica por </w:t>
            </w:r>
            <w:r>
              <w:rPr>
                <w:b/>
                <w:sz w:val="19"/>
              </w:rPr>
              <w:t>0,18</w:t>
            </w:r>
            <w:r>
              <w:rPr>
                <w:sz w:val="19"/>
              </w:rPr>
              <w:t xml:space="preserve"> las odds de fuga: </w:t>
            </w:r>
            <w:r>
              <w:rPr>
                <w:b/>
                <w:sz w:val="19"/>
              </w:rPr>
              <w:t>fuerte factor protector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Contrato </w:t>
            </w:r>
            <w:r>
              <w:rPr>
                <w:b/>
                <w:sz w:val="19"/>
              </w:rPr>
              <w:t>a un año</w:t>
            </w:r>
            <w:r>
              <w:rPr>
                <w:sz w:val="19"/>
              </w:rPr>
              <w:t xml:space="preserve"> (vs. mes a mes)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−0,87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0,42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[0,34 — 0,52]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reduce a </w:t>
            </w:r>
            <w:r>
              <w:rPr>
                <w:b/>
                <w:sz w:val="19"/>
              </w:rPr>
              <w:t>0,42</w:t>
            </w:r>
            <w:r>
              <w:rPr>
                <w:sz w:val="19"/>
              </w:rPr>
              <w:t xml:space="preserve"> las odds de fuga frente a mes a mes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Fibra óptica</w:t>
            </w:r>
            <w:r>
              <w:rPr>
                <w:sz w:val="19"/>
              </w:rPr>
              <w:t xml:space="preserve"> (vs. DSL)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+1,05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2,85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[2,22 — 3,65]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casi triplica</w:t>
            </w:r>
            <w:r>
              <w:rPr>
                <w:sz w:val="19"/>
              </w:rPr>
              <w:t xml:space="preserve"> las odds de fuga: segmento de </w:t>
            </w:r>
            <w:r>
              <w:rPr>
                <w:b/>
                <w:sz w:val="19"/>
              </w:rPr>
              <w:t>alto riesgo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`tenure`</w:t>
            </w:r>
            <w:r>
              <w:rPr>
                <w:sz w:val="19"/>
              </w:rPr>
              <w:t xml:space="preserve"> (antigüedad, por mes)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−0,032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0,97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[0,96 — 0,97]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cada mes más reduce ~3 % las odds; </w:t>
            </w:r>
            <w:r>
              <w:rPr>
                <w:b/>
                <w:sz w:val="19"/>
              </w:rPr>
              <w:t>por año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exp(12·β) = 0,68</w:t>
            </w:r>
            <w:r>
              <w:rPr>
                <w:sz w:val="19"/>
              </w:rPr>
              <w:t xml:space="preserve"> (−32 %)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MonthlyCharges</w:t>
            </w:r>
            <w:r>
              <w:rPr>
                <w:sz w:val="19"/>
              </w:rPr>
              <w:t xml:space="preserve"> (por USD)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+0,004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1,00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[0,999 — 1,010]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su IC </w:t>
            </w:r>
            <w:r>
              <w:rPr>
                <w:b/>
                <w:sz w:val="19"/>
              </w:rPr>
              <w:t>cruza 1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es un factor por sí solo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>Variables categóricas (dummy):</w:t>
      </w:r>
      <w:r>
        <w:t xml:space="preserve"> el OR compara directamente las dos categorías; hay que decir </w:t>
      </w:r>
      <w:r>
        <w:rPr>
          <w:b/>
        </w:rPr>
        <w:t>cuál es la referencia</w:t>
      </w:r>
      <w:r>
        <w:t xml:space="preserve"> (aquí </w:t>
      </w:r>
      <w:r>
        <w:rPr>
          <w:i/>
        </w:rPr>
        <w:t>mes a mes</w:t>
      </w:r>
      <w:r>
        <w:t xml:space="preserve"> para el contrato, </w:t>
      </w:r>
      <w:r>
        <w:rPr>
          <w:i/>
        </w:rPr>
        <w:t>DSL</w:t>
      </w:r>
      <w:r>
        <w:t xml:space="preserve"> para el internet).</w:t>
      </w:r>
    </w:p>
    <w:p>
      <w:pPr>
        <w:pStyle w:val="ListBullet"/>
        <w:spacing w:after="40"/>
      </w:pPr>
      <w:r>
        <w:rPr>
          <w:b/>
        </w:rPr>
        <w:t>OR por rango:</w:t>
      </w:r>
      <w:r>
        <w:t xml:space="preserve"> el </w:t>
      </w:r>
      <w:r>
        <w:rPr>
          <w:rFonts w:ascii="Consolas" w:hAnsi="Consolas"/>
          <w:color w:val="9B1B30"/>
          <w:sz w:val="19"/>
        </w:rPr>
        <w:t>exp(β)</w:t>
      </w:r>
      <w:r>
        <w:t xml:space="preserve"> es por </w:t>
      </w:r>
      <w:r>
        <w:rPr>
          <w:b/>
        </w:rPr>
        <w:t>+1 unidad</w:t>
      </w:r>
      <w:r>
        <w:t xml:space="preserve">; para un cambio de </w:t>
      </w:r>
      <w:r>
        <w:rPr>
          <w:rFonts w:ascii="Consolas" w:hAnsi="Consolas"/>
          <w:color w:val="9B1B30"/>
          <w:sz w:val="19"/>
        </w:rPr>
        <w:t>d</w:t>
      </w:r>
      <w:r>
        <w:t xml:space="preserve"> unidades se usa </w:t>
      </w:r>
      <w:r>
        <w:rPr>
          <w:rFonts w:ascii="Consolas" w:hAnsi="Consolas"/>
          <w:color w:val="9B1B30"/>
          <w:sz w:val="19"/>
        </w:rPr>
        <w:t>exp(d·β)</w:t>
      </w:r>
      <w:r>
        <w:t xml:space="preserve"> (los efectos se </w:t>
      </w:r>
      <w:r>
        <w:rPr>
          <w:b/>
        </w:rPr>
        <w:t>multiplican</w:t>
      </w:r>
      <w:r>
        <w:t xml:space="preserve">). Por eso "por año" de </w:t>
      </w:r>
      <w:r>
        <w:rPr>
          <w:rFonts w:ascii="Consolas" w:hAnsi="Consolas"/>
          <w:color w:val="9B1B30"/>
          <w:sz w:val="19"/>
        </w:rPr>
        <w:t>tenure</w:t>
      </w:r>
      <w:r>
        <w:t xml:space="preserve"> es </w:t>
      </w:r>
      <w:r>
        <w:rPr>
          <w:rFonts w:ascii="Consolas" w:hAnsi="Consolas"/>
          <w:color w:val="9B1B30"/>
          <w:sz w:val="19"/>
        </w:rPr>
        <w:t>exp(12·β)</w:t>
      </w:r>
      <w:r>
        <w:t xml:space="preserve">, no </w:t>
      </w:r>
      <w:r>
        <w:rPr>
          <w:rFonts w:ascii="Consolas" w:hAnsi="Consolas"/>
          <w:color w:val="9B1B30"/>
          <w:sz w:val="19"/>
        </w:rPr>
        <w:t>12·OR</w:t>
      </w:r>
      <w: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Errores de lectura que se deben evitar</w:t>
      </w:r>
    </w:p>
    <w:p>
      <w:pPr>
        <w:pStyle w:val="ListBullet"/>
        <w:spacing w:after="40"/>
      </w:pPr>
      <w:r>
        <w:rPr>
          <w:b/>
        </w:rPr>
        <w:t>OR ≠ probabilidad.</w:t>
      </w:r>
      <w:r>
        <w:t xml:space="preserve"> Un OR de 0,18 </w:t>
      </w:r>
      <w:r>
        <w:rPr>
          <w:b/>
        </w:rPr>
        <w:t>no</w:t>
      </w:r>
      <w:r>
        <w:t xml:space="preserve"> es "−82 % de probabilidad"; es "×0,18 en las </w:t>
      </w:r>
      <w:r>
        <w:rPr>
          <w:b/>
        </w:rPr>
        <w:t>odds</w:t>
      </w:r>
      <w:r>
        <w:t>". La traducción a probabilidad depende del nivel base (la sigmoide es no lineal).</w:t>
      </w:r>
    </w:p>
    <w:p>
      <w:pPr>
        <w:pStyle w:val="ListBullet"/>
        <w:spacing w:after="40"/>
      </w:pPr>
      <w:r>
        <w:rPr>
          <w:b/>
        </w:rPr>
        <w:t>Intervalo de confianza del OR</w:t>
      </w:r>
      <w:r>
        <w:t xml:space="preserve"> = </w:t>
      </w:r>
      <w:r>
        <w:rPr>
          <w:rFonts w:ascii="Consolas" w:hAnsi="Consolas"/>
          <w:color w:val="9B1B30"/>
          <w:sz w:val="19"/>
        </w:rPr>
        <w:t>exp</w:t>
      </w:r>
      <w:r>
        <w:t xml:space="preserve"> de los límites del IC del coeficiente. Si el IC del OR </w:t>
      </w:r>
      <w:r>
        <w:rPr>
          <w:b/>
        </w:rPr>
        <w:t>cruza 1</w:t>
      </w:r>
      <w:r>
        <w:t xml:space="preserve">, el efecto </w:t>
      </w:r>
      <w:r>
        <w:rPr>
          <w:b/>
        </w:rPr>
        <w:t>no</w:t>
      </w:r>
      <w:r>
        <w:t xml:space="preserve"> es estadísticamente significativo (caso </w:t>
      </w:r>
      <w:r>
        <w:rPr>
          <w:rFonts w:ascii="Consolas" w:hAnsi="Consolas"/>
          <w:color w:val="9B1B30"/>
          <w:sz w:val="19"/>
        </w:rPr>
        <w:t>MonthlyCharges</w:t>
      </w:r>
      <w:r>
        <w:t>).</w:t>
      </w:r>
    </w:p>
    <w:p>
      <w:pPr>
        <w:pStyle w:val="ListBullet"/>
        <w:spacing w:after="40"/>
      </w:pPr>
      <w:r>
        <w:rPr>
          <w:b/>
        </w:rPr>
        <w:t>OR ≠ causa.</w:t>
      </w:r>
      <w:r>
        <w:t xml:space="preserve"> El OR es una </w:t>
      </w:r>
      <w:r>
        <w:rPr>
          <w:b/>
        </w:rPr>
        <w:t>asociación</w:t>
      </w:r>
      <w:r>
        <w:t xml:space="preserve"> dentro del modelo, no un efecto causal (puede haber factores no medidos). Se comunica como </w:t>
      </w:r>
      <w:r>
        <w:rPr>
          <w:b/>
        </w:rPr>
        <w:t>"factor de riesgo/retención asociado"</w:t>
      </w:r>
      <w:r>
        <w:t xml:space="preserve">. Para decidir una intervención se valida con un experimento </w:t>
      </w:r>
      <w:r>
        <w:rPr>
          <w:b/>
        </w:rPr>
        <w:t>A/B</w:t>
      </w:r>
      <w:r>
        <w:t xml:space="preserve"> (E1); la estimación causal formal es de E6.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Frases-plantilla listas para gerencia</w:t>
      </w:r>
    </w:p>
    <w:p>
      <w:pPr>
        <w:pStyle w:val="ListBullet"/>
        <w:spacing w:after="40"/>
      </w:pPr>
      <w:r>
        <w:t xml:space="preserve">"Los clientes </w:t>
      </w:r>
      <w:r>
        <w:rPr>
          <w:b/>
        </w:rPr>
        <w:t>con contrato a dos años</w:t>
      </w:r>
      <w:r>
        <w:t xml:space="preserve"> tienen </w:t>
      </w:r>
      <w:r>
        <w:rPr>
          <w:b/>
        </w:rPr>
        <w:t>0,18 veces</w:t>
      </w:r>
      <w:r>
        <w:t xml:space="preserve"> las odds de fuga frente a los de </w:t>
      </w:r>
      <w:r>
        <w:rPr>
          <w:b/>
        </w:rPr>
        <w:t>mes a mes</w:t>
      </w:r>
      <w:r>
        <w:t>: migrar a contratos largos es la palanca de retención más fuerte."</w:t>
      </w:r>
    </w:p>
    <w:p>
      <w:pPr>
        <w:pStyle w:val="ListBullet"/>
        <w:spacing w:after="40"/>
      </w:pPr>
      <w:r>
        <w:t xml:space="preserve">"Por </w:t>
      </w:r>
      <w:r>
        <w:rPr>
          <w:b/>
        </w:rPr>
        <w:t>cada año</w:t>
      </w:r>
      <w:r>
        <w:t xml:space="preserve"> adicional de antigüedad, las odds de fuga se multiplican por </w:t>
      </w:r>
      <w:r>
        <w:rPr>
          <w:b/>
        </w:rPr>
        <w:t>0,68</w:t>
      </w:r>
      <w:r>
        <w:t xml:space="preserve"> (≈ −32 %): los primeros meses son los críticos."</w:t>
      </w:r>
    </w:p>
    <w:p>
      <w:pPr>
        <w:pStyle w:val="ListBullet"/>
        <w:spacing w:after="40"/>
      </w:pPr>
      <w:r>
        <w:t xml:space="preserve">"Los clientes de </w:t>
      </w:r>
      <w:r>
        <w:rPr>
          <w:b/>
        </w:rPr>
        <w:t>fibra óptica</w:t>
      </w:r>
      <w:r>
        <w:t xml:space="preserve"> tienen </w:t>
      </w:r>
      <w:r>
        <w:rPr>
          <w:b/>
        </w:rPr>
        <w:t>2,85 veces</w:t>
      </w:r>
      <w:r>
        <w:t xml:space="preserve"> las odds de fuga frente a los de DSL: es un segmento de alto riesgo, foco de campañas."</w:t>
      </w:r>
    </w:p>
    <w:p>
      <w:pPr>
        <w:pStyle w:val="ListBullet"/>
        <w:spacing w:after="40"/>
      </w:pPr>
      <w:r>
        <w:t xml:space="preserve">Cierre de prudencia: "Estos son factores de riesgo </w:t>
      </w:r>
      <w:r>
        <w:rPr>
          <w:b/>
        </w:rPr>
        <w:t>asociados</w:t>
      </w:r>
      <w:r>
        <w:t>, no relaciones causales probadas; para decidir una intervención se valida con un experimento (A/B)."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guía se aplica sobre los coeficientes del modelo de churn del cuaderno </w:t>
      </w:r>
      <w:r>
        <w:rPr>
          <w:rFonts w:ascii="Consolas" w:hAnsi="Consolas"/>
          <w:color w:val="2D2D2D"/>
          <w:sz w:val="19"/>
        </w:rPr>
        <w:t>notebook/EPE_S5_clasificacion.ipynb</w:t>
      </w:r>
      <w:r>
        <w:rPr>
          <w:color w:val="2D2D2D"/>
        </w:rPr>
        <w:t xml:space="preserve"> (hoja </w:t>
      </w:r>
      <w:r>
        <w:rPr>
          <w:rFonts w:ascii="Consolas" w:hAnsi="Consolas"/>
          <w:color w:val="2D2D2D"/>
          <w:sz w:val="19"/>
        </w:rPr>
        <w:t>churn_odds_ratio</w:t>
      </w:r>
      <w:r>
        <w:rPr>
          <w:color w:val="2D2D2D"/>
        </w:rPr>
        <w:t xml:space="preserve"> de </w:t>
      </w:r>
      <w:r>
        <w:rPr>
          <w:rFonts w:ascii="Consolas" w:hAnsi="Consolas"/>
          <w:color w:val="2D2D2D"/>
          <w:sz w:val="19"/>
        </w:rPr>
        <w:t>resultados/E05_resultados.xlsx</w:t>
      </w:r>
      <w:r>
        <w:rPr>
          <w:color w:val="2D2D2D"/>
        </w:rPr>
        <w:t xml:space="preserve">). Sustenta el </w:t>
      </w:r>
      <w:r>
        <w:rPr>
          <w:b/>
          <w:color w:val="2D2D2D"/>
        </w:rPr>
        <w:t>drill 1</w:t>
      </w:r>
      <w:r>
        <w:rPr>
          <w:color w:val="2D2D2D"/>
        </w:rPr>
        <w:t xml:space="preserve"> (convertir un coeficiente logístico a probabilidad/odds e interpretarlo) y la interpretación del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. Se complementa con </w:t>
      </w:r>
      <w:r>
        <w:rPr>
          <w:rFonts w:ascii="Consolas" w:hAnsi="Consolas"/>
          <w:color w:val="2D2D2D"/>
          <w:sz w:val="19"/>
        </w:rPr>
        <w:t>plantillas/evaluacion_clasificador.docx</w:t>
      </w:r>
      <w:r>
        <w:rPr>
          <w:color w:val="2D2D2D"/>
        </w:rPr>
        <w:t xml:space="preserve"> (ROC/AUC, umbral por costo). Fuentes: Hosmer, Lemeshow &amp; Sturdivant (2013) cap. 3; ISLR Sección 4.3.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Guía de 1 página: interpretar el odds ratio ante una audiencia de negocio (EPE)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