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7A1526"/>
          <w:spacing w:val="40"/>
          <w:sz w:val="15"/>
          <w:szCs w:val="15"/>
        </w:rPr>
        <w:t xml:space="preserve">UPC · FACULTAD DE NEGOCIOS · MODALIDAD EPE</w:t>
      </w:r>
    </w:p>
    <w:p>
      <w:pPr>
        <w:spacing w:after="40"/>
      </w:pPr>
      <w:r>
        <w:rPr>
          <w:rFonts w:ascii="Cambria" w:cs="Cambria" w:eastAsia="Cambria" w:hAnsi="Cambria"/>
          <w:b/>
          <w:bCs/>
          <w:color w:val="2D2D2D"/>
          <w:sz w:val="36"/>
          <w:szCs w:val="36"/>
        </w:rPr>
        <w:t xml:space="preserve">Drills — Sesión EPE E6</w:t>
      </w:r>
    </w:p>
    <w:p>
      <w:pPr>
        <w:pBdr>
          <w:bottom w:val="single" w:color="E4002B" w:sz="18" w:space="10"/>
        </w:pBdr>
        <w:spacing w:after="160"/>
      </w:pPr>
      <w:r>
        <w:rPr>
          <w:rFonts w:ascii="Cambria" w:cs="Cambria" w:eastAsia="Cambria" w:hAnsi="Cambria"/>
          <w:color w:val="7A1526"/>
          <w:sz w:val="28"/>
          <w:szCs w:val="28"/>
        </w:rPr>
        <w:t xml:space="preserve">Pronosticar el futuro y entender el porqué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200"/>
        <w:gridCol w:w="7880"/>
      </w:tblGrid>
      <w:tr>
        <w:tc>
          <w:tcPr>
            <w:tcW w:type="dxa" w:w="22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CURSO</w:t>
            </w:r>
          </w:p>
        </w:tc>
        <w:tc>
          <w:tcPr>
            <w:tcW w:type="dxa" w:w="78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Herramientas para la Ciencia de Datos · Modalidad EPE · Sesión E6 · Drills (ejercicios cortos) · Material del estudiante</w:t>
            </w:r>
          </w:p>
        </w:tc>
      </w:tr>
      <w:tr>
        <w:tc>
          <w:tcPr>
            <w:tcW w:type="dxa" w:w="22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MODALIDAD</w:t>
            </w:r>
          </w:p>
        </w:tc>
        <w:tc>
          <w:tcPr>
            <w:tcW w:type="dxa" w:w="78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Se resuelven en parejas · entrega individual</w:t>
            </w:r>
          </w:p>
        </w:tc>
      </w:tr>
      <w:tr>
        <w:tc>
          <w:tcPr>
            <w:tcW w:type="dxa" w:w="22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CALIFICACIÓN</w:t>
            </w:r>
          </w:p>
        </w:tc>
        <w:tc>
          <w:tcPr>
            <w:tcW w:type="dxa" w:w="78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El desempeño se refuerza en el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control corto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y se evalúa de forma integral en el entregable (</w:t>
            </w:r>
            <w:r>
              <w:rPr>
                <w:rFonts w:ascii="Consolas" w:cs="Consolas" w:eastAsia="Consolas" w:hAnsi="Consolas"/>
                <w:color w:val="7A1526"/>
                <w:sz w:val="17"/>
                <w:szCs w:val="17"/>
              </w:rPr>
              <w:t xml:space="preserve">evaluacion/entregable.docx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)</w:t>
            </w:r>
          </w:p>
        </w:tc>
      </w:tr>
      <w:tr>
        <w:tc>
          <w:tcPr>
            <w:tcW w:type="dxa" w:w="22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CUADERNO</w:t>
            </w:r>
          </w:p>
        </w:tc>
        <w:tc>
          <w:tcPr>
            <w:tcW w:type="dxa" w:w="78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onsolas" w:cs="Consolas" w:eastAsia="Consolas" w:hAnsi="Consolas"/>
                <w:color w:val="7A1526"/>
                <w:sz w:val="17"/>
                <w:szCs w:val="17"/>
              </w:rPr>
              <w:t xml:space="preserve">notebook/EPE_S6_series_causal.ipynb</w:t>
            </w:r>
          </w:p>
        </w:tc>
      </w:tr>
    </w:tbl>
    <w:p>
      <w:pPr>
        <w:spacing w:after="150"/>
      </w:pPr>
    </w:p>
    <w:p>
      <w:pPr>
        <w:spacing w:after="180" w:line="265"/>
      </w:pPr>
      <w:r>
        <w:rPr>
          <w:rFonts w:ascii="Cambria" w:cs="Cambria" w:eastAsia="Cambria" w:hAnsi="Cambria"/>
          <w:color w:val="3A3A3A"/>
          <w:sz w:val="18"/>
          <w:szCs w:val="18"/>
        </w:rPr>
        <w:t xml:space="preserve">Tres ejercicios de práctica de la Sesión E6 (Pronosticar el futuro y entender el porqué). Se resuelven en parejas; la entrega es individual. </w:t>
      </w:r>
      <w:r>
        <w:rPr>
          <w:rFonts w:ascii="Cambria" w:cs="Cambria" w:eastAsia="Cambria" w:hAnsi="Cambria"/>
          <w:b/>
          <w:bCs/>
          <w:color w:val="3A3A3A"/>
          <w:sz w:val="18"/>
          <w:szCs w:val="18"/>
        </w:rPr>
        <w:t xml:space="preserve">Material de apoyo: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 el cuaderno </w:t>
      </w:r>
      <w:r>
        <w:rPr>
          <w:rFonts w:ascii="Consolas" w:cs="Consolas" w:eastAsia="Consolas" w:hAnsi="Consolas"/>
          <w:color w:val="7A1526"/>
          <w:sz w:val="16"/>
          <w:szCs w:val="16"/>
        </w:rPr>
        <w:t xml:space="preserve">notebook/EPE_S6_series_causal.ipynb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, la </w:t>
      </w:r>
      <w:r>
        <w:rPr>
          <w:rFonts w:ascii="Consolas" w:cs="Consolas" w:eastAsia="Consolas" w:hAnsi="Consolas"/>
          <w:color w:val="7A1526"/>
          <w:sz w:val="16"/>
          <w:szCs w:val="16"/>
        </w:rPr>
        <w:t xml:space="preserve">plantillas/plantilla_pronostico.docx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 (Drill 1–2) y la </w:t>
      </w:r>
      <w:r>
        <w:rPr>
          <w:rFonts w:ascii="Consolas" w:cs="Consolas" w:eastAsia="Consolas" w:hAnsi="Consolas"/>
          <w:color w:val="7A1526"/>
          <w:sz w:val="16"/>
          <w:szCs w:val="16"/>
        </w:rPr>
        <w:t xml:space="preserve">plantillas/guia_correlacion_causalidad.docx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 (contexto del Drill 2). El entregable evaluable de la sesión está en </w:t>
      </w:r>
      <w:r>
        <w:rPr>
          <w:rFonts w:ascii="Consolas" w:cs="Consolas" w:eastAsia="Consolas" w:hAnsi="Consolas"/>
          <w:color w:val="7A1526"/>
          <w:sz w:val="16"/>
          <w:szCs w:val="16"/>
        </w:rPr>
        <w:t xml:space="preserve">evaluacion/entregable.docx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.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A1526" w:color="auto" w:val="clear"/>
            <w:tcMar>
              <w:top w:type="dxa" w:w="180"/>
              <w:left w:type="dxa" w:w="150"/>
              <w:bottom w:type="dxa" w:w="180"/>
              <w:right w:type="dxa" w:w="15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30"/>
                <w:sz w:val="15"/>
                <w:szCs w:val="15"/>
              </w:rPr>
              <w:t xml:space="preserve">OBJETIVO DE LOS DRILLS</w:t>
            </w:r>
          </w:p>
          <w:p>
            <w:pPr>
              <w:spacing w:line="280"/>
            </w:pPr>
            <w:r>
              <w:rPr>
                <w:rFonts w:ascii="Cambria" w:cs="Cambria" w:eastAsia="Cambria" w:hAnsi="Cambria"/>
                <w:color w:val="FFFFFF"/>
                <w:sz w:val="21"/>
                <w:szCs w:val="21"/>
              </w:rPr>
              <w:t xml:space="preserve">Practicar, en ejercicios cortos, las destrezas que evalúa el entregable de la sesión: leer el intervalo de un pronóstico y traducirlo a una decisión de inventario, validar un modelo sin fuga temporal y compararlo contra la línea base, y leer una curva de retención con su CLV para priorizar una acción de negocio.</w:t>
            </w:r>
          </w:p>
        </w:tc>
      </w:tr>
    </w:tbl>
    <w:p>
      <w:pPr>
        <w:spacing w:after="200"/>
      </w:pPr>
    </w:p>
    <w:p>
      <w:pPr>
        <w:keepNext/>
        <w:spacing w:after="110" w:before="240"/>
      </w:pPr>
      <w:r>
        <w:rPr>
          <w:rFonts w:ascii="Calibri" w:cs="Calibri" w:eastAsia="Calibri" w:hAnsi="Calibri"/>
          <w:b/>
          <w:bCs/>
          <w:color w:val="7A1526"/>
          <w:sz w:val="21"/>
          <w:szCs w:val="21"/>
        </w:rPr>
        <w:t xml:space="preserve">Contenido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500"/>
        <w:gridCol w:w="6180"/>
        <w:gridCol w:w="2400"/>
      </w:tblGrid>
      <w:tr>
        <w:tc>
          <w:tcPr>
            <w:tcW w:type="dxa" w:w="15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7"/>
                <w:szCs w:val="17"/>
              </w:rPr>
              <w:t xml:space="preserve">Drill 1</w:t>
            </w:r>
          </w:p>
        </w:tc>
        <w:tc>
          <w:tcPr>
            <w:tcW w:type="dxa" w:w="61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Generar un pronóstico a 12 meses y leer sus intervalos</w:t>
            </w:r>
          </w:p>
        </w:tc>
        <w:tc>
          <w:tcPr>
            <w:tcW w:type="dxa" w:w="24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6E6E6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7"/>
                <w:szCs w:val="17"/>
              </w:rPr>
              <w:t xml:space="preserve">Drill 2</w:t>
            </w:r>
          </w:p>
        </w:tc>
        <w:tc>
          <w:tcPr>
            <w:tcW w:type="dxa" w:w="61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Validar con datos retenidos y comparar dos métodos</w:t>
            </w:r>
          </w:p>
        </w:tc>
        <w:tc>
          <w:tcPr>
            <w:tcW w:type="dxa" w:w="24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6E6E6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7"/>
                <w:szCs w:val="17"/>
              </w:rPr>
              <w:t xml:space="preserve">Drill 3</w:t>
            </w:r>
          </w:p>
        </w:tc>
        <w:tc>
          <w:tcPr>
            <w:tcW w:type="dxa" w:w="61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Construir una curva de retención y comparar dos segmentos</w:t>
            </w:r>
          </w:p>
        </w:tc>
        <w:tc>
          <w:tcPr>
            <w:tcW w:type="dxa" w:w="24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6E6E6E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220"/>
      </w:pP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7A1526"/>
          <w:sz w:val="24"/>
          <w:szCs w:val="24"/>
        </w:rPr>
        <w:t xml:space="preserve">1.  </w:t>
      </w:r>
      <w:r>
        <w:rPr>
          <w:rFonts w:ascii="Calibri" w:cs="Calibri" w:eastAsia="Calibri" w:hAnsi="Calibri"/>
          <w:b/>
          <w:bCs/>
          <w:color w:val="7A1526"/>
          <w:spacing w:val="20"/>
          <w:sz w:val="24"/>
          <w:szCs w:val="24"/>
        </w:rPr>
        <w:t xml:space="preserve">DRILL 1 — GENERAR UN PRONÓSTICO A 12 MESES Y LEER SUS INTERVALOS</w:t>
      </w:r>
    </w:p>
    <w:p>
      <w:pPr>
        <w:keepNext/>
        <w:pBdr>
          <w:bottom w:val="single" w:color="E4002B" w:sz="14" w:space="8"/>
        </w:pBdr>
        <w:spacing w:after="140"/>
      </w:pPr>
      <w:r>
        <w:rPr>
          <w:rFonts w:ascii="Cambria" w:cs="Cambria" w:eastAsia="Cambria" w:hAnsi="Cambria"/>
          <w:i/>
          <w:iCs/>
          <w:color w:val="6E6E6E"/>
          <w:sz w:val="19"/>
          <w:szCs w:val="19"/>
        </w:rPr>
        <w:t xml:space="preserve"/>
      </w:r>
      <w:r>
        <w:rPr>
          <w:rFonts w:ascii="Cambria" w:cs="Cambria" w:eastAsia="Cambria" w:hAnsi="Cambria"/>
          <w:b/>
          <w:bCs/>
          <w:color w:val="7A1526"/>
          <w:sz w:val="19"/>
          <w:szCs w:val="19"/>
        </w:rPr>
        <w:t xml:space="preserve"/>
      </w:r>
    </w:p>
    <w:p>
      <w:pPr>
        <w:spacing w:line="270"/>
      </w:pPr>
      <w:r>
        <w:rPr>
          <w:rFonts w:ascii="Cambria" w:cs="Cambria" w:eastAsia="Cambria" w:hAnsi="Cambria"/>
          <w:color w:val="2D2D2D"/>
          <w:sz w:val="20"/>
          <w:szCs w:val="20"/>
        </w:rPr>
        <w:t xml:space="preserve">Con la serie mensual de demanda (tienda 1, producto 1) ya cargada en el cuaderno, el pronóstico a 12 meses del suavizamiento exponencial arroja, entre otros: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00"/>
        <w:gridCol w:w="9380"/>
      </w:tblGrid>
      <w:tr>
        <w:tc>
          <w:tcPr>
            <w:tcW w:type="dxa" w:w="7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20"/>
                <w:szCs w:val="20"/>
              </w:rPr>
              <w:t xml:space="preserve">1.</w:t>
            </w:r>
          </w:p>
        </w:tc>
        <w:tc>
          <w:tcPr>
            <w:tcW w:type="dxa" w:w="93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265"/>
            </w:pP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Mes 1: pronóstico ≈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509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unidades, intervalo 95 %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[449, 570]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.</w:t>
            </w:r>
          </w:p>
        </w:tc>
      </w:tr>
      <w:tr>
        <w:tc>
          <w:tcPr>
            <w:tcW w:type="dxa" w:w="7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20"/>
                <w:szCs w:val="20"/>
              </w:rPr>
              <w:t xml:space="preserve">2.</w:t>
            </w:r>
          </w:p>
        </w:tc>
        <w:tc>
          <w:tcPr>
            <w:tcW w:type="dxa" w:w="93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265"/>
            </w:pP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Mes 12: pronóstico ≈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578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unidades, intervalo 95 %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[482, 674]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.</w:t>
            </w:r>
          </w:p>
        </w:tc>
      </w:tr>
    </w:tbl>
    <w:p>
      <w:pPr>
        <w:spacing w:after="220"/>
      </w:pPr>
    </w:p>
    <w:p>
      <w:pPr>
        <w:spacing w:line="270"/>
      </w:pPr>
      <w:r>
        <w:rPr>
          <w:rFonts w:ascii="Cambria" w:cs="Cambria" w:eastAsia="Cambria" w:hAnsi="Cambria"/>
          <w:color w:val="2D2D2D"/>
          <w:sz w:val="20"/>
          <w:szCs w:val="20"/>
        </w:rPr>
        <w:t xml:space="preserve">Se pide: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00"/>
        <w:gridCol w:w="9380"/>
      </w:tblGrid>
      <w:tr>
        <w:tc>
          <w:tcPr>
            <w:tcW w:type="dxa" w:w="7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20"/>
                <w:szCs w:val="20"/>
              </w:rPr>
              <w:t xml:space="preserve">1.</w:t>
            </w:r>
          </w:p>
        </w:tc>
        <w:tc>
          <w:tcPr>
            <w:tcW w:type="dxa" w:w="93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265"/>
            </w:pP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Indicar el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ancho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del intervalo en el mes 1 y en el mes 12, dar el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semiancho (±)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—la mitad— y explicar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por qué crece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.</w:t>
            </w:r>
          </w:p>
        </w:tc>
      </w:tr>
      <w:tr>
        <w:tc>
          <w:tcPr>
            <w:tcW w:type="dxa" w:w="7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20"/>
                <w:szCs w:val="20"/>
              </w:rPr>
              <w:t xml:space="preserve">2.</w:t>
            </w:r>
          </w:p>
        </w:tc>
        <w:tc>
          <w:tcPr>
            <w:tcW w:type="dxa" w:w="93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265"/>
            </w:pP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Si el objetivo es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no quedarse sin stock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en un mes pico, ¿qué límite del intervalo se usa para dimensionar el inventario, el inferior o el superior?</w:t>
            </w:r>
          </w:p>
        </w:tc>
      </w:tr>
      <w:tr>
        <w:tc>
          <w:tcPr>
            <w:tcW w:type="dxa" w:w="7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20"/>
                <w:szCs w:val="20"/>
              </w:rPr>
              <w:t xml:space="preserve">3.</w:t>
            </w:r>
          </w:p>
        </w:tc>
        <w:tc>
          <w:tcPr>
            <w:tcW w:type="dxa" w:w="93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265"/>
            </w:pP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Una gerente pide «el número» del pronóstico sin intervalo: explicar en una línea por qué eso es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insuficiente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para decidir.</w:t>
            </w:r>
          </w:p>
        </w:tc>
      </w:tr>
      <w:tr>
        <w:tc>
          <w:tcPr>
            <w:tcW w:type="dxa" w:w="7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20"/>
                <w:szCs w:val="20"/>
              </w:rPr>
              <w:t xml:space="preserve">4.</w:t>
            </w:r>
          </w:p>
        </w:tc>
        <w:tc>
          <w:tcPr>
            <w:tcW w:type="dxa" w:w="93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265"/>
            </w:pP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Newsvendor en dinero: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si cada unidad faltante cuesta </w:t>
            </w:r>
            <w:r>
              <w:rPr>
                <w:rFonts w:ascii="Consolas" w:cs="Consolas" w:eastAsia="Consolas" w:hAnsi="Consolas"/>
                <w:color w:val="7A1526"/>
                <w:sz w:val="17"/>
                <w:szCs w:val="17"/>
              </w:rPr>
              <w:t xml:space="preserve">Cu = 8 USD/u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y cada unidad sobrante cuesta </w:t>
            </w:r>
            <w:r>
              <w:rPr>
                <w:rFonts w:ascii="Consolas" w:cs="Consolas" w:eastAsia="Consolas" w:hAnsi="Consolas"/>
                <w:color w:val="7A1526"/>
                <w:sz w:val="17"/>
                <w:szCs w:val="17"/>
              </w:rPr>
              <w:t xml:space="preserve">Co = 2 USD/u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, calcular el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ratio crítico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7A1526"/>
                <w:sz w:val="17"/>
                <w:szCs w:val="17"/>
              </w:rPr>
              <w:t xml:space="preserve">Cu/(Cu+Co)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, decir qué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nivel de servicio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implica y hacia qué límite del intervalo empuja el stock objetivo.</w:t>
            </w:r>
          </w:p>
        </w:tc>
      </w:tr>
    </w:tbl>
    <w:p>
      <w:r>
        <w:br w:type="page"/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7A1526"/>
          <w:sz w:val="24"/>
          <w:szCs w:val="24"/>
        </w:rPr>
        <w:t xml:space="preserve">2.  </w:t>
      </w:r>
      <w:r>
        <w:rPr>
          <w:rFonts w:ascii="Calibri" w:cs="Calibri" w:eastAsia="Calibri" w:hAnsi="Calibri"/>
          <w:b/>
          <w:bCs/>
          <w:color w:val="7A1526"/>
          <w:spacing w:val="20"/>
          <w:sz w:val="24"/>
          <w:szCs w:val="24"/>
        </w:rPr>
        <w:t xml:space="preserve">DRILL 2 — VALIDAR CON DATOS RETENIDOS Y COMPARAR DOS MÉTODOS</w:t>
      </w:r>
    </w:p>
    <w:p>
      <w:pPr>
        <w:keepNext/>
        <w:pBdr>
          <w:bottom w:val="single" w:color="E4002B" w:sz="14" w:space="8"/>
        </w:pBdr>
        <w:spacing w:after="140"/>
      </w:pPr>
      <w:r>
        <w:rPr>
          <w:rFonts w:ascii="Cambria" w:cs="Cambria" w:eastAsia="Cambria" w:hAnsi="Cambria"/>
          <w:i/>
          <w:iCs/>
          <w:color w:val="6E6E6E"/>
          <w:sz w:val="19"/>
          <w:szCs w:val="19"/>
        </w:rPr>
        <w:t xml:space="preserve"/>
      </w:r>
      <w:r>
        <w:rPr>
          <w:rFonts w:ascii="Cambria" w:cs="Cambria" w:eastAsia="Cambria" w:hAnsi="Cambria"/>
          <w:b/>
          <w:bCs/>
          <w:color w:val="7A1526"/>
          <w:sz w:val="19"/>
          <w:szCs w:val="19"/>
        </w:rPr>
        <w:t xml:space="preserve"/>
      </w:r>
    </w:p>
    <w:p>
      <w:pPr>
        <w:spacing w:line="270"/>
      </w:pPr>
      <w:r>
        <w:rPr>
          <w:rFonts w:ascii="Cambria" w:cs="Cambria" w:eastAsia="Cambria" w:hAnsi="Cambria"/>
          <w:color w:val="2D2D2D"/>
          <w:sz w:val="20"/>
          <w:szCs w:val="20"/>
        </w:rPr>
        <w:t xml:space="preserve">En la validación con holdout (últimos 12 meses) del cuaderno, el error fue:</w:t>
      </w:r>
    </w:p>
    <w:p>
      <w:pPr>
        <w:spacing w:after="22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Modelo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sMAPE (%)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MAPE (%)</w:t>
            </w:r>
          </w:p>
        </w:tc>
      </w:tr>
      <w:tr>
        <w:tc>
          <w:tcPr>
            <w:tcW w:type="dxa" w:w="336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8"/>
                <w:szCs w:val="18"/>
              </w:rPr>
              <w:t xml:space="preserve">Naive estacional (línea base)</w:t>
            </w:r>
          </w:p>
        </w:tc>
        <w:tc>
          <w:tcPr>
            <w:tcW w:type="dxa" w:w="336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5,10</w:t>
            </w:r>
          </w:p>
        </w:tc>
        <w:tc>
          <w:tcPr>
            <w:tcW w:type="dxa" w:w="336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D2D"/>
                <w:sz w:val="18"/>
                <w:szCs w:val="18"/>
              </w:rPr>
              <w:t xml:space="preserve">5,00</w:t>
            </w:r>
          </w:p>
        </w:tc>
      </w:tr>
      <w:tr>
        <w:tc>
          <w:tcPr>
            <w:tcW w:type="dxa" w:w="336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8"/>
                <w:szCs w:val="18"/>
              </w:rPr>
              <w:t xml:space="preserve">Suavizamiento exponencial (Holt-Winters)</w:t>
            </w:r>
          </w:p>
        </w:tc>
        <w:tc>
          <w:tcPr>
            <w:tcW w:type="dxa" w:w="336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D2D"/>
                <w:sz w:val="18"/>
                <w:szCs w:val="18"/>
              </w:rPr>
              <w:t xml:space="preserve">4,92</w:t>
            </w:r>
          </w:p>
        </w:tc>
        <w:tc>
          <w:tcPr>
            <w:tcW w:type="dxa" w:w="336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5,08</w:t>
            </w:r>
          </w:p>
        </w:tc>
      </w:tr>
      <w:tr>
        <w:tc>
          <w:tcPr>
            <w:tcW w:type="dxa" w:w="336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8"/>
                <w:szCs w:val="18"/>
              </w:rPr>
              <w:t xml:space="preserve">Prophet</w:t>
            </w:r>
          </w:p>
        </w:tc>
        <w:tc>
          <w:tcPr>
            <w:tcW w:type="dxa" w:w="336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8,31</w:t>
            </w:r>
          </w:p>
        </w:tc>
        <w:tc>
          <w:tcPr>
            <w:tcW w:type="dxa" w:w="336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8,84</w:t>
            </w:r>
          </w:p>
        </w:tc>
      </w:tr>
    </w:tbl>
    <w:p>
      <w:pPr>
        <w:spacing w:after="220"/>
      </w:pPr>
    </w:p>
    <w:p>
      <w:pPr>
        <w:spacing w:line="270"/>
      </w:pPr>
      <w:r>
        <w:rPr>
          <w:rFonts w:ascii="Cambria" w:cs="Cambria" w:eastAsia="Cambria" w:hAnsi="Cambria"/>
          <w:color w:val="2D2D2D"/>
          <w:sz w:val="20"/>
          <w:szCs w:val="20"/>
        </w:rPr>
        <w:t xml:space="preserve">Responder: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00"/>
        <w:gridCol w:w="9380"/>
      </w:tblGrid>
      <w:tr>
        <w:tc>
          <w:tcPr>
            <w:tcW w:type="dxa" w:w="7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20"/>
                <w:szCs w:val="20"/>
              </w:rPr>
              <w:t xml:space="preserve">1.</w:t>
            </w:r>
          </w:p>
        </w:tc>
        <w:tc>
          <w:tcPr>
            <w:tcW w:type="dxa" w:w="93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265"/>
            </w:pP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Por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sMAPE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queda por delante Holt-Winters, pero por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MAPE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queda por delante el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naive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: ¿se puede declarar a Holt-Winters «campeón» que supera al naive? Justificar con el concepto de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empate dentro del ruido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(un único holdout, diferencia ~0,18 pp).</w:t>
            </w:r>
          </w:p>
        </w:tc>
      </w:tr>
      <w:tr>
        <w:tc>
          <w:tcPr>
            <w:tcW w:type="dxa" w:w="7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20"/>
                <w:szCs w:val="20"/>
              </w:rPr>
              <w:t xml:space="preserve">2.</w:t>
            </w:r>
          </w:p>
        </w:tc>
        <w:tc>
          <w:tcPr>
            <w:tcW w:type="dxa" w:w="93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265"/>
            </w:pP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Prophet es la herramienta «más moderna» y sin embargo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no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supera a los demás aquí: ¿qué lección de negocio se extrae?</w:t>
            </w:r>
          </w:p>
        </w:tc>
      </w:tr>
      <w:tr>
        <w:tc>
          <w:tcPr>
            <w:tcW w:type="dxa" w:w="7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20"/>
                <w:szCs w:val="20"/>
              </w:rPr>
              <w:t xml:space="preserve">3.</w:t>
            </w:r>
          </w:p>
        </w:tc>
        <w:tc>
          <w:tcPr>
            <w:tcW w:type="dxa" w:w="93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265"/>
            </w:pP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Un analista propone medir el error tras barajar todos los meses (train y test mezclados) porque «así hay más datos de prueba». ¿Qué problema introduce y cómo se evita? (nombrar el concepto).</w:t>
            </w:r>
          </w:p>
        </w:tc>
      </w:tr>
      <w:tr>
        <w:tc>
          <w:tcPr>
            <w:tcW w:type="dxa" w:w="7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20"/>
                <w:szCs w:val="20"/>
              </w:rPr>
              <w:t xml:space="preserve">4.</w:t>
            </w:r>
          </w:p>
        </w:tc>
        <w:tc>
          <w:tcPr>
            <w:tcW w:type="dxa" w:w="93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265"/>
            </w:pP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¿Por qué es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obligatorio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comparar contra el naive estacional antes de declarar bueno un modelo?</w:t>
            </w:r>
          </w:p>
        </w:tc>
      </w:tr>
    </w:tbl>
    <w:p>
      <w:pPr>
        <w:spacing w:after="22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002B" w:sz="14"/>
              <w:left w:val="none" w:color="FFFFFF" w:sz="0"/>
              <w:bottom w:val="single" w:color="D9D9D9" w:sz="4"/>
              <w:right w:val="none" w:color="FFFFFF" w:sz="0"/>
            </w:tcBorders>
            <w:shd w:fill="F2F3F5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NOTA TÉCNICA 2.1   </w:t>
            </w: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Robustez de datos — ¿qué pasaría si...?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Faltaran varias semanas de ventas en la serie histórica —por ejemplo, por un cambio de sistema— y se rellenaran con el promedio general en vez de marcarse como huecos? ¿Cómo afectaría eso al pronóstico y a la estacionalidad estimada?</w:t>
            </w:r>
          </w:p>
        </w:tc>
      </w:tr>
    </w:tbl>
    <w:p>
      <w:r>
        <w:br w:type="page"/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7A1526"/>
          <w:sz w:val="24"/>
          <w:szCs w:val="24"/>
        </w:rPr>
        <w:t xml:space="preserve">3.  </w:t>
      </w:r>
      <w:r>
        <w:rPr>
          <w:rFonts w:ascii="Calibri" w:cs="Calibri" w:eastAsia="Calibri" w:hAnsi="Calibri"/>
          <w:b/>
          <w:bCs/>
          <w:color w:val="7A1526"/>
          <w:spacing w:val="20"/>
          <w:sz w:val="24"/>
          <w:szCs w:val="24"/>
        </w:rPr>
        <w:t xml:space="preserve">DRILL 3 — CONSTRUIR UNA CURVA DE RETENCIÓN Y COMPARAR DOS SEGMENTOS</w:t>
      </w:r>
    </w:p>
    <w:p>
      <w:pPr>
        <w:keepNext/>
        <w:pBdr>
          <w:bottom w:val="single" w:color="E4002B" w:sz="14" w:space="8"/>
        </w:pBdr>
        <w:spacing w:after="140"/>
      </w:pPr>
      <w:r>
        <w:rPr>
          <w:rFonts w:ascii="Cambria" w:cs="Cambria" w:eastAsia="Cambria" w:hAnsi="Cambria"/>
          <w:i/>
          <w:iCs/>
          <w:color w:val="6E6E6E"/>
          <w:sz w:val="19"/>
          <w:szCs w:val="19"/>
        </w:rPr>
        <w:t xml:space="preserve"/>
      </w:r>
      <w:r>
        <w:rPr>
          <w:rFonts w:ascii="Cambria" w:cs="Cambria" w:eastAsia="Cambria" w:hAnsi="Cambria"/>
          <w:b/>
          <w:bCs/>
          <w:color w:val="7A1526"/>
          <w:sz w:val="19"/>
          <w:szCs w:val="19"/>
        </w:rPr>
        <w:t xml:space="preserve"/>
      </w:r>
    </w:p>
    <w:p>
      <w:pPr>
        <w:spacing w:line="270"/>
      </w:pPr>
      <w:r>
        <w:rPr>
          <w:rFonts w:ascii="Cambria" w:cs="Cambria" w:eastAsia="Cambria" w:hAnsi="Cambria"/>
          <w:color w:val="2D2D2D"/>
          <w:sz w:val="20"/>
          <w:szCs w:val="20"/>
        </w:rPr>
        <w:t xml:space="preserve">Del análisis de supervivencia de Telco (curvas de Kaplan-Meier por tipo de contrato) el cuaderno reporta la retención </w:t>
      </w:r>
      <w:r>
        <w:rPr>
          <w:rFonts w:ascii="Consolas" w:cs="Consolas" w:eastAsia="Consolas" w:hAnsi="Consolas"/>
          <w:color w:val="7A1526"/>
          <w:sz w:val="18"/>
          <w:szCs w:val="18"/>
        </w:rPr>
        <w:t xml:space="preserve">S(t)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y el CLV a 72 meses:</w:t>
      </w:r>
    </w:p>
    <w:p>
      <w:pPr>
        <w:spacing w:after="22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rPr>
          <w:tblHeader/>
        </w:trPr>
        <w:tc>
          <w:tcPr>
            <w:tcW w:type="dxa" w:w="1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Segmento</w:t>
            </w:r>
          </w:p>
        </w:tc>
        <w:tc>
          <w:tcPr>
            <w:tcW w:type="dxa" w:w="1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S(12)</w:t>
            </w:r>
          </w:p>
        </w:tc>
        <w:tc>
          <w:tcPr>
            <w:tcW w:type="dxa" w:w="1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S(24)</w:t>
            </w:r>
          </w:p>
        </w:tc>
        <w:tc>
          <w:tcPr>
            <w:tcW w:type="dxa" w:w="1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S(72)</w:t>
            </w:r>
          </w:p>
        </w:tc>
        <w:tc>
          <w:tcPr>
            <w:tcW w:type="dxa" w:w="1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Margen mensual (USD)</w:t>
            </w:r>
          </w:p>
        </w:tc>
        <w:tc>
          <w:tcPr>
            <w:tcW w:type="dxa" w:w="1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CLV a 72 m (USD)</w:t>
            </w:r>
          </w:p>
        </w:tc>
      </w:tr>
      <w:tr>
        <w:tc>
          <w:tcPr>
            <w:tcW w:type="dxa" w:w="16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8"/>
                <w:szCs w:val="18"/>
              </w:rPr>
              <w:t xml:space="preserve">Month-to-month</w:t>
            </w:r>
          </w:p>
        </w:tc>
        <w:tc>
          <w:tcPr>
            <w:tcW w:type="dxa" w:w="16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0,703</w:t>
            </w:r>
          </w:p>
        </w:tc>
        <w:tc>
          <w:tcPr>
            <w:tcW w:type="dxa" w:w="16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0,586</w:t>
            </w:r>
          </w:p>
        </w:tc>
        <w:tc>
          <w:tcPr>
            <w:tcW w:type="dxa" w:w="16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0,129</w:t>
            </w:r>
          </w:p>
        </w:tc>
        <w:tc>
          <w:tcPr>
            <w:tcW w:type="dxa" w:w="16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66,40</w:t>
            </w:r>
          </w:p>
        </w:tc>
        <w:tc>
          <w:tcPr>
            <w:tcW w:type="dxa" w:w="16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1 803,77</w:t>
            </w:r>
          </w:p>
        </w:tc>
      </w:tr>
      <w:tr>
        <w:tc>
          <w:tcPr>
            <w:tcW w:type="dxa" w:w="16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8"/>
                <w:szCs w:val="18"/>
              </w:rPr>
              <w:t xml:space="preserve">Two year</w:t>
            </w:r>
          </w:p>
        </w:tc>
        <w:tc>
          <w:tcPr>
            <w:tcW w:type="dxa" w:w="16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1,000</w:t>
            </w:r>
          </w:p>
        </w:tc>
        <w:tc>
          <w:tcPr>
            <w:tcW w:type="dxa" w:w="16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1,000</w:t>
            </w:r>
          </w:p>
        </w:tc>
        <w:tc>
          <w:tcPr>
            <w:tcW w:type="dxa" w:w="16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0,936</w:t>
            </w:r>
          </w:p>
        </w:tc>
        <w:tc>
          <w:tcPr>
            <w:tcW w:type="dxa" w:w="16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60,87</w:t>
            </w:r>
          </w:p>
        </w:tc>
        <w:tc>
          <w:tcPr>
            <w:tcW w:type="dxa" w:w="16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3 096,58</w:t>
            </w:r>
          </w:p>
        </w:tc>
      </w:tr>
    </w:tbl>
    <w:p>
      <w:pPr>
        <w:spacing w:after="220"/>
      </w:pPr>
    </w:p>
    <w:p>
      <w:pPr>
        <w:spacing w:line="270"/>
      </w:pPr>
      <w:r>
        <w:rPr>
          <w:rFonts w:ascii="Cambria" w:cs="Cambria" w:eastAsia="Cambria" w:hAnsi="Cambria"/>
          <w:color w:val="2D2D2D"/>
          <w:sz w:val="20"/>
          <w:szCs w:val="20"/>
        </w:rPr>
        <w:t xml:space="preserve">Se pide: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00"/>
        <w:gridCol w:w="9380"/>
      </w:tblGrid>
      <w:tr>
        <w:tc>
          <w:tcPr>
            <w:tcW w:type="dxa" w:w="7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20"/>
                <w:szCs w:val="20"/>
              </w:rPr>
              <w:t xml:space="preserve">1.</w:t>
            </w:r>
          </w:p>
        </w:tc>
        <w:tc>
          <w:tcPr>
            <w:tcW w:type="dxa" w:w="93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265"/>
            </w:pP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Leer en palabras la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retención a 1 año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de cada segmento.</w:t>
            </w:r>
          </w:p>
        </w:tc>
      </w:tr>
      <w:tr>
        <w:tc>
          <w:tcPr>
            <w:tcW w:type="dxa" w:w="7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20"/>
                <w:szCs w:val="20"/>
              </w:rPr>
              <w:t xml:space="preserve">2.</w:t>
            </w:r>
          </w:p>
        </w:tc>
        <w:tc>
          <w:tcPr>
            <w:tcW w:type="dxa" w:w="93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265"/>
            </w:pP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El segmento mes-a-mes tiene el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mayor margen mensual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pero el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menor CLV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: explicar la paradoja en una frase.</w:t>
            </w:r>
          </w:p>
        </w:tc>
      </w:tr>
      <w:tr>
        <w:tc>
          <w:tcPr>
            <w:tcW w:type="dxa" w:w="7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20"/>
                <w:szCs w:val="20"/>
              </w:rPr>
              <w:t xml:space="preserve">3.</w:t>
            </w:r>
          </w:p>
        </w:tc>
        <w:tc>
          <w:tcPr>
            <w:tcW w:type="dxa" w:w="93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265"/>
            </w:pP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Los clientes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aún activos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a la fecha de corte, ¿se descartan del análisis? ¿por qué? (nombrar el concepto).</w:t>
            </w:r>
          </w:p>
        </w:tc>
      </w:tr>
      <w:tr>
        <w:tc>
          <w:tcPr>
            <w:tcW w:type="dxa" w:w="7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20"/>
                <w:szCs w:val="20"/>
              </w:rPr>
              <w:t xml:space="preserve">4.</w:t>
            </w:r>
          </w:p>
        </w:tc>
        <w:tc>
          <w:tcPr>
            <w:tcW w:type="dxa" w:w="93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265"/>
            </w:pP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Recomendar una acción de retención priorizada y decir qué fija el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techo de gasto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de la oferta.</w:t>
            </w:r>
          </w:p>
        </w:tc>
      </w:tr>
    </w:tbl>
    <w:p>
      <w:pPr>
        <w:spacing w:after="22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002B" w:sz="14"/>
              <w:left w:val="none" w:color="FFFFFF" w:sz="0"/>
              <w:bottom w:val="single" w:color="D9D9D9" w:sz="4"/>
              <w:right w:val="none" w:color="FFFFFF" w:sz="0"/>
            </w:tcBorders>
            <w:shd w:fill="F2F3F5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NOTA TÉCNICA 3.1   </w:t>
            </w: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Proyección — ¿qué pasaría si...?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Aquí se comparó cuánto tiempo retiene cada segmento a sus clientes. ¿Qué pasaría si, además de saberlo, se quisiera decidir automáticamente qué producto o contenido ofrecerle a cada cliente para retenerlo? ¿Qué técnica traduce el comportamiento individual en una recomendación concreta? </w:t>
            </w:r>
            <w:r>
              <w:rPr>
                <w:rFonts w:ascii="Cambria" w:cs="Cambria" w:eastAsia="Cambria" w:hAnsi="Cambria"/>
                <w:i/>
                <w:iCs/>
                <w:color w:val="3A3A3A"/>
                <w:sz w:val="18"/>
                <w:szCs w:val="18"/>
              </w:rPr>
              <w:t xml:space="preserve">(No se resuelve aquí — los sistemas de recomendación son el tema de la E07.)</w:t>
            </w:r>
          </w:p>
        </w:tc>
      </w:tr>
    </w:tbl>
    <w:p>
      <w:pPr>
        <w:spacing w:after="220"/>
      </w:pPr>
    </w:p>
    <w:p>
      <w:pPr>
        <w:spacing w:after="260" w:line="265"/>
      </w:pPr>
      <w:r>
        <w:rPr>
          <w:rFonts w:ascii="Cambria" w:cs="Cambria" w:eastAsia="Cambria" w:hAnsi="Cambria"/>
          <w:i/>
          <w:iCs/>
          <w:color w:val="6E6E6E"/>
          <w:sz w:val="18"/>
          <w:szCs w:val="18"/>
        </w:rPr>
        <w:t xml:space="preserve">El procedimiento y las respuestas los conserva el docente. El desempeño en estos drills se refuerza en el </w:t>
      </w:r>
      <w:r>
        <w:rPr>
          <w:rFonts w:ascii="Cambria" w:cs="Cambria" w:eastAsia="Cambria" w:hAnsi="Cambria"/>
          <w:b/>
          <w:bCs/>
          <w:i/>
          <w:iCs/>
          <w:color w:val="6E6E6E"/>
          <w:sz w:val="18"/>
          <w:szCs w:val="18"/>
        </w:rPr>
        <w:t xml:space="preserve">control corto</w:t>
      </w:r>
      <w:r>
        <w:rPr>
          <w:rFonts w:ascii="Cambria" w:cs="Cambria" w:eastAsia="Cambria" w:hAnsi="Cambria"/>
          <w:i/>
          <w:iCs/>
          <w:color w:val="6E6E6E"/>
          <w:sz w:val="18"/>
          <w:szCs w:val="18"/>
        </w:rPr>
        <w:t xml:space="preserve"> de cierre y se evalúa de forma integral en </w:t>
      </w:r>
      <w:r>
        <w:rPr>
          <w:rFonts w:ascii="Consolas" w:cs="Consolas" w:eastAsia="Consolas" w:hAnsi="Consolas"/>
          <w:i/>
          <w:iCs/>
          <w:color w:val="7A1526"/>
          <w:sz w:val="16"/>
          <w:szCs w:val="16"/>
        </w:rPr>
        <w:t xml:space="preserve">evaluacion/entregable.docx</w:t>
      </w:r>
      <w:r>
        <w:rPr>
          <w:rFonts w:ascii="Cambria" w:cs="Cambria" w:eastAsia="Cambria" w:hAnsi="Cambria"/>
          <w:i/>
          <w:iCs/>
          <w:color w:val="6E6E6E"/>
          <w:sz w:val="18"/>
          <w:szCs w:val="18"/>
        </w:rPr>
        <w:t xml:space="preserve">.</w:t>
      </w:r>
    </w:p>
    <w:sectPr>
      <w:headerReference w:type="default" r:id="rId7"/>
      <w:footerReference w:type="default" r:id="rId8"/>
      <w:pgSz w:w="12240" w:h="15840" w:orient="portrait"/>
      <w:pgMar w:top="108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E6E6E"/>
        <w:sz w:val="14"/>
        <w:szCs w:val="14"/>
      </w:rPr>
      <w:t xml:space="preserve">Herramientas para la Ciencia de Datos, UPC, Facultad de Negocios     |     </w:t>
    </w:r>
    <w:r>
      <w:rPr>
        <w:rFonts w:ascii="Calibri" w:cs="Calibri" w:eastAsia="Calibri" w:hAnsi="Calibri"/>
        <w:b/>
        <w:bCs/>
        <w:color w:val="7A152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FE2E6" w:sz="4" w:space="4"/>
      </w:pBdr>
      <w:spacing w:after="120"/>
    </w:pPr>
    <w:r>
      <w:rPr>
        <w:rFonts w:ascii="Calibri" w:cs="Calibri" w:eastAsia="Calibri" w:hAnsi="Calibri"/>
        <w:color w:val="6E6E6E"/>
        <w:sz w:val="15"/>
        <w:szCs w:val="15"/>
      </w:rPr>
      <w:t xml:space="preserve">Drills — Sesión EPE E6: pronosticar el futuro y entender el porqué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cs="Cambria" w:eastAsia="Cambria" w:hAnsi="Cambria"/>
        <w:color w:val="2D2D2D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Drills — Sesión EPE E6</dc:title>
  <dc:creator>UPC</dc:creator>
  <dc:description>Pronosticar el futuro y entender el porqué</dc:description>
  <cp:lastModifiedBy>Un-named</cp:lastModifiedBy>
  <cp:revision>1</cp:revision>
  <dcterms:created xsi:type="dcterms:W3CDTF">2026-09-11T14:14:46.996Z</dcterms:created>
  <dcterms:modified xsi:type="dcterms:W3CDTF">2026-09-11T14:14:46.997Z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