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MODALIDAD EPE</w:t>
      </w:r>
    </w:p>
    <w:p>
      <w:pPr>
        <w:spacing w:after="40"/>
      </w:pPr>
      <w:r>
        <w:rPr>
          <w:rFonts w:ascii="Cambria" w:cs="Cambria" w:eastAsia="Cambria" w:hAnsi="Cambria"/>
          <w:b/>
          <w:bCs/>
          <w:color w:val="2D2D2D"/>
          <w:sz w:val="36"/>
          <w:szCs w:val="36"/>
        </w:rPr>
        <w:t xml:space="preserve">Guía de laboratorio — Sesión EPE E6</w:t>
      </w:r>
    </w:p>
    <w:p>
      <w:pPr>
        <w:pBdr>
          <w:bottom w:val="single" w:color="E4002B" w:sz="18" w:space="10"/>
        </w:pBdr>
        <w:spacing w:after="160"/>
      </w:pPr>
      <w:r>
        <w:rPr>
          <w:rFonts w:ascii="Cambria" w:cs="Cambria" w:eastAsia="Cambria" w:hAnsi="Cambria"/>
          <w:color w:val="7A1526"/>
          <w:sz w:val="28"/>
          <w:szCs w:val="28"/>
        </w:rPr>
        <w:t xml:space="preserve">Pronosticar el futuro y entender el porqué</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b/>
                <w:bCs/>
                <w:color w:val="2D2D2D"/>
                <w:sz w:val="19"/>
                <w:szCs w:val="19"/>
              </w:rPr>
              <w:t xml:space="preserve">Parejas</w:t>
            </w:r>
            <w:r>
              <w:rPr>
                <w:rFonts w:ascii="Cambria" w:cs="Cambria" w:eastAsia="Cambria" w:hAnsi="Cambria"/>
                <w:color w:val="2D2D2D"/>
                <w:sz w:val="19"/>
                <w:szCs w:val="19"/>
              </w:rPr>
              <w:t xml:space="preserve"> · entrega </w:t>
            </w:r>
            <w:r>
              <w:rPr>
                <w:rFonts w:ascii="Cambria" w:cs="Cambria" w:eastAsia="Cambria" w:hAnsi="Cambria"/>
                <w:b/>
                <w:bCs/>
                <w:color w:val="2D2D2D"/>
                <w:sz w:val="19"/>
                <w:szCs w:val="19"/>
              </w:rPr>
              <w:t xml:space="preserve">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100–120 min</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notebook/EPE_S6_series_causal.ipynb</w:t>
            </w:r>
            <w:r>
              <w:rPr>
                <w:rFonts w:ascii="Cambria" w:cs="Cambria" w:eastAsia="Cambria" w:hAnsi="Cambria"/>
                <w:color w:val="2D2D2D"/>
                <w:sz w:val="19"/>
                <w:szCs w:val="19"/>
              </w:rPr>
              <w:t xml:space="preserve"> (botón «Abrir en Colab» en su portada) · Bloques 1–3 = Partes A–C</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recorrer tres decisiones de negocio con datos —</w:t>
            </w:r>
            <w:r>
              <w:rPr>
                <w:rFonts w:ascii="Cambria" w:cs="Cambria" w:eastAsia="Cambria" w:hAnsi="Cambria"/>
                <w:b/>
                <w:bCs/>
                <w:color w:val="FFFFFF"/>
                <w:sz w:val="21"/>
                <w:szCs w:val="21"/>
              </w:rPr>
              <w:t xml:space="preserve">pronosticar la demanda</w:t>
            </w:r>
            <w:r>
              <w:rPr>
                <w:rFonts w:ascii="Cambria" w:cs="Cambria" w:eastAsia="Cambria" w:hAnsi="Cambria"/>
                <w:color w:val="FFFFFF"/>
                <w:sz w:val="21"/>
                <w:szCs w:val="21"/>
              </w:rPr>
              <w:t xml:space="preserve"> con su intervalo y validarla sin fuga temporal, </w:t>
            </w:r>
            <w:r>
              <w:rPr>
                <w:rFonts w:ascii="Cambria" w:cs="Cambria" w:eastAsia="Cambria" w:hAnsi="Cambria"/>
                <w:b/>
                <w:bCs/>
                <w:color w:val="FFFFFF"/>
                <w:sz w:val="21"/>
                <w:szCs w:val="21"/>
              </w:rPr>
              <w:t xml:space="preserve">distinguir correlación de causalidad</w:t>
            </w:r>
            <w:r>
              <w:rPr>
                <w:rFonts w:ascii="Cambria" w:cs="Cambria" w:eastAsia="Cambria" w:hAnsi="Cambria"/>
                <w:color w:val="FFFFFF"/>
                <w:sz w:val="21"/>
                <w:szCs w:val="21"/>
              </w:rPr>
              <w:t xml:space="preserve"> para decidir una inversión, y leer una </w:t>
            </w:r>
            <w:r>
              <w:rPr>
                <w:rFonts w:ascii="Cambria" w:cs="Cambria" w:eastAsia="Cambria" w:hAnsi="Cambria"/>
                <w:b/>
                <w:bCs/>
                <w:color w:val="FFFFFF"/>
                <w:sz w:val="21"/>
                <w:szCs w:val="21"/>
              </w:rPr>
              <w:t xml:space="preserve">curva de retención</w:t>
            </w:r>
            <w:r>
              <w:rPr>
                <w:rFonts w:ascii="Cambria" w:cs="Cambria" w:eastAsia="Cambria" w:hAnsi="Cambria"/>
                <w:color w:val="FFFFFF"/>
                <w:sz w:val="21"/>
                <w:szCs w:val="21"/>
              </w:rPr>
              <w:t xml:space="preserve"> de clientes con su CLV— y </w:t>
            </w:r>
            <w:r>
              <w:rPr>
                <w:rFonts w:ascii="Cambria" w:cs="Cambria" w:eastAsia="Cambria" w:hAnsi="Cambria"/>
                <w:b/>
                <w:bCs/>
                <w:color w:val="FFFFFF"/>
                <w:sz w:val="21"/>
                <w:szCs w:val="21"/>
              </w:rPr>
              <w:t xml:space="preserve">emitir una recomendación</w:t>
            </w:r>
            <w:r>
              <w:rPr>
                <w:rFonts w:ascii="Cambria" w:cs="Cambria" w:eastAsia="Cambria" w:hAnsi="Cambria"/>
                <w:color w:val="FFFFFF"/>
                <w:sz w:val="21"/>
                <w:szCs w:val="21"/>
              </w:rPr>
              <w:t xml:space="preserve"> en cada caso.</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Parte A — Pronóstico de demanda con intervalo y validación honesta</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~45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Parte B — Entender el porqué: correlación ≠ causalidad</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~30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Parte C — ¿Cuándo se van los clientes? Curva de retención y CLV</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~35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Producto esperado del laboratorio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entregable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5</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w:t>
      </w:r>
      <w:r>
        <w:rPr>
          <w:rFonts w:ascii="Consolas" w:cs="Consolas" w:eastAsia="Consolas" w:hAnsi="Consolas"/>
          <w:color w:val="7A1526"/>
          <w:sz w:val="17"/>
          <w:szCs w:val="17"/>
        </w:rPr>
        <w:t xml:space="preserve">notebook/EPE_S6_series_causal.ipynb</w:t>
      </w:r>
      <w:r>
        <w:rPr>
          <w:rFonts w:ascii="Cambria" w:cs="Cambria" w:eastAsia="Cambria" w:hAnsi="Cambria"/>
          <w:color w:val="2D2D2D"/>
          <w:sz w:val="19"/>
          <w:szCs w:val="19"/>
        </w:rPr>
        <w:t xml:space="preserve"> en Google Colab (o en el venv local).</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Tener a la vista las plantillas </w:t>
      </w:r>
      <w:r>
        <w:rPr>
          <w:rFonts w:ascii="Consolas" w:cs="Consolas" w:eastAsia="Consolas" w:hAnsi="Consolas"/>
          <w:color w:val="7A1526"/>
          <w:sz w:val="17"/>
          <w:szCs w:val="17"/>
        </w:rPr>
        <w:t xml:space="preserve">plantillas/plantilla_pronostico.docx</w:t>
      </w:r>
      <w:r>
        <w:rPr>
          <w:rFonts w:ascii="Cambria" w:cs="Cambria" w:eastAsia="Cambria" w:hAnsi="Cambria"/>
          <w:color w:val="2D2D2D"/>
          <w:sz w:val="19"/>
          <w:szCs w:val="19"/>
        </w:rPr>
        <w:t xml:space="preserve"> (Parte A) y </w:t>
      </w:r>
      <w:r>
        <w:rPr>
          <w:rFonts w:ascii="Consolas" w:cs="Consolas" w:eastAsia="Consolas" w:hAnsi="Consolas"/>
          <w:color w:val="7A1526"/>
          <w:sz w:val="17"/>
          <w:szCs w:val="17"/>
        </w:rPr>
        <w:t xml:space="preserve">plantillas/guia_correlacion_causalidad.docx</w:t>
      </w:r>
      <w:r>
        <w:rPr>
          <w:rFonts w:ascii="Cambria" w:cs="Cambria" w:eastAsia="Cambria" w:hAnsi="Cambria"/>
          <w:color w:val="2D2D2D"/>
          <w:sz w:val="19"/>
          <w:szCs w:val="19"/>
        </w:rPr>
        <w:t xml:space="preserve"> (Parte B).</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obtiene </w:t>
      </w:r>
      <w:r>
        <w:rPr>
          <w:rFonts w:ascii="Cambria" w:cs="Cambria" w:eastAsia="Cambria" w:hAnsi="Cambria"/>
          <w:b/>
          <w:bCs/>
          <w:color w:val="2D2D2D"/>
          <w:sz w:val="19"/>
          <w:szCs w:val="19"/>
        </w:rPr>
        <w:t xml:space="preserve">Store Item Demand</w:t>
      </w:r>
      <w:r>
        <w:rPr>
          <w:rFonts w:ascii="Cambria" w:cs="Cambria" w:eastAsia="Cambria" w:hAnsi="Cambria"/>
          <w:color w:val="2D2D2D"/>
          <w:sz w:val="19"/>
          <w:szCs w:val="19"/>
        </w:rPr>
        <w:t xml:space="preserve"> (tienda 1 · producto 1), </w:t>
      </w:r>
      <w:r>
        <w:rPr>
          <w:rFonts w:ascii="Cambria" w:cs="Cambria" w:eastAsia="Cambria" w:hAnsi="Cambria"/>
          <w:b/>
          <w:bCs/>
          <w:color w:val="2D2D2D"/>
          <w:sz w:val="19"/>
          <w:szCs w:val="19"/>
        </w:rPr>
        <w:t xml:space="preserve">Retención observacional</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Telco Customer Churn</w:t>
      </w:r>
      <w:r>
        <w:rPr>
          <w:rFonts w:ascii="Cambria" w:cs="Cambria" w:eastAsia="Cambria" w:hAnsi="Cambria"/>
          <w:color w:val="2D2D2D"/>
          <w:sz w:val="19"/>
          <w:szCs w:val="19"/>
        </w:rPr>
        <w:t xml:space="preserve">. El cuaderno los carga solo.</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Convención del curso: toda cifra citada debe existir en el cuaderno o en </w:t>
      </w:r>
      <w:r>
        <w:rPr>
          <w:rFonts w:ascii="Consolas" w:cs="Consolas" w:eastAsia="Consolas" w:hAnsi="Consolas"/>
          <w:color w:val="7A1526"/>
          <w:sz w:val="17"/>
          <w:szCs w:val="17"/>
        </w:rPr>
        <w:t xml:space="preserve">resultados/E06_resultados.xlsx</w:t>
      </w:r>
      <w:r>
        <w:rPr>
          <w:rFonts w:ascii="Cambria" w:cs="Cambria" w:eastAsia="Cambria" w:hAnsi="Cambria"/>
          <w:color w:val="2D2D2D"/>
          <w:sz w:val="19"/>
          <w:szCs w:val="19"/>
        </w:rPr>
        <w:t xml:space="preserve">.</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PRONÓSTICO DE DEMANDA CON INTERVALO Y VALIDACIÓN HONESTA</w:t>
      </w:r>
    </w:p>
    <w:p>
      <w:pPr>
        <w:keepNext/>
        <w:pBdr>
          <w:bottom w:val="single" w:color="E4002B" w:sz="14" w:space="8"/>
        </w:pBdr>
        <w:spacing w:after="140"/>
      </w:pPr>
      <w:r>
        <w:rPr>
          <w:rFonts w:ascii="Cambria" w:cs="Cambria" w:eastAsia="Cambria" w:hAnsi="Cambria"/>
          <w:i/>
          <w:iCs/>
          <w:color w:val="6E6E6E"/>
          <w:sz w:val="19"/>
          <w:szCs w:val="19"/>
        </w:rPr>
        <w:t xml:space="preserve">Store Item Demand, bloque A del cuaderno</w:t>
      </w:r>
      <w:r>
        <w:rPr>
          <w:rFonts w:ascii="Cambria" w:cs="Cambria" w:eastAsia="Cambria" w:hAnsi="Cambria"/>
          <w:b/>
          <w:bCs/>
          <w:color w:val="7A1526"/>
          <w:sz w:val="19"/>
          <w:szCs w:val="19"/>
        </w:rPr>
        <w:t xml:space="preserve">   |   ~45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Enmarcar</w:t>
            </w:r>
          </w:p>
          <w:p>
            <w:pPr>
              <w:spacing w:line="265"/>
            </w:pPr>
            <w:r>
              <w:rPr>
                <w:rFonts w:ascii="Cambria" w:cs="Cambria" w:eastAsia="Cambria" w:hAnsi="Cambria"/>
                <w:color w:val="2D2D2D"/>
                <w:sz w:val="19"/>
                <w:szCs w:val="19"/>
              </w:rPr>
              <w:t xml:space="preserve">Escribir la pregunta de negocio: «¿cuánta demanda del producto se espera el próximo año y con qué incertidumbre?».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línea con la pregunta y la decisión que habilita (dimensionar inventario/personal).</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Tendencia, estacionalidad y ruido</w:t>
            </w:r>
          </w:p>
          <w:p>
            <w:pPr>
              <w:spacing w:line="265"/>
            </w:pPr>
            <w:r>
              <w:rPr>
                <w:rFonts w:ascii="Cambria" w:cs="Cambria" w:eastAsia="Cambria" w:hAnsi="Cambria"/>
                <w:color w:val="2D2D2D"/>
                <w:sz w:val="19"/>
                <w:szCs w:val="19"/>
              </w:rPr>
              <w:t xml:space="preserve">En el bloque A del cuaderno, ejecutar la descomposición STL de la serie mensual y anotar: ¿la demanda </w:t>
            </w:r>
            <w:r>
              <w:rPr>
                <w:rFonts w:ascii="Cambria" w:cs="Cambria" w:eastAsia="Cambria" w:hAnsi="Cambria"/>
                <w:b/>
                <w:bCs/>
                <w:color w:val="2D2D2D"/>
                <w:sz w:val="19"/>
                <w:szCs w:val="19"/>
              </w:rPr>
              <w:t xml:space="preserve">crece</w:t>
            </w:r>
            <w:r>
              <w:rPr>
                <w:rFonts w:ascii="Cambria" w:cs="Cambria" w:eastAsia="Cambria" w:hAnsi="Cambria"/>
                <w:color w:val="2D2D2D"/>
                <w:sz w:val="19"/>
                <w:szCs w:val="19"/>
              </w:rPr>
              <w:t xml:space="preserve"> de fondo? ¿en qué </w:t>
            </w:r>
            <w:r>
              <w:rPr>
                <w:rFonts w:ascii="Cambria" w:cs="Cambria" w:eastAsia="Cambria" w:hAnsi="Cambria"/>
                <w:b/>
                <w:bCs/>
                <w:color w:val="2D2D2D"/>
                <w:sz w:val="19"/>
                <w:szCs w:val="19"/>
              </w:rPr>
              <w:t xml:space="preserve">mes</w:t>
            </w:r>
            <w:r>
              <w:rPr>
                <w:rFonts w:ascii="Cambria" w:cs="Cambria" w:eastAsia="Cambria" w:hAnsi="Cambria"/>
                <w:color w:val="2D2D2D"/>
                <w:sz w:val="19"/>
                <w:szCs w:val="19"/>
              </w:rPr>
              <w:t xml:space="preserve"> está el pico estacional?</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tres piezas descritas en la </w:t>
            </w:r>
            <w:r>
              <w:rPr>
                <w:rFonts w:ascii="Consolas" w:cs="Consolas" w:eastAsia="Consolas" w:hAnsi="Consolas"/>
                <w:color w:val="7A1526"/>
                <w:sz w:val="17"/>
                <w:szCs w:val="17"/>
              </w:rPr>
              <w:t xml:space="preserve">plantillas/plantilla_pronostico.docx</w:t>
            </w:r>
            <w:r>
              <w:rPr>
                <w:rFonts w:ascii="Cambria" w:cs="Cambria" w:eastAsia="Cambria" w:hAnsi="Cambria"/>
                <w:color w:val="2D2D2D"/>
                <w:sz w:val="19"/>
                <w:szCs w:val="19"/>
              </w:rPr>
              <w:t xml:space="preserve"> (Sección 1).</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Validar sin fuga temporal</w:t>
            </w:r>
          </w:p>
          <w:p>
            <w:pPr>
              <w:spacing w:line="265"/>
            </w:pPr>
            <w:r>
              <w:rPr>
                <w:rFonts w:ascii="Cambria" w:cs="Cambria" w:eastAsia="Cambria" w:hAnsi="Cambria"/>
                <w:color w:val="2D2D2D"/>
                <w:sz w:val="19"/>
                <w:szCs w:val="19"/>
              </w:rPr>
              <w:t xml:space="preserve">En el bloque A del cuaderno, ejecutar la validación con holdout (últimos 12 meses). Comparar </w:t>
            </w:r>
            <w:r>
              <w:rPr>
                <w:rFonts w:ascii="Cambria" w:cs="Cambria" w:eastAsia="Cambria" w:hAnsi="Cambria"/>
                <w:b/>
                <w:bCs/>
                <w:color w:val="2D2D2D"/>
                <w:sz w:val="19"/>
                <w:szCs w:val="19"/>
              </w:rPr>
              <w:t xml:space="preserve">naive estacional</w:t>
            </w:r>
            <w:r>
              <w:rPr>
                <w:rFonts w:ascii="Cambria" w:cs="Cambria" w:eastAsia="Cambria" w:hAnsi="Cambria"/>
                <w:color w:val="2D2D2D"/>
                <w:sz w:val="19"/>
                <w:szCs w:val="19"/>
              </w:rPr>
              <w:t xml:space="preserve"> (línea base), </w:t>
            </w:r>
            <w:r>
              <w:rPr>
                <w:rFonts w:ascii="Cambria" w:cs="Cambria" w:eastAsia="Cambria" w:hAnsi="Cambria"/>
                <w:b/>
                <w:bCs/>
                <w:color w:val="2D2D2D"/>
                <w:sz w:val="19"/>
                <w:szCs w:val="19"/>
              </w:rPr>
              <w:t xml:space="preserve">suavizamiento exponencial</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Prophet</w:t>
            </w:r>
            <w:r>
              <w:rPr>
                <w:rFonts w:ascii="Cambria" w:cs="Cambria" w:eastAsia="Cambria" w:hAnsi="Cambria"/>
                <w:color w:val="2D2D2D"/>
                <w:sz w:val="19"/>
                <w:szCs w:val="19"/>
              </w:rPr>
              <w:t xml:space="preserve"> por </w:t>
            </w:r>
            <w:r>
              <w:rPr>
                <w:rFonts w:ascii="Cambria" w:cs="Cambria" w:eastAsia="Cambria" w:hAnsi="Cambria"/>
                <w:b/>
                <w:bCs/>
                <w:color w:val="2D2D2D"/>
                <w:sz w:val="19"/>
                <w:szCs w:val="19"/>
              </w:rPr>
              <w:t xml:space="preserve">sMAPE y MAPE</w:t>
            </w:r>
            <w:r>
              <w:rPr>
                <w:rFonts w:ascii="Cambria" w:cs="Cambria" w:eastAsia="Cambria" w:hAnsi="Cambria"/>
                <w:color w:val="2D2D2D"/>
                <w:sz w:val="19"/>
                <w:szCs w:val="19"/>
              </w:rPr>
              <w:t xml:space="preserve">. Completar la tabla Sección 2 de la plantilla.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notar que el ranking </w:t>
            </w:r>
            <w:r>
              <w:rPr>
                <w:rFonts w:ascii="Cambria" w:cs="Cambria" w:eastAsia="Cambria" w:hAnsi="Cambria"/>
                <w:b/>
                <w:bCs/>
                <w:color w:val="2D2D2D"/>
                <w:sz w:val="19"/>
                <w:szCs w:val="19"/>
              </w:rPr>
              <w:t xml:space="preserve">puede invertirse</w:t>
            </w:r>
            <w:r>
              <w:rPr>
                <w:rFonts w:ascii="Cambria" w:cs="Cambria" w:eastAsia="Cambria" w:hAnsi="Cambria"/>
                <w:color w:val="2D2D2D"/>
                <w:sz w:val="19"/>
                <w:szCs w:val="19"/>
              </w:rPr>
              <w:t xml:space="preserve"> entre métricas (aquí Holt-Winters y el naive </w:t>
            </w:r>
            <w:r>
              <w:rPr>
                <w:rFonts w:ascii="Cambria" w:cs="Cambria" w:eastAsia="Cambria" w:hAnsi="Cambria"/>
                <w:b/>
                <w:bCs/>
                <w:color w:val="2D2D2D"/>
                <w:sz w:val="19"/>
                <w:szCs w:val="19"/>
              </w:rPr>
              <w:t xml:space="preserve">son indistinguibles dentro del ruido</w:t>
            </w:r>
            <w:r>
              <w:rPr>
                <w:rFonts w:ascii="Cambria" w:cs="Cambria" w:eastAsia="Cambria" w:hAnsi="Cambria"/>
                <w:color w:val="2D2D2D"/>
                <w:sz w:val="19"/>
                <w:szCs w:val="19"/>
              </w:rPr>
              <w:t xml:space="preserve">; solo Prophet queda claramente detrás) y por qué barajar los datos produciría </w:t>
            </w:r>
            <w:r>
              <w:rPr>
                <w:rFonts w:ascii="Cambria" w:cs="Cambria" w:eastAsia="Cambria" w:hAnsi="Cambria"/>
                <w:i/>
                <w:iCs/>
                <w:color w:val="2D2D2D"/>
                <w:sz w:val="19"/>
                <w:szCs w:val="19"/>
              </w:rPr>
              <w:t xml:space="preserve">fuga temporal</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De dónde proviene Prophet — qué preguntaba el paper</w:t>
            </w:r>
          </w:p>
          <w:p>
            <w:pPr>
              <w:spacing w:after="70" w:line="265"/>
            </w:pPr>
            <w:r>
              <w:rPr>
                <w:rFonts w:ascii="Cambria" w:cs="Cambria" w:eastAsia="Cambria" w:hAnsi="Cambria"/>
                <w:color w:val="3A3A3A"/>
                <w:sz w:val="18"/>
                <w:szCs w:val="18"/>
              </w:rPr>
              <w:t xml:space="preserve">Taylor y Letham publicaron </w:t>
            </w:r>
            <w:r>
              <w:rPr>
                <w:rFonts w:ascii="Cambria" w:cs="Cambria" w:eastAsia="Cambria" w:hAnsi="Cambria"/>
                <w:i/>
                <w:iCs/>
                <w:color w:val="3A3A3A"/>
                <w:sz w:val="18"/>
                <w:szCs w:val="18"/>
              </w:rPr>
              <w:t xml:space="preserve">Forecasting at Scale</w:t>
            </w:r>
            <w:r>
              <w:rPr>
                <w:rFonts w:ascii="Cambria" w:cs="Cambria" w:eastAsia="Cambria" w:hAnsi="Cambria"/>
                <w:color w:val="3A3A3A"/>
                <w:sz w:val="18"/>
                <w:szCs w:val="18"/>
              </w:rPr>
              <w:t xml:space="preserve"> (2018) para resolver un cuello de botella de </w:t>
            </w:r>
            <w:r>
              <w:rPr>
                <w:rFonts w:ascii="Cambria" w:cs="Cambria" w:eastAsia="Cambria" w:hAnsi="Cambria"/>
                <w:b/>
                <w:bCs/>
                <w:color w:val="3A3A3A"/>
                <w:sz w:val="18"/>
                <w:szCs w:val="18"/>
              </w:rPr>
              <w:t xml:space="preserve">organización</w:t>
            </w:r>
            <w:r>
              <w:rPr>
                <w:rFonts w:ascii="Cambria" w:cs="Cambria" w:eastAsia="Cambria" w:hAnsi="Cambria"/>
                <w:color w:val="3A3A3A"/>
                <w:sz w:val="18"/>
                <w:szCs w:val="18"/>
              </w:rPr>
              <w:t xml:space="preserve">, no para mejorar la precisión: en su empresa la demanda de pronósticos fiables superaba con mucho el ritmo al que un número reducido de especialistas podía producirlos, y los analistas que conocían el negocio no tenían formación en series temporales. Por eso eligieron como criterio la </w:t>
            </w:r>
            <w:r>
              <w:rPr>
                <w:rFonts w:ascii="Cambria" w:cs="Cambria" w:eastAsia="Cambria" w:hAnsi="Cambria"/>
                <w:b/>
                <w:bCs/>
                <w:color w:val="3A3A3A"/>
                <w:sz w:val="18"/>
                <w:szCs w:val="18"/>
              </w:rPr>
              <w:t xml:space="preserve">reparabilidad</w:t>
            </w:r>
            <w:r>
              <w:rPr>
                <w:rFonts w:ascii="Cambria" w:cs="Cambria" w:eastAsia="Cambria" w:hAnsi="Cambria"/>
                <w:color w:val="3A3A3A"/>
                <w:sz w:val="18"/>
                <w:szCs w:val="18"/>
              </w:rPr>
              <w:t xml:space="preserve"> antes que la exactitud —un pronóstico malo se tolera si alguien puede corregirlo, y los órdenes de un ARIMA no se traducen al lenguaje del negocio— y plantearon el modelo como un </w:t>
            </w:r>
            <w:r>
              <w:rPr>
                <w:rFonts w:ascii="Cambria" w:cs="Cambria" w:eastAsia="Cambria" w:hAnsi="Cambria"/>
                <w:b/>
                <w:bCs/>
                <w:color w:val="3A3A3A"/>
                <w:sz w:val="18"/>
                <w:szCs w:val="18"/>
              </w:rPr>
              <w:t xml:space="preserve">ajuste de curva</w:t>
            </w:r>
            <w:r>
              <w:rPr>
                <w:rFonts w:ascii="Cambria" w:cs="Cambria" w:eastAsia="Cambria" w:hAnsi="Cambria"/>
                <w:color w:val="3A3A3A"/>
                <w:sz w:val="18"/>
                <w:szCs w:val="18"/>
              </w:rPr>
              <w:t xml:space="preserve"> con tres mandos que un gerente sabe contestar: cuándo cambió el negocio, qué ciclos tiene y qué días son especiales. Los propios autores acotan su propuesta a series con tendencia por tramos, estacionalidad múltiple y festivos móviles; la serie de este laboratorio está </w:t>
            </w:r>
            <w:r>
              <w:rPr>
                <w:rFonts w:ascii="Cambria" w:cs="Cambria" w:eastAsia="Cambria" w:hAnsi="Cambria"/>
                <w:b/>
                <w:bCs/>
                <w:color w:val="3A3A3A"/>
                <w:sz w:val="18"/>
                <w:szCs w:val="18"/>
              </w:rPr>
              <w:t xml:space="preserve">agregada a mensual</w:t>
            </w:r>
            <w:r>
              <w:rPr>
                <w:rFonts w:ascii="Cambria" w:cs="Cambria" w:eastAsia="Cambria" w:hAnsi="Cambria"/>
                <w:color w:val="3A3A3A"/>
                <w:sz w:val="18"/>
                <w:szCs w:val="18"/>
              </w:rPr>
              <w:t xml:space="preserve"> y no presenta ninguno de los tres rasgos, así que Prophet compite fuera de su terreno. Que quede detrás no desmiente el paper: confirma su criterio —la herramienta se elige por las características de la serie, no por el prestigio del método—.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Pronóstico a 12 meses con intervalo</w:t>
            </w:r>
          </w:p>
          <w:p>
            <w:pPr>
              <w:spacing w:line="265"/>
            </w:pPr>
            <w:r>
              <w:rPr>
                <w:rFonts w:ascii="Cambria" w:cs="Cambria" w:eastAsia="Cambria" w:hAnsi="Cambria"/>
                <w:color w:val="2D2D2D"/>
                <w:sz w:val="19"/>
                <w:szCs w:val="19"/>
              </w:rPr>
              <w:t xml:space="preserve">En el bloque A del cuaderno, leer el pronóstico hacia adelante y su intervalo del 95 %. Anotar el pronóstico del primer mes y del mes 12, y cómo </w:t>
            </w:r>
            <w:r>
              <w:rPr>
                <w:rFonts w:ascii="Cambria" w:cs="Cambria" w:eastAsia="Cambria" w:hAnsi="Cambria"/>
                <w:b/>
                <w:bCs/>
                <w:color w:val="2D2D2D"/>
                <w:sz w:val="19"/>
                <w:szCs w:val="19"/>
              </w:rPr>
              <w:t xml:space="preserve">crece el ancho</w:t>
            </w:r>
            <w:r>
              <w:rPr>
                <w:rFonts w:ascii="Cambria" w:cs="Cambria" w:eastAsia="Cambria" w:hAnsi="Cambria"/>
                <w:color w:val="2D2D2D"/>
                <w:sz w:val="19"/>
                <w:szCs w:val="19"/>
              </w:rPr>
              <w:t xml:space="preserve"> (y su semiancho ±). Traducirlo a inventario con el </w:t>
            </w:r>
            <w:r>
              <w:rPr>
                <w:rFonts w:ascii="Cambria" w:cs="Cambria" w:eastAsia="Cambria" w:hAnsi="Cambria"/>
                <w:b/>
                <w:bCs/>
                <w:color w:val="2D2D2D"/>
                <w:sz w:val="19"/>
                <w:szCs w:val="19"/>
              </w:rPr>
              <w:t xml:space="preserve">ratio crítico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Cu/(Cu+Co)</w:t>
            </w:r>
            <w:r>
              <w:rPr>
                <w:rFonts w:ascii="Cambria" w:cs="Cambria" w:eastAsia="Cambria" w:hAnsi="Cambria"/>
                <w:color w:val="2D2D2D"/>
                <w:sz w:val="19"/>
                <w:szCs w:val="19"/>
              </w:rPr>
              <w:t xml:space="preserve"> (newsvendor, Sección 3.1 de la plantilla).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Sección 3 de la plantilla + qué límite se stockea según el nivel de servicio.</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Recomendación</w:t>
            </w:r>
          </w:p>
          <w:p>
            <w:pPr>
              <w:spacing w:line="265"/>
            </w:pPr>
            <w:r>
              <w:rPr>
                <w:rFonts w:ascii="Cambria" w:cs="Cambria" w:eastAsia="Cambria" w:hAnsi="Cambria"/>
                <w:color w:val="2D2D2D"/>
                <w:sz w:val="19"/>
                <w:szCs w:val="19"/>
              </w:rPr>
              <w:t xml:space="preserve">En la fase de cierre, escribir la recomendación de pronóstico en una frase (pronóstico + intervalo + error esperado).</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frase Sección 4 de la plantilla.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PARTE A</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distinguió tendencia de estacionalidad?</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¿La validación fue honesta (holdout en el tiempo)?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compararon </w:t>
            </w:r>
            <w:r>
              <w:rPr>
                <w:rFonts w:ascii="Cambria" w:cs="Cambria" w:eastAsia="Cambria" w:hAnsi="Cambria"/>
                <w:b/>
                <w:bCs/>
                <w:color w:val="2D2D2D"/>
                <w:sz w:val="19"/>
                <w:szCs w:val="19"/>
              </w:rPr>
              <w:t xml:space="preserve">sMAPE y MAPE</w:t>
            </w:r>
            <w:r>
              <w:rPr>
                <w:rFonts w:ascii="Cambria" w:cs="Cambria" w:eastAsia="Cambria" w:hAnsi="Cambria"/>
                <w:color w:val="2D2D2D"/>
                <w:sz w:val="19"/>
                <w:szCs w:val="19"/>
              </w:rPr>
              <w:t xml:space="preserve"> y se reconoció el </w:t>
            </w:r>
            <w:r>
              <w:rPr>
                <w:rFonts w:ascii="Cambria" w:cs="Cambria" w:eastAsia="Cambria" w:hAnsi="Cambria"/>
                <w:b/>
                <w:bCs/>
                <w:color w:val="2D2D2D"/>
                <w:sz w:val="19"/>
                <w:szCs w:val="19"/>
              </w:rPr>
              <w:t xml:space="preserve">empate dentro del ruido</w:t>
            </w:r>
            <w:r>
              <w:rPr>
                <w:rFonts w:ascii="Cambria" w:cs="Cambria" w:eastAsia="Cambria" w:hAnsi="Cambria"/>
                <w:color w:val="2D2D2D"/>
                <w:sz w:val="19"/>
                <w:szCs w:val="19"/>
              </w:rPr>
              <w:t xml:space="preserve"> (solo Prophet detrás)?</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¿El pronóstico trae </w:t>
            </w:r>
            <w:r>
              <w:rPr>
                <w:rFonts w:ascii="Cambria" w:cs="Cambria" w:eastAsia="Cambria" w:hAnsi="Cambria"/>
                <w:b/>
                <w:bCs/>
                <w:color w:val="2D2D2D"/>
                <w:sz w:val="19"/>
                <w:szCs w:val="19"/>
              </w:rPr>
              <w:t xml:space="preserve">intervalo</w:t>
            </w:r>
            <w:r>
              <w:rPr>
                <w:rFonts w:ascii="Cambria" w:cs="Cambria" w:eastAsia="Cambria" w:hAnsi="Cambria"/>
                <w:color w:val="2D2D2D"/>
                <w:sz w:val="19"/>
                <w:szCs w:val="19"/>
              </w:rPr>
              <w:t xml:space="preserve"> y se tradujo a inventario (newsvendor)?</w:t>
            </w:r>
          </w:p>
        </w:tc>
      </w:tr>
    </w:tbl>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ENTENDER EL PORQUÉ: CORRELACIÓN ≠ CAUSALIDAD</w:t>
      </w:r>
    </w:p>
    <w:p>
      <w:pPr>
        <w:keepNext/>
        <w:pBdr>
          <w:bottom w:val="single" w:color="E4002B" w:sz="14" w:space="8"/>
        </w:pBdr>
        <w:spacing w:after="140"/>
      </w:pPr>
      <w:r>
        <w:rPr>
          <w:rFonts w:ascii="Cambria" w:cs="Cambria" w:eastAsia="Cambria" w:hAnsi="Cambria"/>
          <w:i/>
          <w:iCs/>
          <w:color w:val="6E6E6E"/>
          <w:sz w:val="19"/>
          <w:szCs w:val="19"/>
        </w:rPr>
        <w:t xml:space="preserve">Retención observacional, bloque B del cuaderno</w:t>
      </w:r>
      <w:r>
        <w:rPr>
          <w:rFonts w:ascii="Cambria" w:cs="Cambria" w:eastAsia="Cambria" w:hAnsi="Cambria"/>
          <w:b/>
          <w:bCs/>
          <w:color w:val="7A1526"/>
          <w:sz w:val="19"/>
          <w:szCs w:val="19"/>
        </w:rPr>
        <w:t xml:space="preserve">   |   ~30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El error de interpretación</w:t>
            </w:r>
          </w:p>
          <w:p>
            <w:pPr>
              <w:spacing w:line="265"/>
            </w:pPr>
            <w:r>
              <w:rPr>
                <w:rFonts w:ascii="Cambria" w:cs="Cambria" w:eastAsia="Cambria" w:hAnsi="Cambria"/>
                <w:color w:val="2D2D2D"/>
                <w:sz w:val="19"/>
                <w:szCs w:val="19"/>
              </w:rPr>
              <w:t xml:space="preserve">En el bloque B del cuaderno, enunciar el riesgo: «los clientes que recibieron la campaña valen más»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prueba que la campaña funcione. Nombrar el </w:t>
            </w:r>
            <w:r>
              <w:rPr>
                <w:rFonts w:ascii="Cambria" w:cs="Cambria" w:eastAsia="Cambria" w:hAnsi="Cambria"/>
                <w:b/>
                <w:bCs/>
                <w:color w:val="2D2D2D"/>
                <w:sz w:val="19"/>
                <w:szCs w:val="19"/>
              </w:rPr>
              <w:t xml:space="preserve">contrafactual</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línea con el riesgo y el contrafactual.</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Efecto ingenuo y confusor</w:t>
            </w:r>
          </w:p>
          <w:p>
            <w:pPr>
              <w:spacing w:line="265"/>
            </w:pPr>
            <w:r>
              <w:rPr>
                <w:rFonts w:ascii="Cambria" w:cs="Cambria" w:eastAsia="Cambria" w:hAnsi="Cambria"/>
                <w:color w:val="2D2D2D"/>
                <w:sz w:val="19"/>
                <w:szCs w:val="19"/>
              </w:rPr>
              <w:t xml:space="preserve">En el bloque B del cuaderno, ejecutar la comparación ingenua (campaña vs. no campaña) y ver que el </w:t>
            </w:r>
            <w:r>
              <w:rPr>
                <w:rFonts w:ascii="Cambria" w:cs="Cambria" w:eastAsia="Cambria" w:hAnsi="Cambria"/>
                <w:i/>
                <w:iCs/>
                <w:color w:val="2D2D2D"/>
                <w:sz w:val="19"/>
                <w:szCs w:val="19"/>
              </w:rPr>
              <w:t xml:space="preserve">engagement</w:t>
            </w:r>
            <w:r>
              <w:rPr>
                <w:rFonts w:ascii="Cambria" w:cs="Cambria" w:eastAsia="Cambria" w:hAnsi="Cambria"/>
                <w:color w:val="2D2D2D"/>
                <w:sz w:val="19"/>
                <w:szCs w:val="19"/>
              </w:rPr>
              <w:t xml:space="preserve"> correlaciona con </w:t>
            </w:r>
            <w:r>
              <w:rPr>
                <w:rFonts w:ascii="Cambria" w:cs="Cambria" w:eastAsia="Cambria" w:hAnsi="Cambria"/>
                <w:b/>
                <w:bCs/>
                <w:color w:val="2D2D2D"/>
                <w:sz w:val="19"/>
                <w:szCs w:val="19"/>
              </w:rPr>
              <w:t xml:space="preserve">ambos</w:t>
            </w:r>
            <w:r>
              <w:rPr>
                <w:rFonts w:ascii="Cambria" w:cs="Cambria" w:eastAsia="Cambria" w:hAnsi="Cambria"/>
                <w:color w:val="2D2D2D"/>
                <w:sz w:val="19"/>
                <w:szCs w:val="19"/>
              </w:rPr>
              <w:t xml:space="preserve"> (recibir la campaña y el valor)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es un </w:t>
            </w:r>
            <w:r>
              <w:rPr>
                <w:rFonts w:ascii="Cambria" w:cs="Cambria" w:eastAsia="Cambria" w:hAnsi="Cambria"/>
                <w:b/>
                <w:bCs/>
                <w:color w:val="2D2D2D"/>
                <w:sz w:val="19"/>
                <w:szCs w:val="19"/>
              </w:rPr>
              <w:t xml:space="preserve">confusor</w:t>
            </w:r>
            <w:r>
              <w:rPr>
                <w:rFonts w:ascii="Cambria" w:cs="Cambria" w:eastAsia="Cambria" w:hAnsi="Cambria"/>
                <w:color w:val="2D2D2D"/>
                <w:sz w:val="19"/>
                <w:szCs w:val="19"/>
              </w:rPr>
              <w:t xml:space="preserve">. Usar la </w:t>
            </w:r>
            <w:r>
              <w:rPr>
                <w:rFonts w:ascii="Consolas" w:cs="Consolas" w:eastAsia="Consolas" w:hAnsi="Consolas"/>
                <w:color w:val="7A1526"/>
                <w:sz w:val="17"/>
                <w:szCs w:val="17"/>
              </w:rPr>
              <w:t xml:space="preserve">plantillas/guia_correlacion_causalidad.docx</w:t>
            </w:r>
            <w:r>
              <w:rPr>
                <w:rFonts w:ascii="Cambria" w:cs="Cambria" w:eastAsia="Cambria" w:hAnsi="Cambria"/>
                <w:color w:val="2D2D2D"/>
                <w:sz w:val="19"/>
                <w:szCs w:val="19"/>
              </w:rPr>
              <w:t xml:space="preserve"> (Sección 1).</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efecto ingenuo y por qué está inflado.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Comparar clientes similares</w:t>
            </w:r>
          </w:p>
          <w:p>
            <w:pPr>
              <w:spacing w:line="265"/>
            </w:pPr>
            <w:r>
              <w:rPr>
                <w:rFonts w:ascii="Cambria" w:cs="Cambria" w:eastAsia="Cambria" w:hAnsi="Cambria"/>
                <w:color w:val="2D2D2D"/>
                <w:sz w:val="19"/>
                <w:szCs w:val="19"/>
              </w:rPr>
              <w:t xml:space="preserve">En el bloque B del cuaderno, ejecutar el ajuste (controlar el confusor) y comparar el efecto </w:t>
            </w:r>
            <w:r>
              <w:rPr>
                <w:rFonts w:ascii="Cambria" w:cs="Cambria" w:eastAsia="Cambria" w:hAnsi="Cambria"/>
                <w:b/>
                <w:bCs/>
                <w:color w:val="2D2D2D"/>
                <w:sz w:val="19"/>
                <w:szCs w:val="19"/>
              </w:rPr>
              <w:t xml:space="preserve">ingenuo</w:t>
            </w:r>
            <w:r>
              <w:rPr>
                <w:rFonts w:ascii="Cambria" w:cs="Cambria" w:eastAsia="Cambria" w:hAnsi="Cambria"/>
                <w:color w:val="2D2D2D"/>
                <w:sz w:val="19"/>
                <w:szCs w:val="19"/>
              </w:rPr>
              <w:t xml:space="preserve"> (+23,6) con el </w:t>
            </w:r>
            <w:r>
              <w:rPr>
                <w:rFonts w:ascii="Cambria" w:cs="Cambria" w:eastAsia="Cambria" w:hAnsi="Cambria"/>
                <w:b/>
                <w:bCs/>
                <w:color w:val="2D2D2D"/>
                <w:sz w:val="19"/>
                <w:szCs w:val="19"/>
              </w:rPr>
              <w:t xml:space="preserve">ajustado</w:t>
            </w:r>
            <w:r>
              <w:rPr>
                <w:rFonts w:ascii="Cambria" w:cs="Cambria" w:eastAsia="Cambria" w:hAnsi="Cambria"/>
                <w:color w:val="2D2D2D"/>
                <w:sz w:val="19"/>
                <w:szCs w:val="19"/>
              </w:rPr>
              <w:t xml:space="preserve"> (~+7,9) y el </w:t>
            </w:r>
            <w:r>
              <w:rPr>
                <w:rFonts w:ascii="Cambria" w:cs="Cambria" w:eastAsia="Cambria" w:hAnsi="Cambria"/>
                <w:b/>
                <w:bCs/>
                <w:color w:val="2D2D2D"/>
                <w:sz w:val="19"/>
                <w:szCs w:val="19"/>
              </w:rPr>
              <w:t xml:space="preserve">verdadero</w:t>
            </w:r>
            <w:r>
              <w:rPr>
                <w:rFonts w:ascii="Cambria" w:cs="Cambria" w:eastAsia="Cambria" w:hAnsi="Cambria"/>
                <w:color w:val="2D2D2D"/>
                <w:sz w:val="19"/>
                <w:szCs w:val="19"/>
              </w:rPr>
              <w:t xml:space="preserve"> (+8,0). Aplicar el </w:t>
            </w:r>
            <w:r>
              <w:rPr>
                <w:rFonts w:ascii="Cambria" w:cs="Cambria" w:eastAsia="Cambria" w:hAnsi="Cambria"/>
                <w:b/>
                <w:bCs/>
                <w:color w:val="2D2D2D"/>
                <w:sz w:val="19"/>
                <w:szCs w:val="19"/>
              </w:rPr>
              <w:t xml:space="preserve">árbol de decisión</w:t>
            </w:r>
            <w:r>
              <w:rPr>
                <w:rFonts w:ascii="Cambria" w:cs="Cambria" w:eastAsia="Cambria" w:hAnsi="Cambria"/>
                <w:color w:val="2D2D2D"/>
                <w:sz w:val="19"/>
                <w:szCs w:val="19"/>
              </w:rPr>
              <w:t xml:space="preserve"> de la guía (Sección 2). Cerrar en </w:t>
            </w:r>
            <w:r>
              <w:rPr>
                <w:rFonts w:ascii="Cambria" w:cs="Cambria" w:eastAsia="Cambria" w:hAnsi="Cambria"/>
                <w:b/>
                <w:bCs/>
                <w:color w:val="2D2D2D"/>
                <w:sz w:val="19"/>
                <w:szCs w:val="19"/>
              </w:rPr>
              <w:t xml:space="preserve">ROI</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efecto ajustado × retenidos − costo de campaña</w:t>
            </w:r>
            <w:r>
              <w:rPr>
                <w:rFonts w:ascii="Cambria" w:cs="Cambria" w:eastAsia="Cambria" w:hAnsi="Cambria"/>
                <w:color w:val="2D2D2D"/>
                <w:sz w:val="19"/>
                <w:szCs w:val="19"/>
              </w:rPr>
              <w:t xml:space="preserve">; decidir con el ajustado y no con el ingenuo (Sección 5 de la guía).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relación es causal? ¿cuánto exageraba la comparación ingenua? ¿la campaña cubre su costo?</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El estándar de oro</w:t>
            </w:r>
          </w:p>
          <w:p>
            <w:pPr>
              <w:spacing w:line="265"/>
            </w:pPr>
            <w:r>
              <w:rPr>
                <w:rFonts w:ascii="Cambria" w:cs="Cambria" w:eastAsia="Cambria" w:hAnsi="Cambria"/>
                <w:color w:val="2D2D2D"/>
                <w:sz w:val="19"/>
                <w:szCs w:val="19"/>
              </w:rPr>
              <w:t xml:space="preserve">En el bloque B del cuaderno, explicar en 2 líneas por qué un </w:t>
            </w:r>
            <w:r>
              <w:rPr>
                <w:rFonts w:ascii="Cambria" w:cs="Cambria" w:eastAsia="Cambria" w:hAnsi="Cambria"/>
                <w:b/>
                <w:bCs/>
                <w:color w:val="2D2D2D"/>
                <w:sz w:val="19"/>
                <w:szCs w:val="19"/>
              </w:rPr>
              <w:t xml:space="preserve">A/B</w:t>
            </w:r>
            <w:r>
              <w:rPr>
                <w:rFonts w:ascii="Cambria" w:cs="Cambria" w:eastAsia="Cambria" w:hAnsi="Cambria"/>
                <w:color w:val="2D2D2D"/>
                <w:sz w:val="19"/>
                <w:szCs w:val="19"/>
              </w:rPr>
              <w:t xml:space="preserve"> (asignación al azar) haría innecesario el ajuste. Conectar con el A/B de </w:t>
            </w:r>
            <w:r>
              <w:rPr>
                <w:rFonts w:ascii="Cambria" w:cs="Cambria" w:eastAsia="Cambria" w:hAnsi="Cambria"/>
                <w:i/>
                <w:iCs/>
                <w:color w:val="2D2D2D"/>
                <w:sz w:val="19"/>
                <w:szCs w:val="19"/>
              </w:rPr>
              <w:t xml:space="preserve">Cookie Cats</w:t>
            </w:r>
            <w:r>
              <w:rPr>
                <w:rFonts w:ascii="Cambria" w:cs="Cambria" w:eastAsia="Cambria" w:hAnsi="Cambria"/>
                <w:color w:val="2D2D2D"/>
                <w:sz w:val="19"/>
                <w:szCs w:val="19"/>
              </w:rPr>
              <w:t xml:space="preserve"> de E1.</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frase «cuando se puede experimentar, se experimenta».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PARTE B</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nombró el confusor?</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comparó ingenuo vs. ajustado vs. verdadero?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justificó por qué el A/B es el estándar de oro?</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¿CUÁNDO SE VAN LOS CLIENTES? CURVA DE RETENCIÓN Y CLV</w:t>
      </w:r>
    </w:p>
    <w:p>
      <w:pPr>
        <w:keepNext/>
        <w:pBdr>
          <w:bottom w:val="single" w:color="E4002B" w:sz="14" w:space="8"/>
        </w:pBdr>
        <w:spacing w:after="140"/>
      </w:pPr>
      <w:r>
        <w:rPr>
          <w:rFonts w:ascii="Cambria" w:cs="Cambria" w:eastAsia="Cambria" w:hAnsi="Cambria"/>
          <w:i/>
          <w:iCs/>
          <w:color w:val="6E6E6E"/>
          <w:sz w:val="19"/>
          <w:szCs w:val="19"/>
        </w:rPr>
        <w:t xml:space="preserve">Telco Customer Churn, bloque C del cuaderno</w:t>
      </w:r>
      <w:r>
        <w:rPr>
          <w:rFonts w:ascii="Cambria" w:cs="Cambria" w:eastAsia="Cambria" w:hAnsi="Cambria"/>
          <w:b/>
          <w:bCs/>
          <w:color w:val="7A1526"/>
          <w:sz w:val="19"/>
          <w:szCs w:val="19"/>
        </w:rPr>
        <w:t xml:space="preserve">   |   ~35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C0   </w:t>
            </w:r>
            <w:r>
              <w:rPr>
                <w:rFonts w:ascii="Calibri" w:cs="Calibri" w:eastAsia="Calibri" w:hAnsi="Calibri"/>
                <w:b/>
                <w:bCs/>
                <w:color w:val="7A1526"/>
                <w:sz w:val="19"/>
                <w:szCs w:val="19"/>
              </w:rPr>
              <w:t xml:space="preserve">Censura</w:t>
            </w:r>
          </w:p>
          <w:p>
            <w:pPr>
              <w:spacing w:line="265"/>
            </w:pPr>
            <w:r>
              <w:rPr>
                <w:rFonts w:ascii="Cambria" w:cs="Cambria" w:eastAsia="Cambria" w:hAnsi="Cambria"/>
                <w:color w:val="2D2D2D"/>
                <w:sz w:val="19"/>
                <w:szCs w:val="19"/>
              </w:rPr>
              <w:t xml:space="preserve">En el bloque C del cuaderno, reconocer que los clientes </w:t>
            </w:r>
            <w:r>
              <w:rPr>
                <w:rFonts w:ascii="Cambria" w:cs="Cambria" w:eastAsia="Cambria" w:hAnsi="Cambria"/>
                <w:b/>
                <w:bCs/>
                <w:color w:val="2D2D2D"/>
                <w:sz w:val="19"/>
                <w:szCs w:val="19"/>
              </w:rPr>
              <w:t xml:space="preserve">activos</w:t>
            </w:r>
            <w:r>
              <w:rPr>
                <w:rFonts w:ascii="Cambria" w:cs="Cambria" w:eastAsia="Cambria" w:hAnsi="Cambria"/>
                <w:color w:val="2D2D2D"/>
                <w:sz w:val="19"/>
                <w:szCs w:val="19"/>
              </w:rPr>
              <w:t xml:space="preserve"> son datos </w:t>
            </w:r>
            <w:r>
              <w:rPr>
                <w:rFonts w:ascii="Cambria" w:cs="Cambria" w:eastAsia="Cambria" w:hAnsi="Cambria"/>
                <w:b/>
                <w:bCs/>
                <w:color w:val="2D2D2D"/>
                <w:sz w:val="19"/>
                <w:szCs w:val="19"/>
              </w:rPr>
              <w:t xml:space="preserve">censurados</w:t>
            </w:r>
            <w:r>
              <w:rPr>
                <w:rFonts w:ascii="Cambria" w:cs="Cambria" w:eastAsia="Cambria" w:hAnsi="Cambria"/>
                <w:color w:val="2D2D2D"/>
                <w:sz w:val="19"/>
                <w:szCs w:val="19"/>
              </w:rPr>
              <w:t xml:space="preserve"> (siguen sin evento; no se sabe cuándo se irán).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línea sobre por qué no se pueden descartar los activos.</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C1   </w:t>
            </w:r>
            <w:r>
              <w:rPr>
                <w:rFonts w:ascii="Calibri" w:cs="Calibri" w:eastAsia="Calibri" w:hAnsi="Calibri"/>
                <w:b/>
                <w:bCs/>
                <w:color w:val="7A1526"/>
                <w:sz w:val="19"/>
                <w:szCs w:val="19"/>
              </w:rPr>
              <w:t xml:space="preserve">Curva de retención por segmento</w:t>
            </w:r>
          </w:p>
          <w:p>
            <w:pPr>
              <w:spacing w:line="265"/>
            </w:pPr>
            <w:r>
              <w:rPr>
                <w:rFonts w:ascii="Cambria" w:cs="Cambria" w:eastAsia="Cambria" w:hAnsi="Cambria"/>
                <w:color w:val="2D2D2D"/>
                <w:sz w:val="19"/>
                <w:szCs w:val="19"/>
              </w:rPr>
              <w:t xml:space="preserve">En el bloque C del cuaderno, ejecutar las curvas de Kaplan-Meier por tipo de contrato y leer la retención S(t) a 12/24/72 meses. Confirmar con la prueba de </w:t>
            </w:r>
            <w:r>
              <w:rPr>
                <w:rFonts w:ascii="Cambria" w:cs="Cambria" w:eastAsia="Cambria" w:hAnsi="Cambria"/>
                <w:b/>
                <w:bCs/>
                <w:color w:val="2D2D2D"/>
                <w:sz w:val="19"/>
                <w:szCs w:val="19"/>
              </w:rPr>
              <w:t xml:space="preserve">log-rank</w:t>
            </w:r>
            <w:r>
              <w:rPr>
                <w:rFonts w:ascii="Cambria" w:cs="Cambria" w:eastAsia="Cambria" w:hAnsi="Cambria"/>
                <w:color w:val="2D2D2D"/>
                <w:sz w:val="19"/>
                <w:szCs w:val="19"/>
              </w:rPr>
              <w:t xml:space="preserve"> que los segmentos difieren.</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de retención por segmento + qué segmento retiene peor.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De dónde proviene la curva — qué preguntaba el paper</w:t>
            </w:r>
          </w:p>
          <w:p>
            <w:pPr>
              <w:spacing w:after="70" w:line="265"/>
            </w:pPr>
            <w:r>
              <w:rPr>
                <w:rFonts w:ascii="Cambria" w:cs="Cambria" w:eastAsia="Cambria" w:hAnsi="Cambria"/>
                <w:color w:val="3A3A3A"/>
                <w:sz w:val="18"/>
                <w:szCs w:val="18"/>
              </w:rPr>
              <w:t xml:space="preserve">Kaplan y Meier (1958) no buscaban una curva escalonada: atacaban la </w:t>
            </w:r>
            <w:r>
              <w:rPr>
                <w:rFonts w:ascii="Cambria" w:cs="Cambria" w:eastAsia="Cambria" w:hAnsi="Cambria"/>
                <w:b/>
                <w:bCs/>
                <w:color w:val="3A3A3A"/>
                <w:sz w:val="18"/>
                <w:szCs w:val="18"/>
              </w:rPr>
              <w:t xml:space="preserve">censura</w:t>
            </w:r>
            <w:r>
              <w:rPr>
                <w:rFonts w:ascii="Cambria" w:cs="Cambria" w:eastAsia="Cambria" w:hAnsi="Cambria"/>
                <w:color w:val="3A3A3A"/>
                <w:sz w:val="18"/>
                <w:szCs w:val="18"/>
              </w:rPr>
              <w:t xml:space="preserve">, el dato de quien sale de observación sin que se vea su evento. Llegaron al problema por separado y desde mundos distintos —uno medía la vida de los tubos de vacío de los repetidores de cables telefónicos submarinos, el otro venía de un artículo sobre la duración del cáncer—, prueba de que la censura no es un asunto clínico sino de cualquier dato de tiempo hasta un evento, la antigüedad de un cliente activo incluida. Eligieron un </w:t>
            </w:r>
            <w:r>
              <w:rPr>
                <w:rFonts w:ascii="Cambria" w:cs="Cambria" w:eastAsia="Cambria" w:hAnsi="Cambria"/>
                <w:b/>
                <w:bCs/>
                <w:color w:val="3A3A3A"/>
                <w:sz w:val="18"/>
                <w:szCs w:val="18"/>
              </w:rPr>
              <w:t xml:space="preserve">producto de probabilidades condicionales</w:t>
            </w:r>
            <w:r>
              <w:rPr>
                <w:rFonts w:ascii="Cambria" w:cs="Cambria" w:eastAsia="Cambria" w:hAnsi="Cambria"/>
                <w:color w:val="3A3A3A"/>
                <w:sz w:val="18"/>
                <w:szCs w:val="18"/>
              </w:rPr>
              <w:t xml:space="preserve"> porque con censura el número de sujetos en riesgo cambia a cada instante y una proporción simple deja de ser calculable, y evitaron suponer una forma para S(t) porque no había base para creer que un cable submarino y un paciente compartieran una familia de curvas. Todo el método descansa en un supuesto que ningún cálculo verifica: la </w:t>
            </w:r>
            <w:r>
              <w:rPr>
                <w:rFonts w:ascii="Cambria" w:cs="Cambria" w:eastAsia="Cambria" w:hAnsi="Cambria"/>
                <w:b/>
                <w:bCs/>
                <w:color w:val="3A3A3A"/>
                <w:sz w:val="18"/>
                <w:szCs w:val="18"/>
              </w:rPr>
              <w:t xml:space="preserve">censura no informativa</w:t>
            </w:r>
            <w:r>
              <w:rPr>
                <w:rFonts w:ascii="Cambria" w:cs="Cambria" w:eastAsia="Cambria" w:hAnsi="Cambria"/>
                <w:color w:val="3A3A3A"/>
                <w:sz w:val="18"/>
                <w:szCs w:val="18"/>
              </w:rPr>
              <w:t xml:space="preserve">, es decir, que un cliente siga activo no debe estar ligado a su riesgo de irse.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C2   </w:t>
            </w:r>
            <w:r>
              <w:rPr>
                <w:rFonts w:ascii="Calibri" w:cs="Calibri" w:eastAsia="Calibri" w:hAnsi="Calibri"/>
                <w:b/>
                <w:bCs/>
                <w:color w:val="7A1526"/>
                <w:sz w:val="19"/>
                <w:szCs w:val="19"/>
              </w:rPr>
              <w:t xml:space="preserve">CLV por segmento</w:t>
            </w:r>
          </w:p>
          <w:p>
            <w:pPr>
              <w:spacing w:line="265"/>
            </w:pPr>
            <w:r>
              <w:rPr>
                <w:rFonts w:ascii="Cambria" w:cs="Cambria" w:eastAsia="Cambria" w:hAnsi="Cambria"/>
                <w:color w:val="2D2D2D"/>
                <w:sz w:val="19"/>
                <w:szCs w:val="19"/>
              </w:rPr>
              <w:t xml:space="preserve">En el bloque C del cuaderno, leer el CLV a 72 meses por contrato. Notar la </w:t>
            </w:r>
            <w:r>
              <w:rPr>
                <w:rFonts w:ascii="Cambria" w:cs="Cambria" w:eastAsia="Cambria" w:hAnsi="Cambria"/>
                <w:b/>
                <w:bCs/>
                <w:color w:val="2D2D2D"/>
                <w:sz w:val="19"/>
                <w:szCs w:val="19"/>
              </w:rPr>
              <w:t xml:space="preserve">paradoja</w:t>
            </w:r>
            <w:r>
              <w:rPr>
                <w:rFonts w:ascii="Cambria" w:cs="Cambria" w:eastAsia="Cambria" w:hAnsi="Cambria"/>
                <w:color w:val="2D2D2D"/>
                <w:sz w:val="19"/>
                <w:szCs w:val="19"/>
              </w:rPr>
              <w:t xml:space="preserve">: el segmento de </w:t>
            </w:r>
            <w:r>
              <w:rPr>
                <w:rFonts w:ascii="Cambria" w:cs="Cambria" w:eastAsia="Cambria" w:hAnsi="Cambria"/>
                <w:b/>
                <w:bCs/>
                <w:color w:val="2D2D2D"/>
                <w:sz w:val="19"/>
                <w:szCs w:val="19"/>
              </w:rPr>
              <w:t xml:space="preserve">mayor margen mensual</w:t>
            </w:r>
            <w:r>
              <w:rPr>
                <w:rFonts w:ascii="Cambria" w:cs="Cambria" w:eastAsia="Cambria" w:hAnsi="Cambria"/>
                <w:color w:val="2D2D2D"/>
                <w:sz w:val="19"/>
                <w:szCs w:val="19"/>
              </w:rPr>
              <w:t xml:space="preserve"> (mes-a-mes) tiene el </w:t>
            </w:r>
            <w:r>
              <w:rPr>
                <w:rFonts w:ascii="Cambria" w:cs="Cambria" w:eastAsia="Cambria" w:hAnsi="Cambria"/>
                <w:b/>
                <w:bCs/>
                <w:color w:val="2D2D2D"/>
                <w:sz w:val="19"/>
                <w:szCs w:val="19"/>
              </w:rPr>
              <w:t xml:space="preserve">menor CLV</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frase sobre por qué «la retención domina el valor».</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C3   </w:t>
            </w:r>
            <w:r>
              <w:rPr>
                <w:rFonts w:ascii="Calibri" w:cs="Calibri" w:eastAsia="Calibri" w:hAnsi="Calibri"/>
                <w:b/>
                <w:bCs/>
                <w:color w:val="7A1526"/>
                <w:sz w:val="19"/>
                <w:szCs w:val="19"/>
              </w:rPr>
              <w:t xml:space="preserve">Recomendación de retención</w:t>
            </w:r>
          </w:p>
          <w:p>
            <w:pPr>
              <w:spacing w:line="265"/>
            </w:pPr>
            <w:r>
              <w:rPr>
                <w:rFonts w:ascii="Cambria" w:cs="Cambria" w:eastAsia="Cambria" w:hAnsi="Cambria"/>
                <w:color w:val="2D2D2D"/>
                <w:sz w:val="19"/>
                <w:szCs w:val="19"/>
              </w:rPr>
              <w:t xml:space="preserve">En la fase de cierre, priorizar: ¿a qué segmento vigilar primero y con qué techo de gasto (el CLV)?</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recomendación de retención.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PARTE C</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entendió la censura?</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leyó S(t) a horizontes de negocio?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explicó por qué mes-a-mes vale menos pese a su margen?</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¿La recomendación usa el CLV como techo?</w:t>
            </w:r>
          </w:p>
        </w:tc>
      </w:tr>
    </w:tbl>
    <w:p>
      <w:r>
        <w:br w:type="page"/>
      </w:r>
    </w:p>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PRODUCTO ESPERADO DEL LABORATORIO</w:t>
      </w:r>
    </w:p>
    <w:p>
      <w:pPr>
        <w:keepNext/>
        <w:pBdr>
          <w:bottom w:val="single" w:color="E4002B" w:sz="14" w:space="8"/>
        </w:pBdr>
        <w:spacing w:after="140"/>
      </w:pPr>
      <w:r>
        <w:rPr>
          <w:rFonts w:ascii="Cambria" w:cs="Cambria" w:eastAsia="Cambria" w:hAnsi="Cambria"/>
          <w:i/>
          <w:iCs/>
          <w:color w:val="6E6E6E"/>
          <w:sz w:val="19"/>
          <w:szCs w:val="19"/>
        </w:rPr>
        <w:t xml:space="preserve">Entregable de la sesión</w:t>
      </w:r>
      <w:r>
        <w:rPr>
          <w:rFonts w:ascii="Cambria" w:cs="Cambria" w:eastAsia="Cambria" w:hAnsi="Cambria"/>
          <w:b/>
          <w:bCs/>
          <w:color w:val="7A1526"/>
          <w:sz w:val="19"/>
          <w:szCs w:val="19"/>
        </w:rPr>
        <w:t xml:space="preserve">   |   máx. 3 páginas + figuras</w:t>
      </w:r>
    </w:p>
    <w:p>
      <w:pPr>
        <w:spacing w:line="270"/>
      </w:pPr>
      <w:r>
        <w:rPr>
          <w:rFonts w:ascii="Cambria" w:cs="Cambria" w:eastAsia="Cambria" w:hAnsi="Cambria"/>
          <w:color w:val="2D2D2D"/>
          <w:sz w:val="20"/>
          <w:szCs w:val="20"/>
        </w:rPr>
        <w:t xml:space="preserve">Un mini-reporte (máx. 3 páginas + figuras del cuaderno) con: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Pronóstico:</w:t>
            </w:r>
            <w:r>
              <w:rPr>
                <w:rFonts w:ascii="Cambria" w:cs="Cambria" w:eastAsia="Cambria" w:hAnsi="Cambria"/>
                <w:color w:val="2D2D2D"/>
                <w:sz w:val="19"/>
                <w:szCs w:val="19"/>
              </w:rPr>
              <w:t xml:space="preserve"> descomposición, validación honesta (tabla de métodos), pronóstico a 12 meses con intervalo y recomendación.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Causalidad:</w:t>
            </w:r>
            <w:r>
              <w:rPr>
                <w:rFonts w:ascii="Cambria" w:cs="Cambria" w:eastAsia="Cambria" w:hAnsi="Cambria"/>
                <w:color w:val="2D2D2D"/>
                <w:sz w:val="19"/>
                <w:szCs w:val="19"/>
              </w:rPr>
              <w:t xml:space="preserve"> efecto ingenuo vs. ajustado vs. verdadero, el confusor identificado y por qué el A/B es el estándar de oro.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Retención:</w:t>
            </w:r>
            <w:r>
              <w:rPr>
                <w:rFonts w:ascii="Cambria" w:cs="Cambria" w:eastAsia="Cambria" w:hAnsi="Cambria"/>
                <w:color w:val="2D2D2D"/>
                <w:sz w:val="19"/>
                <w:szCs w:val="19"/>
              </w:rPr>
              <w:t xml:space="preserve"> curvas KM por segmento, retención S(t), CLV por segmento y recomendación de retención.</w:t>
            </w:r>
          </w:p>
        </w:tc>
      </w:tr>
    </w:tbl>
    <w:p>
      <w:pPr>
        <w:spacing w:after="180"/>
      </w:pPr>
    </w:p>
    <w:p>
      <w:pPr>
        <w:spacing w:after="260" w:line="265"/>
      </w:pPr>
      <w:r>
        <w:rPr>
          <w:rFonts w:ascii="Cambria" w:cs="Cambria" w:eastAsia="Cambria" w:hAnsi="Cambria"/>
          <w:i/>
          <w:iCs/>
          <w:color w:val="6E6E6E"/>
          <w:sz w:val="18"/>
          <w:szCs w:val="18"/>
        </w:rPr>
        <w:t xml:space="preserve">Este producto es la base del </w:t>
      </w:r>
      <w:r>
        <w:rPr>
          <w:rFonts w:ascii="Cambria" w:cs="Cambria" w:eastAsia="Cambria" w:hAnsi="Cambria"/>
          <w:b/>
          <w:bCs/>
          <w:i/>
          <w:iCs/>
          <w:color w:val="6E6E6E"/>
          <w:sz w:val="18"/>
          <w:szCs w:val="18"/>
        </w:rPr>
        <w:t xml:space="preserve">entregable evaluable</w:t>
      </w:r>
      <w:r>
        <w:rPr>
          <w:rFonts w:ascii="Cambria" w:cs="Cambria" w:eastAsia="Cambria" w:hAnsi="Cambria"/>
          <w:i/>
          <w:iCs/>
          <w:color w:val="6E6E6E"/>
          <w:sz w:val="18"/>
          <w:szCs w:val="18"/>
        </w:rPr>
        <w:t xml:space="preserve">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 rúbrica vigesimal total = 20). Los ejercicios de práctica están en </w:t>
      </w:r>
      <w:r>
        <w:rPr>
          <w:rFonts w:ascii="Consolas" w:cs="Consolas" w:eastAsia="Consolas" w:hAnsi="Consolas"/>
          <w:i/>
          <w:iCs/>
          <w:color w:val="7A1526"/>
          <w:sz w:val="16"/>
          <w:szCs w:val="16"/>
        </w:rPr>
        <w:t xml:space="preserve">evaluacion/drills.docx</w:t>
      </w:r>
      <w:r>
        <w:rPr>
          <w:rFonts w:ascii="Cambria" w:cs="Cambria" w:eastAsia="Cambria" w:hAnsi="Cambria"/>
          <w:i/>
          <w:iCs/>
          <w:color w:val="6E6E6E"/>
          <w:sz w:val="18"/>
          <w:szCs w:val="18"/>
        </w:rPr>
        <w:t xml:space="preserve">.</w:t>
      </w:r>
    </w:p>
    <w:p>
      <w:pPr>
        <w:keepNext/>
        <w:spacing w:after="110" w:before="240"/>
      </w:pPr>
      <w:r>
        <w:rPr>
          <w:rFonts w:ascii="Calibri" w:cs="Calibri" w:eastAsia="Calibri" w:hAnsi="Calibri"/>
          <w:b/>
          <w:bCs/>
          <w:color w:val="7A1526"/>
          <w:sz w:val="21"/>
          <w:szCs w:val="21"/>
        </w:rPr>
        <w:t xml:space="preserve">5. Checklist final de autoevaluación</w:t>
      </w:r>
    </w:p>
    <w:p>
      <w:pPr>
        <w:spacing w:after="140"/>
      </w:pPr>
      <w:r>
        <w:rPr>
          <w:rFonts w:ascii="Cambria" w:cs="Cambria" w:eastAsia="Cambria" w:hAnsi="Cambria"/>
          <w:i/>
          <w:iCs/>
          <w:color w:val="6E6E6E"/>
          <w:sz w:val="18"/>
          <w:szCs w:val="18"/>
        </w:rPr>
        <w:t xml:space="preserve">Verificación previa a la entrega.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Descomposición leída: tendencia, estacionalidad (mes pico) y ruido.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Validación honesta con holdout; </w:t>
            </w:r>
            <w:r>
              <w:rPr>
                <w:rFonts w:ascii="Cambria" w:cs="Cambria" w:eastAsia="Cambria" w:hAnsi="Cambria"/>
                <w:b/>
                <w:bCs/>
                <w:color w:val="2D2D2D"/>
                <w:sz w:val="19"/>
                <w:szCs w:val="19"/>
              </w:rPr>
              <w:t xml:space="preserve">sMAPE y MAPE</w:t>
            </w:r>
            <w:r>
              <w:rPr>
                <w:rFonts w:ascii="Cambria" w:cs="Cambria" w:eastAsia="Cambria" w:hAnsi="Cambria"/>
                <w:color w:val="2D2D2D"/>
                <w:sz w:val="19"/>
                <w:szCs w:val="19"/>
              </w:rPr>
              <w:t xml:space="preserve"> comparados (empate dentro del ruido; Prophet detrás).</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Pronóstico a 12 meses con </w:t>
            </w:r>
            <w:r>
              <w:rPr>
                <w:rFonts w:ascii="Cambria" w:cs="Cambria" w:eastAsia="Cambria" w:hAnsi="Cambria"/>
                <w:b/>
                <w:bCs/>
                <w:color w:val="2D2D2D"/>
                <w:sz w:val="19"/>
                <w:szCs w:val="19"/>
              </w:rPr>
              <w:t xml:space="preserve">intervalo del 95 %</w:t>
            </w:r>
            <w:r>
              <w:rPr>
                <w:rFonts w:ascii="Cambria" w:cs="Cambria" w:eastAsia="Cambria" w:hAnsi="Cambria"/>
                <w:color w:val="2D2D2D"/>
                <w:sz w:val="19"/>
                <w:szCs w:val="19"/>
              </w:rPr>
              <w:t xml:space="preserve">; se notó que se ensancha.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Correlación vs. causalidad: </w:t>
            </w:r>
            <w:r>
              <w:rPr>
                <w:rFonts w:ascii="Cambria" w:cs="Cambria" w:eastAsia="Cambria" w:hAnsi="Cambria"/>
                <w:b/>
                <w:bCs/>
                <w:color w:val="2D2D2D"/>
                <w:sz w:val="19"/>
                <w:szCs w:val="19"/>
              </w:rPr>
              <w:t xml:space="preserve">confusor</w:t>
            </w:r>
            <w:r>
              <w:rPr>
                <w:rFonts w:ascii="Cambria" w:cs="Cambria" w:eastAsia="Cambria" w:hAnsi="Cambria"/>
                <w:color w:val="2D2D2D"/>
                <w:sz w:val="19"/>
                <w:szCs w:val="19"/>
              </w:rPr>
              <w:t xml:space="preserve"> identificado y efecto ingenuo vs. ajustado vs. verdadero.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Justificado por qué el </w:t>
            </w:r>
            <w:r>
              <w:rPr>
                <w:rFonts w:ascii="Cambria" w:cs="Cambria" w:eastAsia="Cambria" w:hAnsi="Cambria"/>
                <w:b/>
                <w:bCs/>
                <w:color w:val="2D2D2D"/>
                <w:sz w:val="19"/>
                <w:szCs w:val="19"/>
              </w:rPr>
              <w:t xml:space="preserve">A/B</w:t>
            </w:r>
            <w:r>
              <w:rPr>
                <w:rFonts w:ascii="Cambria" w:cs="Cambria" w:eastAsia="Cambria" w:hAnsi="Cambria"/>
                <w:color w:val="2D2D2D"/>
                <w:sz w:val="19"/>
                <w:szCs w:val="19"/>
              </w:rPr>
              <w:t xml:space="preserve"> es el estándar de oro para decidir inversión.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Curvas de retención por segmento + S(t) a 12/24/72 meses + log-rank.</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b/>
                <w:bCs/>
                <w:color w:val="2D2D2D"/>
                <w:sz w:val="19"/>
                <w:szCs w:val="19"/>
              </w:rPr>
              <w:t xml:space="preserve">CLV</w:t>
            </w:r>
            <w:r>
              <w:rPr>
                <w:rFonts w:ascii="Cambria" w:cs="Cambria" w:eastAsia="Cambria" w:hAnsi="Cambria"/>
                <w:color w:val="2D2D2D"/>
                <w:sz w:val="19"/>
                <w:szCs w:val="19"/>
              </w:rPr>
              <w:t xml:space="preserve"> por segmento leído; explicada la paradoja «más margen, menos valor».</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Tres recomendaciones de negocio, cada una coherente con su evidencia.</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EPE E6: Pronosticar el futuro y entender el porqué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EPE E6</dc:title>
  <dc:creator>UPC</dc:creator>
  <dc:description>Pronosticar el futuro y entender el porqué</dc:description>
  <cp:lastModifiedBy>Un-named</cp:lastModifiedBy>
  <cp:revision>1</cp:revision>
  <dcterms:created xsi:type="dcterms:W3CDTF">2026-09-11T14:14:46.856Z</dcterms:created>
  <dcterms:modified xsi:type="dcterms:W3CDTF">2026-09-11T14:14:46.857Z</dcterms:modified>
</cp:coreProperties>
</file>

<file path=docProps/custom.xml><?xml version="1.0" encoding="utf-8"?>
<Properties xmlns="http://schemas.openxmlformats.org/officeDocument/2006/custom-properties" xmlns:vt="http://schemas.openxmlformats.org/officeDocument/2006/docPropsVTypes"/>
</file>