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de una página: distinguir correlación de causalidad para decidir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de Ciencias de Datos · Modalidad EPE · Sesión E6. Guía del estudiante para </w:t>
      </w:r>
      <w:r>
        <w:rPr>
          <w:b/>
          <w:color w:val="2D2D2D"/>
        </w:rPr>
        <w:t>no confundir asociación con causa</w:t>
      </w:r>
      <w:r>
        <w:rPr>
          <w:color w:val="2D2D2D"/>
        </w:rPr>
        <w:t xml:space="preserve"> al tomar decisiones de negocio. Un concepto + un árbol de decisión + un checklist, a nivel EPE (contrafactual, confusor, A/B como estándar de oro), sin los métodos formales (DiD/PSM/variables instrumentales). Se aplica en el laboratorio (</w:t>
      </w:r>
      <w:r>
        <w:rPr>
          <w:rFonts w:ascii="Consolas" w:hAnsi="Consolas"/>
          <w:color w:val="2D2D2D"/>
          <w:sz w:val="19"/>
        </w:rPr>
        <w:t>laboratorio/GUIA_LABORATORIO_E06.docx</w:t>
      </w:r>
      <w:r>
        <w:rPr>
          <w:color w:val="2D2D2D"/>
        </w:rPr>
        <w:t>) y en el entregable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). Ejemplo trabajado: campaña de retención, cuaderno </w:t>
      </w:r>
      <w:r>
        <w:rPr>
          <w:rFonts w:ascii="Consolas" w:hAnsi="Consolas"/>
          <w:color w:val="2D2D2D"/>
          <w:sz w:val="19"/>
        </w:rPr>
        <w:t>notebook/EPE_S6_series_causal.ipynb</w:t>
      </w:r>
      <w:r>
        <w:rPr>
          <w:color w:val="2D2D2D"/>
        </w:rPr>
        <w:t>, bloque B. Español impersonal.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La idea en una frase</w:t>
      </w:r>
    </w:p>
    <w:p>
      <w:pPr>
        <w:jc w:val="both"/>
      </w:pPr>
      <w:r>
        <w:t xml:space="preserve">Que dos variables </w:t>
      </w:r>
      <w:r>
        <w:rPr>
          <w:b/>
        </w:rPr>
        <w:t>suban juntas</w:t>
      </w:r>
      <w:r>
        <w:t xml:space="preserve"> (correlación) </w:t>
      </w:r>
      <w:r>
        <w:rPr>
          <w:b/>
        </w:rPr>
        <w:t>no</w:t>
      </w:r>
      <w:r>
        <w:t xml:space="preserve"> significa que una </w:t>
      </w:r>
      <w:r>
        <w:rPr>
          <w:b/>
        </w:rPr>
        <w:t>cause</w:t>
      </w:r>
      <w:r>
        <w:t xml:space="preserve"> la otra. Para afirmar causa hay que imaginar el </w:t>
      </w:r>
      <w:r>
        <w:rPr>
          <w:b/>
        </w:rPr>
        <w:t>contrafactual</w:t>
      </w:r>
      <w:r>
        <w:t xml:space="preserve">: qué habría pasado con </w:t>
      </w:r>
      <w:r>
        <w:rPr>
          <w:b/>
        </w:rPr>
        <w:t>los mismos clientes</w:t>
      </w:r>
      <w:r>
        <w:t xml:space="preserve"> si </w:t>
      </w:r>
      <w:r>
        <w:rPr>
          <w:b/>
        </w:rPr>
        <w:t>no</w:t>
      </w:r>
      <w:r>
        <w:t xml:space="preserve"> hubieran recibido la acción. El peligro típico es el </w:t>
      </w:r>
      <w:r>
        <w:rPr>
          <w:b/>
        </w:rPr>
        <w:t>confusor</w:t>
      </w:r>
      <w:r>
        <w:t xml:space="preserve">: una tercera variable que empuja </w:t>
      </w:r>
      <w:r>
        <w:rPr>
          <w:b/>
        </w:rPr>
        <w:t>a la vez</w:t>
      </w:r>
      <w:r>
        <w:t xml:space="preserve"> el tratamiento y el resultado, y crea una asociación </w:t>
      </w:r>
      <w:r>
        <w:rPr>
          <w:b/>
        </w:rPr>
        <w:t>espuria</w:t>
      </w:r>
      <w:r>
        <w:t xml:space="preserve"> o </w:t>
      </w:r>
      <w:r>
        <w:rPr>
          <w:b/>
        </w:rPr>
        <w:t>inflada</w:t>
      </w:r>
      <w:r>
        <w:t>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CUATRO PALABRAS CLAVE:</w:t>
      </w:r>
    </w:p>
    <w:p>
      <w:pPr>
        <w:pStyle w:val="ListBullet"/>
        <w:spacing w:after="40"/>
      </w:pPr>
      <w:r>
        <w:rPr>
          <w:b/>
        </w:rPr>
        <w:t>Correlación:</w:t>
      </w:r>
      <w:r>
        <w:t xml:space="preserve"> dos variables se mueven juntas. Útil para describir, </w:t>
      </w:r>
      <w:r>
        <w:rPr>
          <w:b/>
        </w:rPr>
        <w:t>insuficiente</w:t>
      </w:r>
      <w:r>
        <w:t xml:space="preserve"> para decidir invertir.</w:t>
      </w:r>
    </w:p>
    <w:p>
      <w:pPr>
        <w:pStyle w:val="ListBullet"/>
        <w:spacing w:after="40"/>
      </w:pPr>
      <w:r>
        <w:rPr>
          <w:b/>
        </w:rPr>
        <w:t>Contrafactual:</w:t>
      </w:r>
      <w:r>
        <w:t xml:space="preserve"> el resultado que habría ocurrido </w:t>
      </w:r>
      <w:r>
        <w:rPr>
          <w:b/>
        </w:rPr>
        <w:t>sin</w:t>
      </w:r>
      <w:r>
        <w:t xml:space="preserve"> la acción. Nunca se observa directamente; hay que </w:t>
      </w:r>
      <w:r>
        <w:rPr>
          <w:b/>
        </w:rPr>
        <w:t>construirlo</w:t>
      </w:r>
      <w:r>
        <w:t xml:space="preserve"> de forma creíble.</w:t>
      </w:r>
    </w:p>
    <w:p>
      <w:pPr>
        <w:pStyle w:val="ListBullet"/>
        <w:spacing w:after="40"/>
      </w:pPr>
      <w:r>
        <w:rPr>
          <w:b/>
        </w:rPr>
        <w:t>Confusor:</w:t>
      </w:r>
      <w:r>
        <w:t xml:space="preserve"> variable que afecta al tratamiento </w:t>
      </w:r>
      <w:r>
        <w:rPr>
          <w:b/>
        </w:rPr>
        <w:t>y</w:t>
      </w:r>
      <w:r>
        <w:t xml:space="preserve"> al resultado (p. ej. clientes ya activos que reciben más campañas </w:t>
      </w:r>
      <w:r>
        <w:rPr>
          <w:b/>
        </w:rPr>
        <w:t>y</w:t>
      </w:r>
      <w:r>
        <w:t xml:space="preserve"> valen más). Distorsiona la comparación ingenua.</w:t>
      </w:r>
    </w:p>
    <w:p>
      <w:pPr>
        <w:pStyle w:val="ListBullet"/>
        <w:spacing w:after="40"/>
      </w:pPr>
      <w:r>
        <w:rPr>
          <w:b/>
        </w:rPr>
        <w:t>A/B (experimento):</w:t>
      </w:r>
      <w:r>
        <w:t xml:space="preserve"> asignar la acción </w:t>
      </w:r>
      <w:r>
        <w:rPr>
          <w:b/>
        </w:rPr>
        <w:t>al azar</w:t>
      </w:r>
      <w:r>
        <w:t xml:space="preserve">. Iguala los grupos en todo lo demás → la diferencia </w:t>
      </w:r>
      <w:r>
        <w:rPr>
          <w:b/>
        </w:rPr>
        <w:t>sí</w:t>
      </w:r>
      <w:r>
        <w:t xml:space="preserve"> mide la causa. Es el </w:t>
      </w:r>
      <w:r>
        <w:rPr>
          <w:b/>
        </w:rPr>
        <w:t>estándar de oro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Árbol de decisión — ¿la relación es causal (sirve para decidir inversión)?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 xml:space="preserve"> +- ¿Hubo un EXPERIMENTO (A/B): la acción se asignó AL AZAR?</w:t>
        <w:br/>
        <w:t xml:space="preserve"> | |</w:t>
        <w:br/>
        <w:t xml:space="preserve"> | +- Sí -► La diferencia entre grupos es CAUSAL. Decidir con ella</w:t>
        <w:br/>
        <w:t xml:space="preserve"> | | (revisar tamaño/poder y guardarraíles). Es el estándar de oro.</w:t>
        <w:br/>
        <w:t xml:space="preserve"> | |</w:t>
        <w:br/>
        <w:t xml:space="preserve"> | +- No (datos observacionales) -► ¿Hay un CONFUSOR plausible que</w:t>
        <w:br/>
        <w:t xml:space="preserve"> | empuje a la vez la acción y el resultado?</w:t>
        <w:br/>
        <w:t xml:space="preserve"> | |</w:t>
        <w:br/>
        <w:t xml:space="preserve"> | +- Sí -► La comparación ingenua está SESGADA. ¿Se puede</w:t>
        <w:br/>
        <w:t xml:space="preserve"> | | COMPARAR CLIENTES SIMILARES (controlar el confusor)?</w:t>
        <w:br/>
        <w:t xml:space="preserve"> | | — Sí → estimar con el ajuste, y declarar el supuesto</w:t>
        <w:br/>
        <w:t xml:space="preserve"> | | («no queda ningún confusor sin medir»).</w:t>
        <w:br/>
        <w:t xml:space="preserve"> | | — No → NO afirmar causa. Proponer un A/B.</w:t>
        <w:br/>
        <w:t xml:space="preserve"> | |</w:t>
        <w:br/>
        <w:t xml:space="preserve"> | +- No hay confusor conocido -► Aún así es asociación:</w:t>
        <w:br/>
        <w:t xml:space="preserve"> | tratar como hipótesis y confirmar con un A/B antes de escalar.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Checklist de lectura (marcar antes de afirmar «causa»)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distingue explícitamente </w:t>
            </w:r>
            <w:r>
              <w:rPr>
                <w:b/>
                <w:sz w:val="19"/>
              </w:rPr>
              <w:t>correlación</w:t>
            </w:r>
            <w:r>
              <w:rPr>
                <w:sz w:val="19"/>
              </w:rPr>
              <w:t xml:space="preserve"> de </w:t>
            </w:r>
            <w:r>
              <w:rPr>
                <w:b/>
                <w:sz w:val="19"/>
              </w:rPr>
              <w:t>causa</w:t>
            </w:r>
            <w:r>
              <w:rPr>
                <w:sz w:val="19"/>
              </w:rPr>
              <w:t xml:space="preserve"> (no se dice «causa» por defecto).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nombra el </w:t>
            </w:r>
            <w:r>
              <w:rPr>
                <w:b/>
                <w:sz w:val="19"/>
              </w:rPr>
              <w:t>contrafactual</w:t>
            </w:r>
            <w:r>
              <w:rPr>
                <w:sz w:val="19"/>
              </w:rPr>
              <w:t>: ¿qué habría pasado sin la acción?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listaron los </w:t>
            </w:r>
            <w:r>
              <w:rPr>
                <w:b/>
                <w:sz w:val="19"/>
              </w:rPr>
              <w:t>confusores</w:t>
            </w:r>
            <w:r>
              <w:rPr>
                <w:sz w:val="19"/>
              </w:rPr>
              <w:t xml:space="preserve"> plausibles (algo que empuje acción </w:t>
            </w:r>
            <w:r>
              <w:rPr>
                <w:b/>
                <w:sz w:val="19"/>
              </w:rPr>
              <w:t>y</w:t>
            </w:r>
            <w:r>
              <w:rPr>
                <w:sz w:val="19"/>
              </w:rPr>
              <w:t xml:space="preserve"> resultado).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Si es observacional, se </w:t>
            </w:r>
            <w:r>
              <w:rPr>
                <w:b/>
                <w:sz w:val="19"/>
              </w:rPr>
              <w:t>comparan clientes similares</w:t>
            </w:r>
            <w:r>
              <w:rPr>
                <w:sz w:val="19"/>
              </w:rPr>
              <w:t xml:space="preserve"> (se controla el confusor) o se declara que no se pudo.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compara el efecto </w:t>
            </w:r>
            <w:r>
              <w:rPr>
                <w:b/>
                <w:sz w:val="19"/>
              </w:rPr>
              <w:t>ingenuo</w:t>
            </w:r>
            <w:r>
              <w:rPr>
                <w:sz w:val="19"/>
              </w:rPr>
              <w:t xml:space="preserve"> con el </w:t>
            </w:r>
            <w:r>
              <w:rPr>
                <w:b/>
                <w:sz w:val="19"/>
              </w:rPr>
              <w:t>ajustado</w:t>
            </w:r>
            <w:r>
              <w:rPr>
                <w:sz w:val="19"/>
              </w:rPr>
              <w:t xml:space="preserve"> (¿cuánto cambia?).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Para decidir </w:t>
            </w:r>
            <w:r>
              <w:rPr>
                <w:b/>
                <w:sz w:val="19"/>
              </w:rPr>
              <w:t>inversión</w:t>
            </w:r>
            <w:r>
              <w:rPr>
                <w:sz w:val="19"/>
              </w:rPr>
              <w:t xml:space="preserve"> a escala, se privilegia (o se propone) un </w:t>
            </w:r>
            <w:r>
              <w:rPr>
                <w:b/>
                <w:sz w:val="19"/>
              </w:rPr>
              <w:t>A/B</w:t>
            </w:r>
            <w:r>
              <w:rPr>
                <w:sz w:val="19"/>
              </w:rPr>
              <w:t>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 afirmación causal declara sus </w:t>
            </w:r>
            <w:r>
              <w:rPr>
                <w:b/>
                <w:sz w:val="19"/>
              </w:rPr>
              <w:t>supuestos</w:t>
            </w:r>
            <w:r>
              <w:rPr>
                <w:sz w:val="19"/>
              </w:rPr>
              <w:t xml:space="preserve"> y su </w:t>
            </w:r>
            <w:r>
              <w:rPr>
                <w:b/>
                <w:sz w:val="19"/>
              </w:rPr>
              <w:t>nivel de evidencia</w:t>
            </w:r>
            <w:r>
              <w:rPr>
                <w:sz w:val="19"/>
              </w:rPr>
              <w:t xml:space="preserve"> (experimental &gt; observacional).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Errores frecuentes</w:t>
      </w:r>
    </w:p>
    <w:p>
      <w:pPr>
        <w:pStyle w:val="ListBullet"/>
        <w:spacing w:after="40"/>
      </w:pPr>
      <w:r>
        <w:rPr>
          <w:b/>
        </w:rPr>
        <w:t>«Subió después de la campaña, luego fue la campaña.»</w:t>
      </w:r>
      <w:r>
        <w:t xml:space="preserve"> Puede ser estacionalidad, un competidor o la economía. </w:t>
      </w:r>
      <w:r>
        <w:rPr>
          <w:i/>
        </w:rPr>
        <w:t>Después</w:t>
      </w:r>
      <w:r>
        <w:t xml:space="preserve"> no es </w:t>
      </w:r>
      <w:r>
        <w:rPr>
          <w:i/>
        </w:rPr>
        <w:t>por causa de</w:t>
      </w:r>
      <w:r>
        <w:t>.</w:t>
      </w:r>
    </w:p>
    <w:p>
      <w:pPr>
        <w:pStyle w:val="ListBullet"/>
        <w:spacing w:after="40"/>
      </w:pPr>
      <w:r>
        <w:rPr>
          <w:b/>
        </w:rPr>
        <w:t>Tomar el efecto ingenuo como «el efecto»</w:t>
      </w:r>
      <w:r>
        <w:t xml:space="preserve"> porque «hay muchos datos». Más datos </w:t>
      </w:r>
      <w:r>
        <w:rPr>
          <w:b/>
        </w:rPr>
        <w:t>no</w:t>
      </w:r>
      <w:r>
        <w:t xml:space="preserve"> corrigen el sesgo del confusor: solo estrechan el intervalo alrededor del número equivocado.</w:t>
      </w:r>
    </w:p>
    <w:p>
      <w:pPr>
        <w:pStyle w:val="ListBullet"/>
        <w:spacing w:after="40"/>
      </w:pPr>
      <w:r>
        <w:rPr>
          <w:b/>
        </w:rPr>
        <w:t>Controlar de más.</w:t>
      </w:r>
      <w:r>
        <w:t xml:space="preserve"> Ajustar por una variable </w:t>
      </w:r>
      <w:r>
        <w:rPr>
          <w:b/>
        </w:rPr>
        <w:t>posterior</w:t>
      </w:r>
      <w:r>
        <w:t xml:space="preserve"> a la acción (p. ej. «uso tras la campaña») puede </w:t>
      </w:r>
      <w:r>
        <w:rPr>
          <w:b/>
        </w:rPr>
        <w:t>fabricar</w:t>
      </w:r>
      <w:r>
        <w:t xml:space="preserve"> un sesgo. Se controla el </w:t>
      </w:r>
      <w:r>
        <w:rPr>
          <w:b/>
        </w:rPr>
        <w:t>confusor</w:t>
      </w:r>
      <w:r>
        <w:t xml:space="preserve"> (previo), no cualquier variable.</w:t>
      </w:r>
    </w:p>
    <w:p>
      <w:pPr>
        <w:pStyle w:val="ListBullet"/>
        <w:spacing w:after="40"/>
      </w:pPr>
      <w:r>
        <w:rPr>
          <w:b/>
        </w:rPr>
        <w:t>Etiquetar «grupo de control» sin azar.</w:t>
      </w:r>
      <w:r>
        <w:t xml:space="preserve"> Un control </w:t>
      </w:r>
      <w:r>
        <w:rPr>
          <w:b/>
        </w:rPr>
        <w:t>no aleatorizado</w:t>
      </w:r>
      <w:r>
        <w:t xml:space="preserve"> no vuelve causal el resultado; lo que hace causal a un A/B es la </w:t>
      </w:r>
      <w:r>
        <w:rPr>
          <w:b/>
        </w:rPr>
        <w:t>asignación al azar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Del efecto a la decisión: incertidumbre y ROI</w:t>
      </w:r>
    </w:p>
    <w:p>
      <w:pPr>
        <w:pStyle w:val="ListBullet"/>
        <w:spacing w:after="40"/>
      </w:pPr>
      <w:r>
        <w:rPr>
          <w:b/>
        </w:rPr>
        <w:t>Cómo se calcula el efecto.</w:t>
      </w:r>
      <w:r>
        <w:t xml:space="preserve"> El efecto </w:t>
      </w:r>
      <w:r>
        <w:rPr>
          <w:b/>
        </w:rPr>
        <w:t>ingenuo</w:t>
      </w:r>
      <w:r>
        <w:t xml:space="preserve"> es un </w:t>
      </w:r>
      <w:r>
        <w:rPr>
          <w:b/>
        </w:rPr>
        <w:t>ATE</w:t>
      </w:r>
      <w:r>
        <w:t xml:space="preserve"> = </w:t>
      </w:r>
      <w:r>
        <w:rPr>
          <w:rFonts w:ascii="Consolas" w:hAnsi="Consolas"/>
          <w:color w:val="9B1B30"/>
          <w:sz w:val="19"/>
        </w:rPr>
        <w:t>media(tratados) − media(controles)</w:t>
      </w:r>
      <w:r>
        <w:t xml:space="preserve">. El </w:t>
      </w:r>
      <w:r>
        <w:rPr>
          <w:b/>
        </w:rPr>
        <w:t>ajustado</w:t>
      </w:r>
      <w:r>
        <w:t xml:space="preserve"> es el coeficiente de la acción en una regresión que </w:t>
      </w:r>
      <w:r>
        <w:rPr>
          <w:b/>
        </w:rPr>
        <w:t>controla el confusor</w:t>
      </w:r>
      <w:r>
        <w:t xml:space="preserve"> (</w:t>
      </w:r>
      <w:r>
        <w:rPr>
          <w:rFonts w:ascii="Consolas" w:hAnsi="Consolas"/>
          <w:color w:val="9B1B30"/>
          <w:sz w:val="19"/>
        </w:rPr>
        <w:t>valor ~ campaña + engagement</w:t>
      </w:r>
      <w:r>
        <w:t>): compara clientes similares.</w:t>
      </w:r>
    </w:p>
    <w:p>
      <w:pPr>
        <w:pStyle w:val="ListBullet"/>
        <w:spacing w:after="40"/>
      </w:pPr>
      <w:r>
        <w:rPr>
          <w:b/>
        </w:rPr>
        <w:t>Reportar la incertidumbre.</w:t>
      </w:r>
      <w:r>
        <w:t xml:space="preserve"> Un efecto puntual está </w:t>
      </w:r>
      <w:r>
        <w:rPr>
          <w:b/>
        </w:rPr>
        <w:t>incompleto</w:t>
      </w:r>
      <w:r>
        <w:t xml:space="preserve"> sin su </w:t>
      </w:r>
      <w:r>
        <w:rPr>
          <w:b/>
        </w:rPr>
        <w:t>error estándar</w:t>
      </w:r>
      <w:r>
        <w:t xml:space="preserve"> y su </w:t>
      </w:r>
      <w:r>
        <w:rPr>
          <w:b/>
        </w:rPr>
        <w:t>intervalo de confianza (IC95 %)</w:t>
      </w:r>
      <w:r>
        <w:t xml:space="preserve">, igual que un pronóstico va con su banda. Con IC, el efecto ajustado </w:t>
      </w:r>
      <w:r>
        <w:rPr>
          <w:b/>
        </w:rPr>
        <w:t>+7,85</w:t>
      </w:r>
      <w:r>
        <w:t xml:space="preserve"> resulta </w:t>
      </w:r>
      <w:r>
        <w:rPr>
          <w:b/>
        </w:rPr>
        <w:t>indistinguible</w:t>
      </w:r>
      <w:r>
        <w:t xml:space="preserve"> del verdadero </w:t>
      </w:r>
      <w:r>
        <w:rPr>
          <w:b/>
        </w:rPr>
        <w:t>+8,00</w:t>
      </w:r>
      <w:r>
        <w:t xml:space="preserve">: se separa la </w:t>
      </w:r>
      <w:r>
        <w:rPr>
          <w:b/>
        </w:rPr>
        <w:t>estimación</w:t>
      </w:r>
      <w:r>
        <w:t xml:space="preserve"> (el número) de la </w:t>
      </w:r>
      <w:r>
        <w:rPr>
          <w:b/>
        </w:rPr>
        <w:t>decisión</w:t>
      </w:r>
      <w:r>
        <w:t xml:space="preserve"> (invertir o no). Sin IC no se sabe si el efecto es distinguible del ruido.</w:t>
      </w:r>
    </w:p>
    <w:p>
      <w:pPr>
        <w:pStyle w:val="ListBullet"/>
        <w:spacing w:after="40"/>
      </w:pPr>
      <w:r>
        <w:rPr>
          <w:b/>
        </w:rPr>
        <w:t>ROI de la acción (en dinero).</w:t>
      </w:r>
      <w:r>
        <w:t xml:space="preserve"> La acción se justifica solo si el efecto causal cubre su costo:</w:t>
      </w:r>
    </w:p>
    <w:p>
      <w:pPr>
        <w:jc w:val="both"/>
      </w:pPr>
      <w:r>
        <w:t xml:space="preserve"> </w:t>
      </w:r>
      <w:r>
        <w:rPr>
          <w:rFonts w:ascii="Consolas" w:hAnsi="Consolas"/>
          <w:color w:val="9B1B30"/>
          <w:sz w:val="19"/>
        </w:rPr>
        <w:t>ROI = efecto_causal × (clientes retenidos) − costo_de_la_campaña</w:t>
      </w:r>
    </w:p>
    <w:p>
      <w:pPr>
        <w:jc w:val="both"/>
      </w:pPr>
      <w:r>
        <w:t xml:space="preserve"> Se decide con el efecto </w:t>
      </w:r>
      <w:r>
        <w:rPr>
          <w:b/>
        </w:rPr>
        <w:t>ajustado</w:t>
      </w:r>
      <w:r>
        <w:t xml:space="preserve"> (</w:t>
      </w:r>
      <w:r>
        <w:rPr>
          <w:rFonts w:ascii="Consolas" w:hAnsi="Consolas"/>
          <w:color w:val="9B1B30"/>
          <w:sz w:val="19"/>
        </w:rPr>
        <w:t>≈ +8 USD/cliente</w:t>
      </w:r>
      <w:r>
        <w:t xml:space="preserve">), </w:t>
      </w:r>
      <w:r>
        <w:rPr>
          <w:b/>
        </w:rPr>
        <w:t>nunca</w:t>
      </w:r>
      <w:r>
        <w:t xml:space="preserve"> con el ingenuo (</w:t>
      </w:r>
      <w:r>
        <w:rPr>
          <w:rFonts w:ascii="Consolas" w:hAnsi="Consolas"/>
          <w:color w:val="9B1B30"/>
          <w:sz w:val="19"/>
        </w:rPr>
        <w:t>+23,6</w:t>
      </w:r>
      <w:r>
        <w:t xml:space="preserve">): usar el ingenuo </w:t>
      </w:r>
      <w:r>
        <w:rPr>
          <w:b/>
        </w:rPr>
        <w:t>sobre-atribuye</w:t>
      </w:r>
      <w:r>
        <w:t xml:space="preserve"> </w:t>
      </w:r>
      <w:r>
        <w:rPr>
          <w:rFonts w:ascii="Consolas" w:hAnsi="Consolas"/>
          <w:color w:val="9B1B30"/>
          <w:sz w:val="19"/>
        </w:rPr>
        <w:t>(23,6 − 8) ≈ +15,6 USD/cliente</w:t>
      </w:r>
      <w:r>
        <w:t xml:space="preserve"> y puede aprobar una campaña que </w:t>
      </w:r>
      <w:r>
        <w:rPr>
          <w:b/>
        </w:rPr>
        <w:t>no</w:t>
      </w:r>
      <w:r>
        <w:t xml:space="preserve"> cubre su costo. Ejemplo: con costo de campaña </w:t>
      </w:r>
      <w:r>
        <w:rPr>
          <w:rFonts w:ascii="Consolas" w:hAnsi="Consolas"/>
          <w:color w:val="9B1B30"/>
          <w:sz w:val="19"/>
        </w:rPr>
        <w:t>c</w:t>
      </w:r>
      <w:r>
        <w:t xml:space="preserve"> USD/cliente, conviene invertir si </w:t>
      </w:r>
      <w:r>
        <w:rPr>
          <w:rFonts w:ascii="Consolas" w:hAnsi="Consolas"/>
          <w:color w:val="9B1B30"/>
          <w:sz w:val="19"/>
        </w:rPr>
        <w:t>8 &gt; c</w:t>
      </w:r>
      <w:r>
        <w:t xml:space="preserve">; si el ROI se hubiera calculado con </w:t>
      </w:r>
      <w:r>
        <w:rPr>
          <w:rFonts w:ascii="Consolas" w:hAnsi="Consolas"/>
          <w:color w:val="9B1B30"/>
          <w:sz w:val="19"/>
        </w:rPr>
        <w:t>+23,6</w:t>
      </w:r>
      <w:r>
        <w:t xml:space="preserve">, se aprobarían campañas hasta </w:t>
      </w:r>
      <w:r>
        <w:rPr>
          <w:rFonts w:ascii="Consolas" w:hAnsi="Consolas"/>
          <w:color w:val="9B1B30"/>
          <w:sz w:val="19"/>
        </w:rPr>
        <w:t>c &lt; 23,6</w:t>
      </w:r>
      <w:r>
        <w:t>, con sobreinversión.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Ejemplo (campaña de retención, cuaderno bloque B):</w:t>
      </w:r>
      <w:r>
        <w:rPr>
          <w:color w:val="2D2D2D"/>
        </w:rPr>
        <w:t xml:space="preserve"> comparación </w:t>
      </w:r>
      <w:r>
        <w:rPr>
          <w:b/>
          <w:color w:val="2D2D2D"/>
        </w:rPr>
        <w:t>ingenua</w:t>
      </w:r>
      <w:r>
        <w:rPr>
          <w:color w:val="2D2D2D"/>
        </w:rPr>
        <w:t xml:space="preserve"> = campaña vs. no campaña → </w:t>
      </w:r>
      <w:r>
        <w:rPr>
          <w:b/>
          <w:color w:val="2D2D2D"/>
        </w:rPr>
        <w:t>+23,6 USD</w:t>
      </w:r>
      <w:r>
        <w:rPr>
          <w:color w:val="2D2D2D"/>
        </w:rPr>
        <w:t xml:space="preserve">; pero el </w:t>
      </w:r>
      <w:r>
        <w:rPr>
          <w:i/>
          <w:color w:val="2D2D2D"/>
        </w:rPr>
        <w:t>engagement</w:t>
      </w:r>
      <w:r>
        <w:rPr>
          <w:color w:val="2D2D2D"/>
        </w:rPr>
        <w:t xml:space="preserve"> es un </w:t>
      </w:r>
      <w:r>
        <w:rPr>
          <w:b/>
          <w:color w:val="2D2D2D"/>
        </w:rPr>
        <w:t>confusor</w:t>
      </w:r>
      <w:r>
        <w:rPr>
          <w:color w:val="2D2D2D"/>
        </w:rPr>
        <w:t xml:space="preserve"> (correlaciona 0,40 con recibir la campaña y 0,73 con el valor). Al </w:t>
      </w:r>
      <w:r>
        <w:rPr>
          <w:b/>
          <w:color w:val="2D2D2D"/>
        </w:rPr>
        <w:t>comparar clientes similares</w:t>
      </w:r>
      <w:r>
        <w:rPr>
          <w:color w:val="2D2D2D"/>
        </w:rPr>
        <w:t xml:space="preserve"> (controlar el confusor) el efecto baja a </w:t>
      </w:r>
      <w:r>
        <w:rPr>
          <w:b/>
          <w:color w:val="2D2D2D"/>
        </w:rPr>
        <w:t>+7,85 USD</w:t>
      </w:r>
      <w:r>
        <w:rPr>
          <w:color w:val="2D2D2D"/>
        </w:rPr>
        <w:t xml:space="preserve">, cerca del efecto </w:t>
      </w:r>
      <w:r>
        <w:rPr>
          <w:b/>
          <w:color w:val="2D2D2D"/>
        </w:rPr>
        <w:t>verdadero</w:t>
      </w:r>
      <w:r>
        <w:rPr>
          <w:color w:val="2D2D2D"/>
        </w:rPr>
        <w:t xml:space="preserve"> conocido (</w:t>
      </w:r>
      <w:r>
        <w:rPr>
          <w:b/>
          <w:color w:val="2D2D2D"/>
        </w:rPr>
        <w:t>+8,00 USD</w:t>
      </w:r>
      <w:r>
        <w:rPr>
          <w:color w:val="2D2D2D"/>
        </w:rPr>
        <w:t xml:space="preserve">): la comparación ingenua lo </w:t>
      </w:r>
      <w:r>
        <w:rPr>
          <w:b/>
          <w:color w:val="2D2D2D"/>
        </w:rPr>
        <w:t>exagera ~3 veces</w:t>
      </w:r>
      <w:r>
        <w:rPr>
          <w:color w:val="2D2D2D"/>
        </w:rPr>
        <w:t xml:space="preserve">. Con un </w:t>
      </w:r>
      <w:r>
        <w:rPr>
          <w:b/>
          <w:color w:val="2D2D2D"/>
        </w:rPr>
        <w:t>A/B</w:t>
      </w:r>
      <w:r>
        <w:rPr>
          <w:color w:val="2D2D2D"/>
        </w:rPr>
        <w:t xml:space="preserve"> (asignación al azar) no haría falta ajustar: la diferencia observada ya sería causal. Esta guía se usa con </w:t>
      </w:r>
      <w:r>
        <w:rPr>
          <w:rFonts w:ascii="Consolas" w:hAnsi="Consolas"/>
          <w:color w:val="2D2D2D"/>
          <w:sz w:val="19"/>
        </w:rPr>
        <w:t>plantillas/plantilla_pronostico.docx</w:t>
      </w:r>
      <w:r>
        <w:rPr>
          <w:color w:val="2D2D2D"/>
        </w:rPr>
        <w:t xml:space="preserve"> en el entregable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de una página: distinguir correlación de causalidad para decidir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