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pronóstico con intervalos y validación honesta (EPE)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EPE E6 — Herramientas de Ciencias de Datos (UPC). Registra, bajo un mismo protocolo reproducible y a </w:t>
      </w:r>
      <w:r>
        <w:rPr>
          <w:b/>
          <w:color w:val="2D2D2D"/>
        </w:rPr>
        <w:t>nivel EPE (intuición y decisión de negocio)</w:t>
      </w:r>
      <w:r>
        <w:rPr>
          <w:color w:val="2D2D2D"/>
        </w:rPr>
        <w:t xml:space="preserve">, un pronóstico de demanda con su </w:t>
      </w:r>
      <w:r>
        <w:rPr>
          <w:b/>
          <w:color w:val="2D2D2D"/>
        </w:rPr>
        <w:t>intervalo</w:t>
      </w:r>
      <w:r>
        <w:rPr>
          <w:color w:val="2D2D2D"/>
        </w:rPr>
        <w:t xml:space="preserve"> y su </w:t>
      </w:r>
      <w:r>
        <w:rPr>
          <w:b/>
          <w:color w:val="2D2D2D"/>
        </w:rPr>
        <w:t>validación honesta</w:t>
      </w:r>
      <w:r>
        <w:rPr>
          <w:color w:val="2D2D2D"/>
        </w:rPr>
        <w:t xml:space="preserve">, sin la parte técnica (identificación de órdenes ARIMA/SARIMA, backtesting de origen móvil): aquí se valida con </w:t>
      </w:r>
      <w:r>
        <w:rPr>
          <w:b/>
          <w:color w:val="2D2D2D"/>
        </w:rPr>
        <w:t>un</w:t>
      </w:r>
      <w:r>
        <w:rPr>
          <w:color w:val="2D2D2D"/>
        </w:rPr>
        <w:t xml:space="preserve"> holdout y se compara contra una línea base. Se completa con el cuaderno </w:t>
      </w:r>
      <w:r>
        <w:rPr>
          <w:rFonts w:ascii="Consolas" w:hAnsi="Consolas"/>
          <w:color w:val="2D2D2D"/>
          <w:sz w:val="19"/>
        </w:rPr>
        <w:t>notebook/EPE_S6_series_causal.ipynb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resultados/E06_resultados.xlsx</w:t>
      </w:r>
      <w:r>
        <w:rPr>
          <w:color w:val="2D2D2D"/>
        </w:rPr>
        <w:t>. Español impersonal. Fechas DD/MM/YYYY, UTF-8. Términos técnicos en inglés (holdout, forecast, seasonal-naive, sMAPE, intervalo de predicción).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Un pronóstico solo es creíble si trae </w:t>
      </w:r>
      <w:r>
        <w:rPr>
          <w:b/>
        </w:rPr>
        <w:t>dos elementos</w:t>
      </w:r>
      <w:r>
        <w:t xml:space="preserve">: (1) un </w:t>
      </w:r>
      <w:r>
        <w:rPr>
          <w:b/>
        </w:rPr>
        <w:t>intervalo</w:t>
      </w:r>
      <w:r>
        <w:t xml:space="preserve"> que comunica la incertidumbre —y que </w:t>
      </w:r>
      <w:r>
        <w:rPr>
          <w:b/>
        </w:rPr>
        <w:t>se ensancha con el horizonte</w:t>
      </w:r>
      <w:r>
        <w:t xml:space="preserve">, porque predecir el mes que viene es más sencillo que dentro de un año— y (2) una </w:t>
      </w:r>
      <w:r>
        <w:rPr>
          <w:b/>
        </w:rPr>
        <w:t>validación honesta</w:t>
      </w:r>
      <w:r>
        <w:t xml:space="preserve">, que consiste en </w:t>
      </w:r>
      <w:r>
        <w:rPr>
          <w:b/>
        </w:rPr>
        <w:t>separar los datos en el tiempo</w:t>
      </w:r>
      <w:r>
        <w:t xml:space="preserve"> (entrenar con el pasado, medir el error en los últimos meses que el modelo no vio) y comparar contra una </w:t>
      </w:r>
      <w:r>
        <w:rPr>
          <w:b/>
        </w:rPr>
        <w:t>línea base</w:t>
      </w:r>
      <w:r>
        <w:t xml:space="preserve"> simple (el </w:t>
      </w:r>
      <w:r>
        <w:rPr>
          <w:i/>
        </w:rPr>
        <w:t>naive estacional</w:t>
      </w:r>
      <w:r>
        <w:t xml:space="preserve">: repetir el mismo mes del año anterior). La </w:t>
      </w:r>
      <w:r>
        <w:rPr>
          <w:i/>
        </w:rPr>
        <w:t>fuga temporal</w:t>
      </w:r>
      <w:r>
        <w:t xml:space="preserve"> consiste en barajar los datos o usar información del futuro: infla la precisión en el papel y </w:t>
      </w:r>
      <w:r>
        <w:rPr>
          <w:b/>
        </w:rPr>
        <w:t>colapsa en producción</w:t>
      </w:r>
      <w:r>
        <w:t>. Toda cifra citada debe existir en el cuaderno o en el Excel de resultados.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del pronóstico (ficha rellenable)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del análisis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____/____/________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Serie / fuente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 (p. ej. Store Item Demand, tienda 1, producto 1)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Frecuencia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 (mensual / semanal / diaria)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Longitud del histórico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 observaciones [____ a ____]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¿Tendencia?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 (sube / baja / plana)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¿Estacionalidad?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________ (periodo y mes/día pico)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Método(s) usados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________ (suavizamiento exponencial / Prophet) + </w:t>
            </w:r>
            <w:r>
              <w:rPr>
                <w:b/>
                <w:sz w:val="19"/>
              </w:rPr>
              <w:t>línea base</w:t>
            </w:r>
            <w:r>
              <w:rPr>
                <w:sz w:val="19"/>
              </w:rPr>
              <w:t xml:space="preserve"> naive estacional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Herramienta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Python del venv (</w:t>
            </w:r>
            <w:r>
              <w:rPr>
                <w:rFonts w:ascii="Consolas" w:hAnsi="Consolas"/>
                <w:color w:val="9B1B30"/>
                <w:sz w:val="19"/>
              </w:rPr>
              <w:t>statsmodels</w:t>
            </w:r>
            <w:r>
              <w:rPr>
                <w:sz w:val="19"/>
              </w:rPr>
              <w:t xml:space="preserve"> ExponentialSmoothing/ETS, </w:t>
            </w:r>
            <w:r>
              <w:rPr>
                <w:rFonts w:ascii="Consolas" w:hAnsi="Consolas"/>
                <w:color w:val="9B1B30"/>
                <w:sz w:val="19"/>
              </w:rPr>
              <w:t>prophet</w:t>
            </w:r>
            <w:r>
              <w:rPr>
                <w:sz w:val="19"/>
              </w:rPr>
              <w:t xml:space="preserve">) — </w:t>
            </w:r>
            <w:r>
              <w:rPr>
                <w:rFonts w:ascii="Consolas" w:hAnsi="Consolas"/>
                <w:color w:val="9B1B30"/>
                <w:sz w:val="19"/>
              </w:rPr>
              <w:t>notebook/EPE_S6_series_causal.ipynb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Tendencia, estacionalidad y ruido (descomposición)</w:t>
      </w:r>
    </w:p>
    <w:p>
      <w:pPr>
        <w:jc w:val="both"/>
      </w:pPr>
      <w:r>
        <w:t xml:space="preserve">Descomponer la serie (STL) y leer las tres piezas. </w:t>
      </w:r>
      <w:r>
        <w:rPr>
          <w:b/>
        </w:rPr>
        <w:t>No</w:t>
      </w:r>
      <w:r>
        <w:t xml:space="preserve"> confundir un pico estacional con crecimiento real.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Pieza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observado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Tendencia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¿el nivel de fondo sube o baja? ¿cuánto?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Estacionalidad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¿se repite un patrón? ¿en qué periodo y con qué mes/día pico?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Ruido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¿queda estructura o solo oscilación alrededor de cero?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_[insertar </w:t>
      </w:r>
      <w:r>
        <w:rPr>
          <w:rFonts w:ascii="Consolas" w:hAnsi="Consolas"/>
          <w:color w:val="9B1B30"/>
          <w:sz w:val="19"/>
        </w:rPr>
        <w:t>figuras/E06_descomposicion.png</w:t>
      </w:r>
      <w:r>
        <w:t>]_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Validación honesta (holdout) — comparar dos métodos contra la línea base</w:t>
      </w:r>
    </w:p>
    <w:p>
      <w:pPr>
        <w:jc w:val="both"/>
      </w:pPr>
      <w:r>
        <w:t xml:space="preserve">Separar en el tiempo: entrenar con el pasado, medir el error en el </w:t>
      </w:r>
      <w:r>
        <w:rPr>
          <w:b/>
        </w:rPr>
        <w:t>holdout</w:t>
      </w:r>
      <w:r>
        <w:t xml:space="preserve"> (últimos periodos). Todo modelo se compara con la </w:t>
      </w:r>
      <w:r>
        <w:rPr>
          <w:b/>
        </w:rPr>
        <w:t>línea base</w:t>
      </w:r>
      <w:r>
        <w:t xml:space="preserve"> obligatoria (</w:t>
      </w:r>
      <w:r>
        <w:rPr>
          <w:i/>
        </w:rPr>
        <w:t>naive estacional</w:t>
      </w:r>
      <w:r>
        <w:t xml:space="preserve">). Métrica: </w:t>
      </w:r>
      <w:r>
        <w:rPr>
          <w:b/>
        </w:rPr>
        <w:t>sMAPE</w:t>
      </w:r>
      <w:r>
        <w:t xml:space="preserve"> (</w:t>
      </w:r>
      <w:r>
        <w:rPr>
          <w:rFonts w:ascii="Consolas" w:hAnsi="Consolas"/>
          <w:color w:val="9B1B30"/>
          <w:sz w:val="19"/>
        </w:rPr>
        <w:t>mean(2·|real−pred|/(|real|+|pred|))·100</w:t>
      </w:r>
      <w:r>
        <w:t>) y/o MAPE.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sMAPE (%)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MAPE (%)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¿Supera al naive estacional?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Naive estacional (línea base)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 (referencia)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Suavizamiento exponencial (Holt-Winters)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Prophet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Se prefiere el de </w:t>
      </w:r>
      <w:r>
        <w:rPr>
          <w:b/>
          <w:color w:val="2D2D2D"/>
        </w:rPr>
        <w:t>menor error</w:t>
      </w:r>
      <w:r>
        <w:rPr>
          <w:color w:val="2D2D2D"/>
        </w:rPr>
        <w:t xml:space="preserve"> en el holdout, siempre que </w:t>
      </w:r>
      <w:r>
        <w:rPr>
          <w:b/>
          <w:color w:val="2D2D2D"/>
        </w:rPr>
        <w:t>supere a la línea base</w:t>
      </w:r>
      <w:r>
        <w:rPr>
          <w:color w:val="2D2D2D"/>
        </w:rPr>
        <w:t xml:space="preserve"> (si un modelo sofisticado no supera al naive estacional, no aporta). La </w:t>
      </w:r>
      <w:r>
        <w:rPr>
          <w:i/>
          <w:color w:val="2D2D2D"/>
        </w:rPr>
        <w:t>fuga temporal</w:t>
      </w:r>
      <w:r>
        <w:rPr>
          <w:color w:val="2D2D2D"/>
        </w:rPr>
        <w:t xml:space="preserve"> (barajar, usar el futuro) daría un error irrealmente bajo. Una herramienta más compleja </w:t>
      </w:r>
      <w:r>
        <w:rPr>
          <w:b/>
          <w:color w:val="2D2D2D"/>
        </w:rPr>
        <w:t>no</w:t>
      </w:r>
      <w:r>
        <w:rPr>
          <w:color w:val="2D2D2D"/>
        </w:rPr>
        <w:t xml:space="preserve"> es automáticamente mejor.</w:t>
      </w:r>
    </w:p>
    <w:p>
      <w:pPr>
        <w:jc w:val="both"/>
      </w:pPr>
      <w:r>
        <w:t xml:space="preserve">_[insertar </w:t>
      </w:r>
      <w:r>
        <w:rPr>
          <w:rFonts w:ascii="Consolas" w:hAnsi="Consolas"/>
          <w:color w:val="9B1B30"/>
          <w:sz w:val="19"/>
        </w:rPr>
        <w:t>figuras/E06_forecast_metricas.png</w:t>
      </w:r>
      <w:r>
        <w:t>]_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Pronóstico hacia adelante con intervalo del 95 %</w:t>
      </w:r>
    </w:p>
    <w:p>
      <w:pPr>
        <w:jc w:val="both"/>
      </w:pPr>
      <w:r>
        <w:t xml:space="preserve">Reentrenar con </w:t>
      </w:r>
      <w:r>
        <w:rPr>
          <w:b/>
        </w:rPr>
        <w:t>toda</w:t>
      </w:r>
      <w:r>
        <w:t xml:space="preserve"> la serie y pronosticar el horizonte de negocio con su intervalo. El intervalo </w:t>
      </w:r>
      <w:r>
        <w:rPr>
          <w:b/>
        </w:rPr>
        <w:t>se ensancha</w:t>
      </w:r>
      <w:r>
        <w:t xml:space="preserve"> con el horizonte.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Horizonte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Pronóstico (punto)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Límite inferior (95 %)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Límite superior (95 %)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Ancho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Mes 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…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Mes H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</w:tbl>
    <w:p>
      <w:pPr>
        <w:spacing w:after="40"/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Lectura.</w:t>
      </w:r>
      <w:r>
        <w:rPr>
          <w:color w:val="2D2D2D"/>
        </w:rPr>
        <w:t xml:space="preserve"> Un pronóstico puntual sin intervalo está </w:t>
      </w:r>
      <w:r>
        <w:rPr>
          <w:b/>
          <w:color w:val="2D2D2D"/>
        </w:rPr>
        <w:t>incompleto</w:t>
      </w:r>
      <w:r>
        <w:rPr>
          <w:color w:val="2D2D2D"/>
        </w:rPr>
        <w:t xml:space="preserve">. Para dimensionar inventario/personal se usa el </w:t>
      </w:r>
      <w:r>
        <w:rPr>
          <w:b/>
          <w:color w:val="2D2D2D"/>
        </w:rPr>
        <w:t>límite superior</w:t>
      </w:r>
      <w:r>
        <w:rPr>
          <w:color w:val="2D2D2D"/>
        </w:rPr>
        <w:t xml:space="preserve"> (para no incurrir en quiebre de stock en el pico) o el </w:t>
      </w:r>
      <w:r>
        <w:rPr>
          <w:b/>
          <w:color w:val="2D2D2D"/>
        </w:rPr>
        <w:t>inferior</w:t>
      </w:r>
      <w:r>
        <w:rPr>
          <w:color w:val="2D2D2D"/>
        </w:rPr>
        <w:t xml:space="preserve"> (para no acumular exceso de inventario), según qué error cueste más. El ancho creciente recuerda que el futuro lejano es más incierto.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Atención al ±.</w:t>
      </w:r>
      <w:r>
        <w:rPr>
          <w:color w:val="2D2D2D"/>
        </w:rPr>
        <w:t xml:space="preserve"> El </w:t>
      </w:r>
      <w:r>
        <w:rPr>
          <w:b/>
          <w:color w:val="2D2D2D"/>
        </w:rPr>
        <w:t>ancho</w:t>
      </w:r>
      <w:r>
        <w:rPr>
          <w:color w:val="2D2D2D"/>
        </w:rPr>
        <w:t xml:space="preserve"> es </w:t>
      </w:r>
      <w:r>
        <w:rPr>
          <w:rFonts w:ascii="Consolas" w:hAnsi="Consolas"/>
          <w:color w:val="2D2D2D"/>
          <w:sz w:val="19"/>
        </w:rPr>
        <w:t>upper − lower</w:t>
      </w:r>
      <w:r>
        <w:rPr>
          <w:color w:val="2D2D2D"/>
        </w:rPr>
        <w:t xml:space="preserve"> (todo el intervalo); el </w:t>
      </w:r>
      <w:r>
        <w:rPr>
          <w:b/>
          <w:color w:val="2D2D2D"/>
        </w:rPr>
        <w:t>semiancho</w:t>
      </w:r>
      <w:r>
        <w:rPr>
          <w:color w:val="2D2D2D"/>
        </w:rPr>
        <w:t xml:space="preserve"> (el «±» alrededor del punto) es la </w:t>
      </w:r>
      <w:r>
        <w:rPr>
          <w:b/>
          <w:color w:val="2D2D2D"/>
        </w:rPr>
        <w:t>mitad</w:t>
      </w:r>
      <w:r>
        <w:rPr>
          <w:color w:val="2D2D2D"/>
        </w:rPr>
        <w:t xml:space="preserve">. En el ejemplo, ancho 122→192 ⇒ </w:t>
      </w:r>
      <w:r>
        <w:rPr>
          <w:b/>
          <w:color w:val="2D2D2D"/>
        </w:rPr>
        <w:t>±61…±96</w:t>
      </w:r>
      <w:r>
        <w:rPr>
          <w:color w:val="2D2D2D"/>
        </w:rPr>
        <w:t>. Confundir ancho con ± duplica la banda.</w:t>
      </w:r>
    </w:p>
    <w:p>
      <w:pPr>
        <w:keepNext/>
        <w:spacing w:before="180" w:after="60"/>
      </w:pPr>
      <w:r>
        <w:rPr>
          <w:b/>
          <w:color w:val="9B1B30"/>
          <w:sz w:val="25"/>
        </w:rPr>
        <w:t>3.1 De pronóstico a inventario en dinero (newsvendor)</w:t>
      </w:r>
    </w:p>
    <w:p>
      <w:pPr>
        <w:jc w:val="both"/>
      </w:pPr>
      <w:r>
        <w:t xml:space="preserve">Elegir el límite del intervalo </w:t>
      </w:r>
      <w:r>
        <w:rPr>
          <w:b/>
        </w:rPr>
        <w:t>no</w:t>
      </w:r>
      <w:r>
        <w:t xml:space="preserve"> se decide por inspección visual: lo fija el costo del error. Con</w:t>
      </w:r>
    </w:p>
    <w:p>
      <w:pPr>
        <w:pStyle w:val="ListBullet"/>
        <w:spacing w:after="40"/>
      </w:pPr>
      <w:r>
        <w:rPr>
          <w:b/>
        </w:rPr>
        <w:t>Cu</w:t>
      </w:r>
      <w:r>
        <w:t xml:space="preserve"> = costo unitario de </w:t>
      </w:r>
      <w:r>
        <w:rPr>
          <w:b/>
        </w:rPr>
        <w:t>quiebre</w:t>
      </w:r>
      <w:r>
        <w:t xml:space="preserve"> (venta perdida / margen no ganado por falta de inventario),</w:t>
      </w:r>
    </w:p>
    <w:p>
      <w:pPr>
        <w:pStyle w:val="ListBullet"/>
        <w:spacing w:after="40"/>
      </w:pPr>
      <w:r>
        <w:rPr>
          <w:b/>
        </w:rPr>
        <w:t>Co</w:t>
      </w:r>
      <w:r>
        <w:t xml:space="preserve"> = costo unitario de </w:t>
      </w:r>
      <w:r>
        <w:rPr>
          <w:b/>
        </w:rPr>
        <w:t>sobre-stock</w:t>
      </w:r>
      <w:r>
        <w:t xml:space="preserve"> (almacenaje, obsolescencia, capital inmovilizado),</w:t>
      </w:r>
    </w:p>
    <w:p>
      <w:pPr>
        <w:jc w:val="both"/>
      </w:pPr>
      <w:r>
        <w:t xml:space="preserve">el </w:t>
      </w:r>
      <w:r>
        <w:rPr>
          <w:b/>
        </w:rPr>
        <w:t>ratio crítico</w:t>
      </w:r>
      <w:r>
        <w:t xml:space="preserve"> </w:t>
      </w:r>
      <w:r>
        <w:rPr>
          <w:rFonts w:ascii="Consolas" w:hAnsi="Consolas"/>
          <w:color w:val="9B1B30"/>
          <w:sz w:val="19"/>
        </w:rPr>
        <w:t>Cu / (Cu + Co)</w:t>
      </w:r>
      <w:r>
        <w:t xml:space="preserve"> es el </w:t>
      </w:r>
      <w:r>
        <w:rPr>
          <w:b/>
        </w:rPr>
        <w:t>nivel de servicio</w:t>
      </w:r>
      <w:r>
        <w:t xml:space="preserve"> objetivo y define </w:t>
      </w:r>
      <w:r>
        <w:rPr>
          <w:b/>
        </w:rPr>
        <w:t>qué cuantil</w:t>
      </w:r>
      <w:r>
        <w:t xml:space="preserve"> del intervalo se stockea (</w:t>
      </w:r>
      <w:r>
        <w:rPr>
          <w:rFonts w:ascii="Consolas" w:hAnsi="Consolas"/>
          <w:color w:val="9B1B30"/>
          <w:sz w:val="19"/>
        </w:rPr>
        <w:t>Q* = F⁻¹(Cu/(Cu+Co))</w:t>
      </w:r>
      <w:r>
        <w:t>, el cuantil del 95 % ≈ el límite superior). Si quebrarse cuesta más que sobrar (</w:t>
      </w:r>
      <w:r>
        <w:rPr>
          <w:rFonts w:ascii="Consolas" w:hAnsi="Consolas"/>
          <w:color w:val="9B1B30"/>
          <w:sz w:val="19"/>
        </w:rPr>
        <w:t>Cu &gt; Co</w:t>
      </w:r>
      <w:r>
        <w:t xml:space="preserve">), el nivel de servicio pasa del 50 % y el stock objetivo </w:t>
      </w:r>
      <w:r>
        <w:rPr>
          <w:b/>
        </w:rPr>
        <w:t>sube</w:t>
      </w:r>
      <w:r>
        <w:t xml:space="preserve"> hacia el límite superior.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 (costo de quiebre, USD/unidad)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 (costo de sobre-stock, USD/unidad)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Ratio crítico </w:t>
            </w:r>
            <w:r>
              <w:rPr>
                <w:rFonts w:ascii="Consolas" w:hAnsi="Consolas"/>
                <w:color w:val="9B1B30"/>
                <w:sz w:val="19"/>
              </w:rPr>
              <w:t>Cu/(Cu+Co)</w:t>
            </w:r>
            <w:r>
              <w:rPr>
                <w:sz w:val="19"/>
              </w:rPr>
              <w:t xml:space="preserve"> = nivel de servicio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 %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Cuantil objetivo de inventario (unidades)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Costo esperado de sobre/sub-stock (USD)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____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Ejemplo trabajado.</w:t>
      </w:r>
      <w:r>
        <w:rPr>
          <w:color w:val="2D2D2D"/>
        </w:rPr>
        <w:t xml:space="preserve"> Si </w:t>
      </w:r>
      <w:r>
        <w:rPr>
          <w:rFonts w:ascii="Consolas" w:hAnsi="Consolas"/>
          <w:color w:val="2D2D2D"/>
          <w:sz w:val="19"/>
        </w:rPr>
        <w:t>Cu = 8 USD</w:t>
      </w:r>
      <w:r>
        <w:rPr>
          <w:color w:val="2D2D2D"/>
        </w:rPr>
        <w:t xml:space="preserve"> (margen perdido por unidad) y </w:t>
      </w:r>
      <w:r>
        <w:rPr>
          <w:rFonts w:ascii="Consolas" w:hAnsi="Consolas"/>
          <w:color w:val="2D2D2D"/>
          <w:sz w:val="19"/>
        </w:rPr>
        <w:t>Co = 2 USD</w:t>
      </w:r>
      <w:r>
        <w:rPr>
          <w:color w:val="2D2D2D"/>
        </w:rPr>
        <w:t xml:space="preserve"> (sobre-stock), ratio crítico </w:t>
      </w:r>
      <w:r>
        <w:rPr>
          <w:rFonts w:ascii="Consolas" w:hAnsi="Consolas"/>
          <w:color w:val="2D2D2D"/>
          <w:sz w:val="19"/>
        </w:rPr>
        <w:t>= 8/(8+2) = 0,80</w:t>
      </w:r>
      <w:r>
        <w:rPr>
          <w:color w:val="2D2D2D"/>
        </w:rPr>
        <w:t xml:space="preserve"> → </w:t>
      </w:r>
      <w:r>
        <w:rPr>
          <w:b/>
          <w:color w:val="2D2D2D"/>
        </w:rPr>
        <w:t>nivel de servicio 80 %</w:t>
      </w:r>
      <w:r>
        <w:rPr>
          <w:color w:val="2D2D2D"/>
        </w:rPr>
        <w:t xml:space="preserve">: se stockea el cuantil 80 % del intervalo (por encima del punto, hacia el límite superior), </w:t>
      </w:r>
      <w:r>
        <w:rPr>
          <w:b/>
          <w:color w:val="2D2D2D"/>
        </w:rPr>
        <w:t>no</w:t>
      </w:r>
      <w:r>
        <w:rPr>
          <w:color w:val="2D2D2D"/>
        </w:rPr>
        <w:t xml:space="preserve"> la línea central. Así la regla «límite superior vs. inferior» queda </w:t>
      </w:r>
      <w:r>
        <w:rPr>
          <w:b/>
          <w:color w:val="2D2D2D"/>
        </w:rPr>
        <w:t>en moneda</w:t>
      </w:r>
      <w:r>
        <w:rPr>
          <w:color w:val="2D2D2D"/>
        </w:rPr>
        <w:t>, no cualitativa.</w:t>
      </w:r>
    </w:p>
    <w:p>
      <w:pPr>
        <w:jc w:val="both"/>
      </w:pPr>
      <w:r>
        <w:t xml:space="preserve">_[insertar </w:t>
      </w:r>
      <w:r>
        <w:rPr>
          <w:rFonts w:ascii="Consolas" w:hAnsi="Consolas"/>
          <w:color w:val="9B1B30"/>
          <w:sz w:val="19"/>
        </w:rPr>
        <w:t>figuras/E06_pronostico_intervalo.png</w:t>
      </w:r>
      <w:r>
        <w:t>]_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Recomendación de negocio (frase para gerencia)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i/>
          <w:color w:val="2D2D2D"/>
        </w:rPr>
        <w:t xml:space="preserve">«Se pronostica </w:t>
      </w:r>
      <w:r>
        <w:rPr>
          <w:i/>
          <w:color w:val="2D2D2D"/>
        </w:rPr>
        <w:t>[serie]</w:t>
      </w:r>
      <w:r>
        <w:rPr>
          <w:i/>
          <w:color w:val="2D2D2D"/>
        </w:rPr>
        <w:t xml:space="preserve"> con </w:t>
      </w:r>
      <w:r>
        <w:rPr>
          <w:i/>
          <w:color w:val="2D2D2D"/>
        </w:rPr>
        <w:t>[método]</w:t>
      </w:r>
      <w:r>
        <w:rPr>
          <w:i/>
          <w:color w:val="2D2D2D"/>
        </w:rPr>
        <w:t xml:space="preserve"> (validado con holdout; frente al naive estacional el resultado es </w:t>
      </w:r>
      <w:r>
        <w:rPr>
          <w:i/>
          <w:color w:val="2D2D2D"/>
        </w:rPr>
        <w:t>[superior / indistinguible dentro del ruido]</w:t>
      </w:r>
      <w:r>
        <w:rPr>
          <w:i/>
          <w:color w:val="2D2D2D"/>
        </w:rPr>
        <w:t xml:space="preserve">): se esperan </w:t>
      </w:r>
      <w:r>
        <w:rPr>
          <w:i/>
          <w:color w:val="2D2D2D"/>
        </w:rPr>
        <w:t>[pred]</w:t>
      </w:r>
      <w:r>
        <w:rPr>
          <w:i/>
          <w:color w:val="2D2D2D"/>
        </w:rPr>
        <w:t xml:space="preserve"> unidades el próximo </w:t>
      </w:r>
      <w:r>
        <w:rPr>
          <w:i/>
          <w:color w:val="2D2D2D"/>
        </w:rPr>
        <w:t>[mes/periodo]</w:t>
      </w:r>
      <w:r>
        <w:rPr>
          <w:i/>
          <w:color w:val="2D2D2D"/>
        </w:rPr>
        <w:t xml:space="preserve">, con un intervalo del 95 % de </w:t>
      </w:r>
      <w:r>
        <w:rPr>
          <w:i/>
          <w:color w:val="2D2D2D"/>
        </w:rPr>
        <w:t>[inf–sup]</w:t>
      </w:r>
      <w:r>
        <w:rPr>
          <w:i/>
          <w:color w:val="2D2D2D"/>
        </w:rPr>
        <w:t xml:space="preserve">. Con Cu </w:t>
      </w:r>
      <w:r>
        <w:rPr>
          <w:i/>
          <w:color w:val="2D2D2D"/>
        </w:rPr>
        <w:t>[__]</w:t>
      </w:r>
      <w:r>
        <w:rPr>
          <w:i/>
          <w:color w:val="2D2D2D"/>
        </w:rPr>
        <w:t xml:space="preserve"> y Co </w:t>
      </w:r>
      <w:r>
        <w:rPr>
          <w:i/>
          <w:color w:val="2D2D2D"/>
        </w:rPr>
        <w:t>[__]</w:t>
      </w:r>
      <w:r>
        <w:rPr>
          <w:i/>
          <w:color w:val="2D2D2D"/>
        </w:rPr>
        <w:t xml:space="preserve">, el nivel de servicio objetivo es </w:t>
      </w:r>
      <w:r>
        <w:rPr>
          <w:i/>
          <w:color w:val="2D2D2D"/>
        </w:rPr>
        <w:t>[Cu/(Cu+Co) %]</w:t>
      </w:r>
      <w:r>
        <w:rPr>
          <w:i/>
          <w:color w:val="2D2D2D"/>
        </w:rPr>
        <w:t xml:space="preserve">, por lo que se stockea el cuantil </w:t>
      </w:r>
      <w:r>
        <w:rPr>
          <w:i/>
          <w:color w:val="2D2D2D"/>
        </w:rPr>
        <w:t>[__]</w:t>
      </w:r>
      <w:r>
        <w:rPr>
          <w:i/>
          <w:color w:val="2D2D2D"/>
        </w:rPr>
        <w:t xml:space="preserve"> (≈ límite </w:t>
      </w:r>
      <w:r>
        <w:rPr>
          <w:i/>
          <w:color w:val="2D2D2D"/>
        </w:rPr>
        <w:t>[superior/inferior]</w:t>
      </w:r>
      <w:r>
        <w:rPr>
          <w:i/>
          <w:color w:val="2D2D2D"/>
        </w:rPr>
        <w:t xml:space="preserve">). El error esperado al horizonte de negocio es </w:t>
      </w:r>
      <w:r>
        <w:rPr>
          <w:i/>
          <w:color w:val="2D2D2D"/>
        </w:rPr>
        <w:t>[sMAPE %]</w:t>
      </w:r>
      <w:r>
        <w:rPr>
          <w:i/>
          <w:color w:val="2D2D2D"/>
        </w:rPr>
        <w:t>.»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Ejemplo — operativos del venv (ETIQUETADOS)</w:t>
      </w:r>
    </w:p>
    <w:p>
      <w:pPr>
        <w:jc w:val="both"/>
      </w:pPr>
      <w:r>
        <w:t xml:space="preserve">Valores </w:t>
      </w:r>
      <w:r>
        <w:rPr>
          <w:b/>
        </w:rPr>
        <w:t>operativos del venv</w:t>
      </w:r>
      <w:r>
        <w:t xml:space="preserve"> (Store Item Demand, tienda 1, producto 1, serie mensual 2013–2017, 60 meses), tomados de </w:t>
      </w:r>
      <w:r>
        <w:rPr>
          <w:rFonts w:ascii="Consolas" w:hAnsi="Consolas"/>
          <w:color w:val="9B1B30"/>
          <w:sz w:val="19"/>
        </w:rPr>
        <w:t>resultados/E06_resultados.xlsx</w:t>
      </w:r>
      <w:r>
        <w:t xml:space="preserve"> y del cuaderno. Sirven de referencia de lectura.</w:t>
      </w:r>
    </w:p>
    <w:p>
      <w:pPr>
        <w:jc w:val="both"/>
      </w:pPr>
      <w:r>
        <w:rPr>
          <w:b/>
        </w:rPr>
        <w:t>(A) Descomposición.</w:t>
      </w:r>
      <w:r>
        <w:t xml:space="preserve"> Tendencia: sube de ~456 a ~676 unidades/mes (crece). Estacionalidad: amplitud ~419 unidades, </w:t>
      </w:r>
      <w:r>
        <w:rPr>
          <w:b/>
        </w:rPr>
        <w:t>pico a mitad de año</w:t>
      </w:r>
      <w:r>
        <w:t xml:space="preserve"> (mes 7). Ruido: oscila alrededor de cero.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(B) VALIDACIÓN (HOLDOUT = ÚLTIMOS 12 MESES DE 2017).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sMAPE (%)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MAPE (%)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¿Supera al naive?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Naive estacional (línea base)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5,10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5,00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Suavizamiento exponencial (Holt-Winters)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4,92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5,08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sMAPE sí / MAPE no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Prophet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8,31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8,84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(en esta serie mensual corta)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Cobertura del intervalo 95 % (Holt-Winters) en el holdout: </w:t>
      </w:r>
      <w:r>
        <w:rPr>
          <w:b/>
        </w:rPr>
        <w:t>92 %</w:t>
      </w:r>
      <w:r>
        <w:t xml:space="preserve"> (cercana al 95 % ideal).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Campeón honesto (leer con cuidado).</w:t>
      </w:r>
      <w:r>
        <w:rPr>
          <w:color w:val="2D2D2D"/>
        </w:rPr>
        <w:t xml:space="preserve"> El ranking se </w:t>
      </w:r>
      <w:r>
        <w:rPr>
          <w:b/>
          <w:color w:val="2D2D2D"/>
        </w:rPr>
        <w:t>invierte según la métrica</w:t>
      </w:r>
      <w:r>
        <w:rPr>
          <w:color w:val="2D2D2D"/>
        </w:rPr>
        <w:t xml:space="preserve">: por sMAPE queda por delante Holt-Winters (4,92 vs 5,10), </w:t>
      </w:r>
      <w:r>
        <w:rPr>
          <w:b/>
          <w:color w:val="2D2D2D"/>
        </w:rPr>
        <w:t>pero por MAPE queda por delante el naive</w:t>
      </w:r>
      <w:r>
        <w:rPr>
          <w:color w:val="2D2D2D"/>
        </w:rPr>
        <w:t xml:space="preserve"> (5,00 vs 5,08). Con un </w:t>
      </w:r>
      <w:r>
        <w:rPr>
          <w:b/>
          <w:color w:val="2D2D2D"/>
        </w:rPr>
        <w:t>único holdout</w:t>
      </w:r>
      <w:r>
        <w:rPr>
          <w:color w:val="2D2D2D"/>
        </w:rPr>
        <w:t xml:space="preserve"> de 12 meses y una diferencia de apenas ~0,18 pp, ambos son </w:t>
      </w:r>
      <w:r>
        <w:rPr>
          <w:b/>
          <w:color w:val="2D2D2D"/>
        </w:rPr>
        <w:t>indistinguibles dentro del ruido</w:t>
      </w:r>
      <w:r>
        <w:rPr>
          <w:color w:val="2D2D2D"/>
        </w:rPr>
        <w:t xml:space="preserve">: no hay evidencia métrica para declarar superior a Holt-Winters. Su preferencia es </w:t>
      </w:r>
      <w:r>
        <w:rPr>
          <w:b/>
          <w:color w:val="2D2D2D"/>
        </w:rPr>
        <w:t>cualitativa</w:t>
      </w:r>
      <w:r>
        <w:rPr>
          <w:color w:val="2D2D2D"/>
        </w:rPr>
        <w:t xml:space="preserve"> (capta la estacionalidad y entrega intervalos calibrados), no una superioridad numérica. Lo </w:t>
      </w:r>
      <w:r>
        <w:rPr>
          <w:b/>
          <w:color w:val="2D2D2D"/>
        </w:rPr>
        <w:t>robusto</w:t>
      </w:r>
      <w:r>
        <w:rPr>
          <w:color w:val="2D2D2D"/>
        </w:rPr>
        <w:t xml:space="preserve"> sí es que </w:t>
      </w:r>
      <w:r>
        <w:rPr>
          <w:b/>
          <w:color w:val="2D2D2D"/>
        </w:rPr>
        <w:t>Prophet queda claramente detrás</w:t>
      </w:r>
      <w:r>
        <w:rPr>
          <w:color w:val="2D2D2D"/>
        </w:rPr>
        <w:t xml:space="preserve">. Para decidir entre dos modelos indistinguibles haría falta </w:t>
      </w:r>
      <w:r>
        <w:rPr>
          <w:b/>
          <w:color w:val="2D2D2D"/>
        </w:rPr>
        <w:t>origen móvil</w:t>
      </w:r>
      <w:r>
        <w:rPr>
          <w:color w:val="2D2D2D"/>
        </w:rPr>
        <w:t xml:space="preserve"> (varias ventanas), que en EPE solo se nombra.</w:t>
      </w:r>
    </w:p>
    <w:p>
      <w:pPr>
        <w:jc w:val="both"/>
      </w:pPr>
      <w:r>
        <w:rPr>
          <w:b/>
        </w:rPr>
        <w:t>(C) Pronóstico a 12 meses (2018) con intervalo del 95 %.</w:t>
      </w:r>
      <w:r>
        <w:t xml:space="preserve"> Primer mes ≈ </w:t>
      </w:r>
      <w:r>
        <w:rPr>
          <w:b/>
        </w:rPr>
        <w:t>509</w:t>
      </w:r>
      <w:r>
        <w:t xml:space="preserve"> [449 – 570]; mes 12 ≈ </w:t>
      </w:r>
      <w:r>
        <w:rPr>
          <w:b/>
        </w:rPr>
        <w:t>578</w:t>
      </w:r>
      <w:r>
        <w:t xml:space="preserve"> [482 – 674]. El </w:t>
      </w:r>
      <w:r>
        <w:rPr>
          <w:b/>
        </w:rPr>
        <w:t>ancho</w:t>
      </w:r>
      <w:r>
        <w:t xml:space="preserve"> del intervalo crece de </w:t>
      </w:r>
      <w:r>
        <w:rPr>
          <w:b/>
        </w:rPr>
        <w:t>122</w:t>
      </w:r>
      <w:r>
        <w:t xml:space="preserve"> (mes 1) a </w:t>
      </w:r>
      <w:r>
        <w:rPr>
          <w:b/>
        </w:rPr>
        <w:t>192</w:t>
      </w:r>
      <w:r>
        <w:t xml:space="preserve"> (mes 12) —semiancho </w:t>
      </w:r>
      <w:r>
        <w:rPr>
          <w:b/>
        </w:rPr>
        <w:t>±61 … ±96</w:t>
      </w:r>
      <w:r>
        <w:t>—: el futuro lejano es más incierto.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Etiqueta de fuente</w:t>
      </w:r>
      <w:r>
        <w:rPr>
          <w:color w:val="2D2D2D"/>
        </w:rPr>
        <w:t xml:space="preserve">: </w:t>
      </w:r>
      <w:r>
        <w:rPr>
          <w:i/>
          <w:color w:val="2D2D2D"/>
        </w:rPr>
        <w:t>operativo = venv</w:t>
      </w:r>
      <w:r>
        <w:rPr>
          <w:color w:val="2D2D2D"/>
        </w:rPr>
        <w:t xml:space="preserve"> (los valores del venv son los que mandan; se vuelcan a </w:t>
      </w:r>
      <w:r>
        <w:rPr>
          <w:rFonts w:ascii="Consolas" w:hAnsi="Consolas"/>
          <w:color w:val="2D2D2D"/>
          <w:sz w:val="19"/>
        </w:rPr>
        <w:t>resultados/E06_resultados.xlsx</w:t>
      </w:r>
      <w:r>
        <w:rPr>
          <w:color w:val="2D2D2D"/>
        </w:rPr>
        <w:t>). El rigor técnico (identificación de órdenes SARIMA, backtesting de origen móvil, coeficientes) queda fuera de alcance de esta sesión.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 del ejemplo.</w:t>
      </w:r>
      <w:r>
        <w:rPr>
          <w:color w:val="2D2D2D"/>
        </w:rPr>
        <w:t xml:space="preserve"> Holt-Winters y el naive </w:t>
      </w:r>
      <w:r>
        <w:rPr>
          <w:b/>
          <w:color w:val="2D2D2D"/>
        </w:rPr>
        <w:t>son indistinguibles dentro del ruido</w:t>
      </w:r>
      <w:r>
        <w:rPr>
          <w:color w:val="2D2D2D"/>
        </w:rPr>
        <w:t xml:space="preserve"> (el ranking se invierte entre sMAPE y MAPE sobre un solo holdout): se prefiere Holt-Winters por razón </w:t>
      </w:r>
      <w:r>
        <w:rPr>
          <w:b/>
          <w:color w:val="2D2D2D"/>
        </w:rPr>
        <w:t>cualitativa</w:t>
      </w:r>
      <w:r>
        <w:rPr>
          <w:color w:val="2D2D2D"/>
        </w:rPr>
        <w:t xml:space="preserve"> (capta la estacionalidad), no por una ventaja métrica. Lo firme es que </w:t>
      </w:r>
      <w:r>
        <w:rPr>
          <w:b/>
          <w:color w:val="2D2D2D"/>
        </w:rPr>
        <w:t>Prophet, más sofisticado, no supera a los demás</w:t>
      </w:r>
      <w:r>
        <w:rPr>
          <w:color w:val="2D2D2D"/>
        </w:rPr>
        <w:t xml:space="preserve"> aquí — la validación honesta prevalece sobre la reputación de la herramienta. El intervalo, además del punto, es lo que permite planear con seguridad y fijar el nivel de servicio (newsvendor).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antes de entregar</w:t>
      </w:r>
    </w:p>
    <w:p>
      <w:pPr>
        <w:pStyle w:val="ListBullet"/>
        <w:spacing w:after="40"/>
      </w:pPr>
      <w:r>
        <w:t xml:space="preserve">[ ] 1. ¿Se leyó la </w:t>
      </w:r>
      <w:r>
        <w:rPr>
          <w:b/>
        </w:rPr>
        <w:t>tendencia, la estacionalidad y el ruido</w:t>
      </w:r>
      <w:r>
        <w:t xml:space="preserve"> (descomposición) sin confundir pico estacional con crecimiento?</w:t>
      </w:r>
    </w:p>
    <w:p>
      <w:pPr>
        <w:pStyle w:val="ListBullet"/>
        <w:spacing w:after="40"/>
      </w:pPr>
      <w:r>
        <w:t xml:space="preserve">[ ] 2. ¿La validación es </w:t>
      </w:r>
      <w:r>
        <w:rPr>
          <w:b/>
        </w:rPr>
        <w:t>honesta</w:t>
      </w:r>
      <w:r>
        <w:t xml:space="preserve"> (holdout en el tiempo, sin barajar ni mirar el futuro)?</w:t>
      </w:r>
    </w:p>
    <w:p>
      <w:pPr>
        <w:pStyle w:val="ListBullet"/>
        <w:spacing w:after="40"/>
      </w:pPr>
      <w:r>
        <w:t xml:space="preserve">[ ] 3. ¿Se comparó contra la </w:t>
      </w:r>
      <w:r>
        <w:rPr>
          <w:b/>
        </w:rPr>
        <w:t>línea base</w:t>
      </w:r>
      <w:r>
        <w:t xml:space="preserve"> (naive estacional) y el campeón la </w:t>
      </w:r>
      <w:r>
        <w:rPr>
          <w:b/>
        </w:rPr>
        <w:t>supera</w:t>
      </w:r>
      <w:r>
        <w:t>?</w:t>
      </w:r>
    </w:p>
    <w:p>
      <w:pPr>
        <w:pStyle w:val="ListBullet"/>
        <w:spacing w:after="40"/>
      </w:pPr>
      <w:r>
        <w:t xml:space="preserve">[ ] 4. ¿El pronóstico hacia adelante trae su </w:t>
      </w:r>
      <w:r>
        <w:rPr>
          <w:b/>
        </w:rPr>
        <w:t>intervalo del 95 %</w:t>
      </w:r>
      <w:r>
        <w:t xml:space="preserve"> (no solo el punto)?</w:t>
      </w:r>
    </w:p>
    <w:p>
      <w:pPr>
        <w:pStyle w:val="ListBullet"/>
        <w:spacing w:after="40"/>
      </w:pPr>
      <w:r>
        <w:t xml:space="preserve">[ ] 5. ¿Se notó que el </w:t>
      </w:r>
      <w:r>
        <w:rPr>
          <w:b/>
        </w:rPr>
        <w:t>intervalo se ensancha</w:t>
      </w:r>
      <w:r>
        <w:t xml:space="preserve"> con el horizonte (ancho vs. semiancho ±) y se tradujo a inventario con el </w:t>
      </w:r>
      <w:r>
        <w:rPr>
          <w:b/>
        </w:rPr>
        <w:t>ratio crítico</w:t>
      </w:r>
      <w:r>
        <w:t xml:space="preserve"> </w:t>
      </w:r>
      <w:r>
        <w:rPr>
          <w:rFonts w:ascii="Consolas" w:hAnsi="Consolas"/>
          <w:color w:val="9B1B30"/>
          <w:sz w:val="19"/>
        </w:rPr>
        <w:t>Cu/(Cu+Co)</w:t>
      </w:r>
      <w:r>
        <w:t xml:space="preserve"> (nivel de servicio → cuantil objetivo de inventario)?</w:t>
      </w:r>
    </w:p>
    <w:p>
      <w:pPr>
        <w:pStyle w:val="ListBullet"/>
        <w:spacing w:after="40"/>
      </w:pPr>
      <w:r>
        <w:t xml:space="preserve">[ ] 6. ¿Las figuras se trazaron </w:t>
      </w:r>
      <w:r>
        <w:rPr>
          <w:b/>
        </w:rPr>
        <w:t>al leer el Excel</w:t>
      </w:r>
      <w:r>
        <w:t xml:space="preserve"> </w:t>
      </w:r>
      <w:r>
        <w:rPr>
          <w:rFonts w:ascii="Consolas" w:hAnsi="Consolas"/>
          <w:color w:val="9B1B30"/>
          <w:sz w:val="19"/>
        </w:rPr>
        <w:t>resultados/E06_resultados.xlsx</w:t>
      </w:r>
      <w:r>
        <w:t xml:space="preserve"> (convención del curso)?</w:t>
      </w:r>
    </w:p>
    <w:p>
      <w:pPr>
        <w:pStyle w:val="ListBullet"/>
        <w:spacing w:after="40"/>
      </w:pPr>
      <w:r>
        <w:t xml:space="preserve">[ ] 7. ¿La </w:t>
      </w:r>
      <w:r>
        <w:rPr>
          <w:b/>
        </w:rPr>
        <w:t>recomendación</w:t>
      </w:r>
      <w:r>
        <w:t xml:space="preserve"> es una frase de negocio con pronóstico + intervalo + error esperado?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materializa la parte de </w:t>
      </w:r>
      <w:r>
        <w:rPr>
          <w:b/>
          <w:color w:val="2D2D2D"/>
        </w:rPr>
        <w:t>pronóstico</w:t>
      </w:r>
      <w:r>
        <w:rPr>
          <w:color w:val="2D2D2D"/>
        </w:rPr>
        <w:t xml:space="preserve"> del entregable evaluable de E6 (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, rúbrica vigesimal 0–20) y acompaña la guía de laboratorio </w:t>
      </w:r>
      <w:r>
        <w:rPr>
          <w:rFonts w:ascii="Consolas" w:hAnsi="Consolas"/>
          <w:color w:val="2D2D2D"/>
          <w:sz w:val="19"/>
        </w:rPr>
        <w:t>laboratorio/GUIA_LABORATORIO_E06.docx</w:t>
      </w:r>
      <w:r>
        <w:rPr>
          <w:color w:val="2D2D2D"/>
        </w:rPr>
        <w:t xml:space="preserve"> y los ejercicios </w:t>
      </w:r>
      <w:r>
        <w:rPr>
          <w:rFonts w:ascii="Consolas" w:hAnsi="Consolas"/>
          <w:color w:val="2D2D2D"/>
          <w:sz w:val="19"/>
        </w:rPr>
        <w:t>evaluacion/drills.docx</w:t>
      </w:r>
      <w:r>
        <w:rPr>
          <w:color w:val="2D2D2D"/>
        </w:rPr>
        <w:t xml:space="preserve">. La guía hermana para la parte causal es </w:t>
      </w:r>
      <w:r>
        <w:rPr>
          <w:rFonts w:ascii="Consolas" w:hAnsi="Consolas"/>
          <w:color w:val="2D2D2D"/>
          <w:sz w:val="19"/>
        </w:rPr>
        <w:t>plantillas/guia_correlacion_causalidad.docx</w:t>
      </w:r>
      <w:r>
        <w:rPr>
          <w:color w:val="2D2D2D"/>
        </w:rPr>
        <w:t xml:space="preserve">. Fuentes: Hyndman &amp; Athanasopoulos (2021), </w:t>
      </w:r>
      <w:r>
        <w:rPr>
          <w:i/>
          <w:color w:val="2D2D2D"/>
        </w:rPr>
        <w:t>FPP3</w:t>
      </w:r>
      <w:r>
        <w:rPr>
          <w:color w:val="2D2D2D"/>
        </w:rPr>
        <w:t xml:space="preserve">, cap. 1–3 y 8; Taylor &amp; Letham (2018), </w:t>
      </w:r>
      <w:r>
        <w:rPr>
          <w:i/>
          <w:color w:val="2D2D2D"/>
        </w:rPr>
        <w:t>Forecasting at Scale</w:t>
      </w:r>
      <w:r>
        <w:rPr>
          <w:color w:val="2D2D2D"/>
        </w:rPr>
        <w:t>. Cuaderno en Colab: https://colab.research.google.com/github/jonatanfigueroagil-creator/Herramientas-de-Ciencias-de-Datos/blob/master/Sesiones_EPE/E06_pronostico_causalidad/notebook/EPE_S6_series_causal.ipynb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pronóstico con intervalos y validación honesta (EPE)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