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A1526"/>
          <w:spacing w:val="40"/>
          <w:sz w:val="15"/>
          <w:szCs w:val="15"/>
        </w:rPr>
        <w:t xml:space="preserve">UPC · FACULTAD DE NEGOCIOS · PROGRAMA ADMINISTRACIÓN Y CIENCIA DE DATOS PARA NEGOCIOS</w:t>
      </w:r>
    </w:p>
    <w:p>
      <w:pPr>
        <w:spacing w:after="40"/>
      </w:pPr>
      <w:r>
        <w:rPr>
          <w:rFonts w:ascii="Cambria" w:cs="Cambria" w:eastAsia="Cambria" w:hAnsi="Cambria"/>
          <w:b/>
          <w:bCs/>
          <w:color w:val="2D2D2D"/>
          <w:sz w:val="36"/>
          <w:szCs w:val="36"/>
        </w:rPr>
        <w:t xml:space="preserve">Drills — Sesión S02</w:t>
      </w:r>
    </w:p>
    <w:p>
      <w:pPr>
        <w:pBdr>
          <w:bottom w:val="single" w:color="E4002B" w:sz="18" w:space="10"/>
        </w:pBdr>
        <w:spacing w:after="160"/>
      </w:pPr>
      <w:r>
        <w:rPr>
          <w:rFonts w:ascii="Cambria" w:cs="Cambria" w:eastAsia="Cambria" w:hAnsi="Cambria"/>
          <w:color w:val="7A1526"/>
          <w:sz w:val="28"/>
          <w:szCs w:val="28"/>
        </w:rPr>
        <w:t xml:space="preserve">EDA, inferencia estadística (prueba t, IC, valor p) y A/B testing</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200"/>
        <w:gridCol w:w="7880"/>
      </w:tblGrid>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CURSO</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Herramientas para la Ciencia de Datos · Sesión 02 · EDA, inferencia estadística (prueba t, IC, valor p) y A/B testing · Drills (ejercicios cortos) · Material del estudiante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MODALIDAD</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Se resuelven en parejas · entrega individual</w:t>
            </w:r>
          </w:p>
        </w:tc>
      </w:tr>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CALIFICACIÓN</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El desempeño se refuerza en el control corto de cierre de la sesión y se evalúa de forma integral en el entregable (</w:t>
            </w:r>
            <w:r>
              <w:rPr>
                <w:rFonts w:ascii="Consolas" w:cs="Consolas" w:eastAsia="Consolas" w:hAnsi="Consolas"/>
                <w:color w:val="7A1526"/>
                <w:sz w:val="17"/>
                <w:szCs w:val="17"/>
              </w:rPr>
              <w:t xml:space="preserve">evaluacion/entregable.docx</w:t>
            </w:r>
            <w:r>
              <w:rPr>
                <w:rFonts w:ascii="Cambria" w:cs="Cambria" w:eastAsia="Cambria" w:hAnsi="Cambria"/>
                <w:color w:val="2D2D2D"/>
                <w:sz w:val="19"/>
                <w:szCs w:val="19"/>
              </w:rPr>
              <w:t xml:space="preserv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CUADERNO</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color w:val="7A1526"/>
                <w:sz w:val="17"/>
                <w:szCs w:val="17"/>
              </w:rPr>
              <w:t xml:space="preserve">notebook/S02_eda_inferencia_ab.ipynb</w:t>
            </w:r>
          </w:p>
        </w:tc>
      </w:tr>
    </w:tbl>
    <w:p>
      <w:pPr>
        <w:spacing w:after="150"/>
      </w:pPr>
    </w:p>
    <w:p>
      <w:pPr>
        <w:spacing w:after="180" w:line="265"/>
      </w:pPr>
      <w:r>
        <w:rPr>
          <w:rFonts w:ascii="Cambria" w:cs="Cambria" w:eastAsia="Cambria" w:hAnsi="Cambria"/>
          <w:color w:val="3A3A3A"/>
          <w:sz w:val="18"/>
          <w:szCs w:val="18"/>
        </w:rPr>
        <w:t xml:space="preserve">Material del estudiante. Tres ejercicios de práctica de la Sesión 2 (EDA + estadística inferencial + A/B testing). Se resuelven en parejas; la entrega es individual. Español impersonal. </w:t>
      </w:r>
      <w:r>
        <w:rPr>
          <w:rFonts w:ascii="Cambria" w:cs="Cambria" w:eastAsia="Cambria" w:hAnsi="Cambria"/>
          <w:b/>
          <w:bCs/>
          <w:color w:val="3A3A3A"/>
          <w:sz w:val="18"/>
          <w:szCs w:val="18"/>
        </w:rPr>
        <w:t xml:space="preserve">Material de apoyo:</w:t>
      </w:r>
      <w:r>
        <w:rPr>
          <w:rFonts w:ascii="Cambria" w:cs="Cambria" w:eastAsia="Cambria" w:hAnsi="Cambria"/>
          <w:color w:val="3A3A3A"/>
          <w:sz w:val="18"/>
          <w:szCs w:val="18"/>
        </w:rPr>
        <w:t xml:space="preserve"> el cuaderno </w:t>
      </w:r>
      <w:r>
        <w:rPr>
          <w:rFonts w:ascii="Consolas" w:cs="Consolas" w:eastAsia="Consolas" w:hAnsi="Consolas"/>
          <w:color w:val="7A1526"/>
          <w:sz w:val="16"/>
          <w:szCs w:val="16"/>
        </w:rPr>
        <w:t xml:space="preserve">notebook/S02_eda_inferencia_ab.ipynb</w:t>
      </w:r>
      <w:r>
        <w:rPr>
          <w:rFonts w:ascii="Cambria" w:cs="Cambria" w:eastAsia="Cambria" w:hAnsi="Cambria"/>
          <w:color w:val="3A3A3A"/>
          <w:sz w:val="18"/>
          <w:szCs w:val="18"/>
        </w:rPr>
        <w:t xml:space="preserve">, la calculadora </w:t>
      </w:r>
      <w:r>
        <w:rPr>
          <w:rFonts w:ascii="Consolas" w:cs="Consolas" w:eastAsia="Consolas" w:hAnsi="Consolas"/>
          <w:color w:val="7A1526"/>
          <w:sz w:val="16"/>
          <w:szCs w:val="16"/>
        </w:rPr>
        <w:t xml:space="preserve">plantillas/calculadora_tamano_muestral_ab.ipynb</w:t>
      </w:r>
      <w:r>
        <w:rPr>
          <w:rFonts w:ascii="Cambria" w:cs="Cambria" w:eastAsia="Cambria" w:hAnsi="Cambria"/>
          <w:color w:val="3A3A3A"/>
          <w:sz w:val="18"/>
          <w:szCs w:val="18"/>
        </w:rPr>
        <w:t xml:space="preserve"> (Drill 1) y el árbol de decisión </w:t>
      </w:r>
      <w:r>
        <w:rPr>
          <w:rFonts w:ascii="Consolas" w:cs="Consolas" w:eastAsia="Consolas" w:hAnsi="Consolas"/>
          <w:color w:val="7A1526"/>
          <w:sz w:val="16"/>
          <w:szCs w:val="16"/>
        </w:rPr>
        <w:t xml:space="preserve">plantillas/arbol_decision_prueba.docx</w:t>
      </w:r>
      <w:r>
        <w:rPr>
          <w:rFonts w:ascii="Cambria" w:cs="Cambria" w:eastAsia="Cambria" w:hAnsi="Cambria"/>
          <w:color w:val="3A3A3A"/>
          <w:sz w:val="18"/>
          <w:szCs w:val="18"/>
        </w:rPr>
        <w:t xml:space="preserve"> (Drill 2). El entregable evaluable de la sesión está en </w:t>
      </w:r>
      <w:r>
        <w:rPr>
          <w:rFonts w:ascii="Consolas" w:cs="Consolas" w:eastAsia="Consolas" w:hAnsi="Consolas"/>
          <w:color w:val="7A1526"/>
          <w:sz w:val="16"/>
          <w:szCs w:val="16"/>
        </w:rPr>
        <w:t xml:space="preserve">evaluacion/entregable.docx</w:t>
      </w:r>
      <w:r>
        <w:rPr>
          <w:rFonts w:ascii="Cambria" w:cs="Cambria" w:eastAsia="Cambria" w:hAnsi="Cambria"/>
          <w:color w:val="3A3A3A"/>
          <w:sz w:val="18"/>
          <w:szCs w:val="18"/>
        </w:rPr>
        <w:t xml:space="preserve">. Convención del curso: nivel de significancia α = 0.05 y potencia objetivo 1−β = 0.80 salvo que el enunciado indique lo contrario. Todo cálculo se apoya en </w:t>
      </w:r>
      <w:r>
        <w:rPr>
          <w:rFonts w:ascii="Consolas" w:cs="Consolas" w:eastAsia="Consolas" w:hAnsi="Consolas"/>
          <w:color w:val="7A1526"/>
          <w:sz w:val="16"/>
          <w:szCs w:val="16"/>
        </w:rPr>
        <w:t xml:space="preserve">statsmodels.stats.power</w:t>
      </w:r>
      <w:r>
        <w:rPr>
          <w:rFonts w:ascii="Cambria" w:cs="Cambria" w:eastAsia="Cambria" w:hAnsi="Cambria"/>
          <w:color w:val="3A3A3A"/>
          <w:sz w:val="18"/>
          <w:szCs w:val="18"/>
        </w:rPr>
        <w:t xml:space="preserve"> y </w:t>
      </w:r>
      <w:r>
        <w:rPr>
          <w:rFonts w:ascii="Consolas" w:cs="Consolas" w:eastAsia="Consolas" w:hAnsi="Consolas"/>
          <w:color w:val="7A1526"/>
          <w:sz w:val="16"/>
          <w:szCs w:val="16"/>
        </w:rPr>
        <w:t xml:space="preserve">statsmodels.stats.proportion</w:t>
      </w:r>
      <w:r>
        <w:rPr>
          <w:rFonts w:ascii="Cambria" w:cs="Cambria" w:eastAsia="Cambria" w:hAnsi="Cambria"/>
          <w:color w:val="3A3A3A"/>
          <w:sz w:val="18"/>
          <w:szCs w:val="18"/>
        </w:rPr>
        <w:t xml:space="preserve"> (el stack del venv del curso).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7A1526" w:color="auto" w:val="clear"/>
            <w:tcMar>
              <w:top w:type="dxa" w:w="180"/>
              <w:left w:type="dxa" w:w="150"/>
              <w:bottom w:type="dxa" w:w="180"/>
              <w:right w:type="dxa" w:w="150"/>
            </w:tcMar>
          </w:tcPr>
          <w:p>
            <w:pPr>
              <w:spacing w:after="80"/>
            </w:pPr>
            <w:r>
              <w:rPr>
                <w:rFonts w:ascii="Calibri" w:cs="Calibri" w:eastAsia="Calibri" w:hAnsi="Calibri"/>
                <w:b/>
                <w:bCs/>
                <w:color w:val="FFFFFF"/>
                <w:spacing w:val="30"/>
                <w:sz w:val="15"/>
                <w:szCs w:val="15"/>
              </w:rPr>
              <w:t xml:space="preserve">OBJETIVO DE LOS DRILLS</w:t>
            </w:r>
          </w:p>
          <w:p>
            <w:pPr>
              <w:spacing w:line="280"/>
            </w:pPr>
            <w:r>
              <w:rPr>
                <w:rFonts w:ascii="Cambria" w:cs="Cambria" w:eastAsia="Cambria" w:hAnsi="Cambria"/>
                <w:color w:val="FFFFFF"/>
                <w:sz w:val="21"/>
                <w:szCs w:val="21"/>
              </w:rPr>
              <w:t xml:space="preserve">Practicar, en ejercicios cortos, las destrezas que califica la rúbrica del entregable: dimensionar un experimento A/B por tamaño muestral y poder, elegir la prueba estadística correcta según el tipo de variable y el diseño, y distinguir significancia estadística de significancia práctica al interpretar un p-valor.</w:t>
            </w:r>
          </w:p>
        </w:tc>
      </w:tr>
    </w:tbl>
    <w:p>
      <w:pPr>
        <w:spacing w:after="200"/>
      </w:pPr>
    </w:p>
    <w:p>
      <w:pPr>
        <w:keepNext/>
        <w:spacing w:after="110" w:before="240"/>
      </w:pPr>
      <w:r>
        <w:rPr>
          <w:rFonts w:ascii="Calibri" w:cs="Calibri" w:eastAsia="Calibri" w:hAnsi="Calibri"/>
          <w:b/>
          <w:bCs/>
          <w:color w:val="7A1526"/>
          <w:sz w:val="21"/>
          <w:szCs w:val="21"/>
        </w:rPr>
        <w:t xml:space="preserve">Contenido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6180"/>
        <w:gridCol w:w="2400"/>
      </w:tblGrid>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1</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Tamaño muestral para detectar un lift del 2%</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2</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Elegir la prueba correcta para 4 escenarios</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3</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Interpretar un p-valor de 0.04 con n = 50 000</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bl>
    <w:p>
      <w:pPr>
        <w:spacing w:after="220"/>
      </w:pPr>
    </w:p>
    <w:p>
      <w:pPr>
        <w:keepNext/>
        <w:spacing w:after="60" w:before="120"/>
      </w:pPr>
      <w:r>
        <w:rPr>
          <w:rFonts w:ascii="Calibri" w:cs="Calibri" w:eastAsia="Calibri" w:hAnsi="Calibri"/>
          <w:b/>
          <w:bCs/>
          <w:color w:val="7A1526"/>
          <w:sz w:val="24"/>
          <w:szCs w:val="24"/>
        </w:rPr>
        <w:t xml:space="preserve">1.  </w:t>
      </w:r>
      <w:r>
        <w:rPr>
          <w:rFonts w:ascii="Calibri" w:cs="Calibri" w:eastAsia="Calibri" w:hAnsi="Calibri"/>
          <w:b/>
          <w:bCs/>
          <w:color w:val="7A1526"/>
          <w:spacing w:val="20"/>
          <w:sz w:val="24"/>
          <w:szCs w:val="24"/>
        </w:rPr>
        <w:t xml:space="preserve">DRILL 1 — TAMAÑO MUESTRAL PARA DETECTAR UN LIFT DEL 2%</w:t>
      </w:r>
    </w:p>
    <w:p>
      <w:pPr>
        <w:keepNext/>
        <w:pBdr>
          <w:bottom w:val="single" w:color="E4002B" w:sz="14" w:space="8"/>
        </w:pBdr>
        <w:spacing w:after="140"/>
      </w:pPr>
      <w:r>
        <w:rPr>
          <w:rFonts w:ascii="Cambria" w:cs="Cambria" w:eastAsia="Cambria" w:hAnsi="Cambria"/>
          <w:i/>
          <w:iCs/>
          <w:color w:val="6E6E6E"/>
          <w:sz w:val="19"/>
          <w:szCs w:val="19"/>
        </w:rPr>
        <w:t xml:space="preserve"/>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Una empresa quiere lanzar un experimento A/B sobre la </w:t>
      </w:r>
      <w:r>
        <w:rPr>
          <w:rFonts w:ascii="Cambria" w:cs="Cambria" w:eastAsia="Cambria" w:hAnsi="Cambria"/>
          <w:b/>
          <w:bCs/>
          <w:color w:val="2D2D2D"/>
          <w:sz w:val="20"/>
          <w:szCs w:val="20"/>
        </w:rPr>
        <w:t xml:space="preserve">retención a 7 días</w:t>
      </w:r>
      <w:r>
        <w:rPr>
          <w:rFonts w:ascii="Cambria" w:cs="Cambria" w:eastAsia="Cambria" w:hAnsi="Cambria"/>
          <w:color w:val="2D2D2D"/>
          <w:sz w:val="20"/>
          <w:szCs w:val="20"/>
        </w:rPr>
        <w:t xml:space="preserve"> de un juego móvil. La retención actual del grupo de control es del </w:t>
      </w:r>
      <w:r>
        <w:rPr>
          <w:rFonts w:ascii="Cambria" w:cs="Cambria" w:eastAsia="Cambria" w:hAnsi="Cambria"/>
          <w:b/>
          <w:bCs/>
          <w:color w:val="2D2D2D"/>
          <w:sz w:val="20"/>
          <w:szCs w:val="20"/>
        </w:rPr>
        <w:t xml:space="preserve">19.0%</w:t>
      </w:r>
      <w:r>
        <w:rPr>
          <w:rFonts w:ascii="Cambria" w:cs="Cambria" w:eastAsia="Cambria" w:hAnsi="Cambria"/>
          <w:color w:val="2D2D2D"/>
          <w:sz w:val="20"/>
          <w:szCs w:val="20"/>
        </w:rPr>
        <w:t xml:space="preserve"> (dato de referencia del caso Cookie Cats). El equipo de producto considera que valdría la pena implementar el cambio solo si eleva la retención al menos un </w:t>
      </w:r>
      <w:r>
        <w:rPr>
          <w:rFonts w:ascii="Cambria" w:cs="Cambria" w:eastAsia="Cambria" w:hAnsi="Cambria"/>
          <w:b/>
          <w:bCs/>
          <w:color w:val="2D2D2D"/>
          <w:sz w:val="20"/>
          <w:szCs w:val="20"/>
        </w:rPr>
        <w:t xml:space="preserve">2% en términos relativos</w:t>
      </w:r>
      <w:r>
        <w:rPr>
          <w:rFonts w:ascii="Cambria" w:cs="Cambria" w:eastAsia="Cambria" w:hAnsi="Cambria"/>
          <w:color w:val="2D2D2D"/>
          <w:sz w:val="20"/>
          <w:szCs w:val="20"/>
        </w:rPr>
        <w:t xml:space="preserve"> (es decir, el efecto mínimo relevante, MDE, lleva la retención de 19.0% a </w:t>
      </w:r>
      <w:r>
        <w:rPr>
          <w:rFonts w:ascii="Consolas" w:cs="Consolas" w:eastAsia="Consolas" w:hAnsi="Consolas"/>
          <w:color w:val="7A1526"/>
          <w:sz w:val="18"/>
          <w:szCs w:val="18"/>
        </w:rPr>
        <w:t xml:space="preserve">19.0% × 1.02 = 19.38%</w:t>
      </w:r>
      <w:r>
        <w:rPr>
          <w:rFonts w:ascii="Cambria" w:cs="Cambria" w:eastAsia="Cambria" w:hAnsi="Cambria"/>
          <w:color w:val="2D2D2D"/>
          <w:sz w:val="20"/>
          <w:szCs w:val="20"/>
        </w:rPr>
        <w:t xml:space="preserve">).</w:t>
      </w:r>
    </w:p>
    <w:p>
      <w:pPr>
        <w:spacing w:after="220"/>
      </w:pPr>
    </w:p>
    <w:p>
      <w:pPr>
        <w:spacing w:line="270"/>
      </w:pPr>
      <w:r>
        <w:rPr>
          <w:rFonts w:ascii="Cambria" w:cs="Cambria" w:eastAsia="Cambria" w:hAnsi="Cambria"/>
          <w:color w:val="2D2D2D"/>
          <w:sz w:val="20"/>
          <w:szCs w:val="20"/>
        </w:rPr>
        <w:t xml:space="preserve">Se pide, con α = 0.05 (bilateral) y potencia 1−β = 0.80:</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Calcular el </w:t>
            </w:r>
            <w:r>
              <w:rPr>
                <w:rFonts w:ascii="Cambria" w:cs="Cambria" w:eastAsia="Cambria" w:hAnsi="Cambria"/>
                <w:b/>
                <w:bCs/>
                <w:color w:val="2D2D2D"/>
                <w:sz w:val="19"/>
                <w:szCs w:val="19"/>
              </w:rPr>
              <w:t xml:space="preserve">tamaño muestral por grupo</w:t>
            </w:r>
            <w:r>
              <w:rPr>
                <w:rFonts w:ascii="Cambria" w:cs="Cambria" w:eastAsia="Cambria" w:hAnsi="Cambria"/>
                <w:color w:val="2D2D2D"/>
                <w:sz w:val="19"/>
                <w:szCs w:val="19"/>
              </w:rPr>
              <w:t xml:space="preserve"> (número de usuarios en control y en tratamiento) necesario para detectar ese lift del 2%.</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Indicar el </w:t>
            </w:r>
            <w:r>
              <w:rPr>
                <w:rFonts w:ascii="Cambria" w:cs="Cambria" w:eastAsia="Cambria" w:hAnsi="Cambria"/>
                <w:b/>
                <w:bCs/>
                <w:color w:val="2D2D2D"/>
                <w:sz w:val="19"/>
                <w:szCs w:val="19"/>
              </w:rPr>
              <w:t xml:space="preserve">tamaño total</w:t>
            </w:r>
            <w:r>
              <w:rPr>
                <w:rFonts w:ascii="Cambria" w:cs="Cambria" w:eastAsia="Cambria" w:hAnsi="Cambria"/>
                <w:color w:val="2D2D2D"/>
                <w:sz w:val="19"/>
                <w:szCs w:val="19"/>
              </w:rPr>
              <w:t xml:space="preserve"> del experimento (ambos grupos).</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Con un flujo de ~3 000 usuarios nuevos por día repartidos al 50/50 entre las dos versiones, estimar </w:t>
            </w:r>
            <w:r>
              <w:rPr>
                <w:rFonts w:ascii="Cambria" w:cs="Cambria" w:eastAsia="Cambria" w:hAnsi="Cambria"/>
                <w:b/>
                <w:bCs/>
                <w:color w:val="2D2D2D"/>
                <w:sz w:val="19"/>
                <w:szCs w:val="19"/>
              </w:rPr>
              <w:t xml:space="preserve">cuántos días</w:t>
            </w:r>
            <w:r>
              <w:rPr>
                <w:rFonts w:ascii="Cambria" w:cs="Cambria" w:eastAsia="Cambria" w:hAnsi="Cambria"/>
                <w:color w:val="2D2D2D"/>
                <w:sz w:val="19"/>
                <w:szCs w:val="19"/>
              </w:rPr>
              <w:t xml:space="preserve"> debería durar el experimento.</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Comentar en 2–3 líneas la </w:t>
            </w:r>
            <w:r>
              <w:rPr>
                <w:rFonts w:ascii="Cambria" w:cs="Cambria" w:eastAsia="Cambria" w:hAnsi="Cambria"/>
                <w:b/>
                <w:bCs/>
                <w:color w:val="2D2D2D"/>
                <w:sz w:val="19"/>
                <w:szCs w:val="19"/>
              </w:rPr>
              <w:t xml:space="preserve">viabilidad</w:t>
            </w:r>
            <w:r>
              <w:rPr>
                <w:rFonts w:ascii="Cambria" w:cs="Cambria" w:eastAsia="Cambria" w:hAnsi="Cambria"/>
                <w:color w:val="2D2D2D"/>
                <w:sz w:val="19"/>
                <w:szCs w:val="19"/>
              </w:rPr>
              <w:t xml:space="preserve"> del experimento: ¿detectar el efecto tiene un costo bajo o alto? ¿Qué pasaría con el tamaño requerido si el MDE fuera mayor?</w:t>
            </w:r>
          </w:p>
        </w:tc>
      </w:tr>
    </w:tbl>
    <w:p>
      <w:pPr>
        <w:spacing w:after="220"/>
      </w:pPr>
    </w:p>
    <w:p>
      <w:pPr>
        <w:spacing w:after="260" w:line="265"/>
      </w:pPr>
      <w:r>
        <w:rPr>
          <w:rFonts w:ascii="Cambria" w:cs="Cambria" w:eastAsia="Cambria" w:hAnsi="Cambria"/>
          <w:i/>
          <w:iCs/>
          <w:color w:val="6E6E6E"/>
          <w:sz w:val="18"/>
          <w:szCs w:val="18"/>
        </w:rPr>
        <w:t xml:space="preserve">(Pista de método: para una métrica de proporción se usa el tamaño del efecto </w:t>
      </w:r>
      <w:r>
        <w:rPr>
          <w:rFonts w:ascii="Cambria" w:cs="Cambria" w:eastAsia="Cambria" w:hAnsi="Cambria"/>
          <w:b/>
          <w:bCs/>
          <w:i/>
          <w:iCs/>
          <w:color w:val="6E6E6E"/>
          <w:sz w:val="18"/>
          <w:szCs w:val="18"/>
        </w:rPr>
        <w:t xml:space="preserve">h de Cohen</w:t>
      </w:r>
      <w:r>
        <w:rPr>
          <w:rFonts w:ascii="Cambria" w:cs="Cambria" w:eastAsia="Cambria" w:hAnsi="Cambria"/>
          <w:i/>
          <w:iCs/>
          <w:color w:val="6E6E6E"/>
          <w:sz w:val="18"/>
          <w:szCs w:val="18"/>
        </w:rPr>
        <w:t xml:space="preserve"> sobre las dos proporciones, </w:t>
      </w:r>
      <w:r>
        <w:rPr>
          <w:rFonts w:ascii="Consolas" w:cs="Consolas" w:eastAsia="Consolas" w:hAnsi="Consolas"/>
          <w:i/>
          <w:iCs/>
          <w:color w:val="7A1526"/>
          <w:sz w:val="16"/>
          <w:szCs w:val="16"/>
        </w:rPr>
        <w:t xml:space="preserve">h = 2·arcsin(√p₁) − 2·arcsin(√p₀)</w:t>
      </w:r>
      <w:r>
        <w:rPr>
          <w:rFonts w:ascii="Cambria" w:cs="Cambria" w:eastAsia="Cambria" w:hAnsi="Cambria"/>
          <w:i/>
          <w:iCs/>
          <w:color w:val="6E6E6E"/>
          <w:sz w:val="18"/>
          <w:szCs w:val="18"/>
        </w:rPr>
        <w:t xml:space="preserve"> —</w:t>
      </w:r>
      <w:r>
        <w:rPr>
          <w:rFonts w:ascii="Consolas" w:cs="Consolas" w:eastAsia="Consolas" w:hAnsi="Consolas"/>
          <w:i/>
          <w:iCs/>
          <w:color w:val="7A1526"/>
          <w:sz w:val="16"/>
          <w:szCs w:val="16"/>
        </w:rPr>
        <w:t xml:space="preserve">statsmodels.stats.proportion.proportion_effectsize</w:t>
      </w:r>
      <w:r>
        <w:rPr>
          <w:rFonts w:ascii="Cambria" w:cs="Cambria" w:eastAsia="Cambria" w:hAnsi="Cambria"/>
          <w:i/>
          <w:iCs/>
          <w:color w:val="6E6E6E"/>
          <w:sz w:val="18"/>
          <w:szCs w:val="18"/>
        </w:rPr>
        <w:t xml:space="preserve">— y luego </w:t>
      </w:r>
      <w:r>
        <w:rPr>
          <w:rFonts w:ascii="Consolas" w:cs="Consolas" w:eastAsia="Consolas" w:hAnsi="Consolas"/>
          <w:i/>
          <w:iCs/>
          <w:color w:val="7A1526"/>
          <w:sz w:val="16"/>
          <w:szCs w:val="16"/>
        </w:rPr>
        <w:t xml:space="preserve">n = 2·((z_(1-α/2) + z_(1-β)) / h)²</w:t>
      </w:r>
      <w:r>
        <w:rPr>
          <w:rFonts w:ascii="Cambria" w:cs="Cambria" w:eastAsia="Cambria" w:hAnsi="Cambria"/>
          <w:i/>
          <w:iCs/>
          <w:color w:val="6E6E6E"/>
          <w:sz w:val="18"/>
          <w:szCs w:val="18"/>
        </w:rPr>
        <w:t xml:space="preserve"> con </w:t>
      </w:r>
      <w:r>
        <w:rPr>
          <w:rFonts w:ascii="Consolas" w:cs="Consolas" w:eastAsia="Consolas" w:hAnsi="Consolas"/>
          <w:i/>
          <w:iCs/>
          <w:color w:val="7A1526"/>
          <w:sz w:val="16"/>
          <w:szCs w:val="16"/>
        </w:rPr>
        <w:t xml:space="preserve">NormalIndPower.solve_power</w:t>
      </w:r>
      <w:r>
        <w:rPr>
          <w:rFonts w:ascii="Cambria" w:cs="Cambria" w:eastAsia="Cambria" w:hAnsi="Cambria"/>
          <w:i/>
          <w:iCs/>
          <w:color w:val="6E6E6E"/>
          <w:sz w:val="18"/>
          <w:szCs w:val="18"/>
        </w:rPr>
        <w:t xml:space="preserve">. La calculadora de la plantilla ya lo tiene implementado.)</w:t>
      </w:r>
    </w:p>
    <w:p>
      <w:pPr>
        <w:keepNext/>
        <w:spacing w:after="60" w:before="120"/>
      </w:pPr>
      <w:r>
        <w:rPr>
          <w:rFonts w:ascii="Calibri" w:cs="Calibri" w:eastAsia="Calibri" w:hAnsi="Calibri"/>
          <w:b/>
          <w:bCs/>
          <w:color w:val="7A1526"/>
          <w:sz w:val="24"/>
          <w:szCs w:val="24"/>
        </w:rPr>
        <w:t xml:space="preserve">2.  </w:t>
      </w:r>
      <w:r>
        <w:rPr>
          <w:rFonts w:ascii="Calibri" w:cs="Calibri" w:eastAsia="Calibri" w:hAnsi="Calibri"/>
          <w:b/>
          <w:bCs/>
          <w:color w:val="7A1526"/>
          <w:spacing w:val="20"/>
          <w:sz w:val="24"/>
          <w:szCs w:val="24"/>
        </w:rPr>
        <w:t xml:space="preserve">DRILL 2 — ELEGIR LA PRUEBA CORRECTA PARA 4 ESCENARIOS</w:t>
      </w:r>
    </w:p>
    <w:p>
      <w:pPr>
        <w:keepNext/>
        <w:pBdr>
          <w:bottom w:val="single" w:color="E4002B" w:sz="14" w:space="8"/>
        </w:pBdr>
        <w:spacing w:after="140"/>
      </w:pPr>
      <w:r>
        <w:rPr>
          <w:rFonts w:ascii="Cambria" w:cs="Cambria" w:eastAsia="Cambria" w:hAnsi="Cambria"/>
          <w:i/>
          <w:iCs/>
          <w:color w:val="6E6E6E"/>
          <w:sz w:val="19"/>
          <w:szCs w:val="19"/>
        </w:rPr>
        <w:t xml:space="preserve"/>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Para cada uno de los siguientes escenarios de negocio, </w:t>
      </w:r>
      <w:r>
        <w:rPr>
          <w:rFonts w:ascii="Cambria" w:cs="Cambria" w:eastAsia="Cambria" w:hAnsi="Cambria"/>
          <w:b/>
          <w:bCs/>
          <w:color w:val="2D2D2D"/>
          <w:sz w:val="20"/>
          <w:szCs w:val="20"/>
        </w:rPr>
        <w:t xml:space="preserve">indicar qué prueba estadística es la adecuada</w:t>
      </w:r>
      <w:r>
        <w:rPr>
          <w:rFonts w:ascii="Cambria" w:cs="Cambria" w:eastAsia="Cambria" w:hAnsi="Cambria"/>
          <w:color w:val="2D2D2D"/>
          <w:sz w:val="20"/>
          <w:szCs w:val="20"/>
        </w:rPr>
        <w:t xml:space="preserve"> y </w:t>
      </w:r>
      <w:r>
        <w:rPr>
          <w:rFonts w:ascii="Cambria" w:cs="Cambria" w:eastAsia="Cambria" w:hAnsi="Cambria"/>
          <w:b/>
          <w:bCs/>
          <w:color w:val="2D2D2D"/>
          <w:sz w:val="20"/>
          <w:szCs w:val="20"/>
        </w:rPr>
        <w:t xml:space="preserve">justificar en una línea</w:t>
      </w:r>
      <w:r>
        <w:rPr>
          <w:rFonts w:ascii="Cambria" w:cs="Cambria" w:eastAsia="Cambria" w:hAnsi="Cambria"/>
          <w:color w:val="2D2D2D"/>
          <w:sz w:val="20"/>
          <w:szCs w:val="20"/>
        </w:rPr>
        <w:t xml:space="preserve"> por qué (tipo de variable, número de grupos, diseño y supuestos). Usar el árbol de decisión de la plantilla </w:t>
      </w:r>
      <w:r>
        <w:rPr>
          <w:rFonts w:ascii="Consolas" w:cs="Consolas" w:eastAsia="Consolas" w:hAnsi="Consolas"/>
          <w:color w:val="7A1526"/>
          <w:sz w:val="18"/>
          <w:szCs w:val="18"/>
        </w:rPr>
        <w:t xml:space="preserve">plantillas/arbol_decision_prueba.docx</w:t>
      </w:r>
      <w:r>
        <w:rPr>
          <w:rFonts w:ascii="Cambria" w:cs="Cambria" w:eastAsia="Cambria" w:hAnsi="Cambria"/>
          <w:color w:val="2D2D2D"/>
          <w:sz w:val="20"/>
          <w:szCs w:val="20"/>
        </w:rPr>
        <w:t xml:space="preserv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A.</w:t>
            </w:r>
            <w:r>
              <w:rPr>
                <w:rFonts w:ascii="Cambria" w:cs="Cambria" w:eastAsia="Cambria" w:hAnsi="Cambria"/>
                <w:color w:val="2D2D2D"/>
                <w:sz w:val="19"/>
                <w:szCs w:val="19"/>
              </w:rPr>
              <w:t xml:space="preserve"> Se compara el </w:t>
            </w:r>
            <w:r>
              <w:rPr>
                <w:rFonts w:ascii="Cambria" w:cs="Cambria" w:eastAsia="Cambria" w:hAnsi="Cambria"/>
                <w:b/>
                <w:bCs/>
                <w:color w:val="2D2D2D"/>
                <w:sz w:val="19"/>
                <w:szCs w:val="19"/>
              </w:rPr>
              <w:t xml:space="preserve">ticket promedio (S/.)</w:t>
            </w:r>
            <w:r>
              <w:rPr>
                <w:rFonts w:ascii="Cambria" w:cs="Cambria" w:eastAsia="Cambria" w:hAnsi="Cambria"/>
                <w:color w:val="2D2D2D"/>
                <w:sz w:val="19"/>
                <w:szCs w:val="19"/>
              </w:rPr>
              <w:t xml:space="preserve"> de clientes de </w:t>
            </w:r>
            <w:r>
              <w:rPr>
                <w:rFonts w:ascii="Cambria" w:cs="Cambria" w:eastAsia="Cambria" w:hAnsi="Cambria"/>
                <w:b/>
                <w:bCs/>
                <w:color w:val="2D2D2D"/>
                <w:sz w:val="19"/>
                <w:szCs w:val="19"/>
              </w:rPr>
              <w:t xml:space="preserve">dos tiendas distintas</w:t>
            </w:r>
            <w:r>
              <w:rPr>
                <w:rFonts w:ascii="Cambria" w:cs="Cambria" w:eastAsia="Cambria" w:hAnsi="Cambria"/>
                <w:color w:val="2D2D2D"/>
                <w:sz w:val="19"/>
                <w:szCs w:val="19"/>
              </w:rPr>
              <w:t xml:space="preserve"> (clientes diferentes en cada una). El histograma del ticket es aproximadamente simétrico y sin atípicos extremos. ¿Difieren los tickets medios?</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B.</w:t>
            </w:r>
            <w:r>
              <w:rPr>
                <w:rFonts w:ascii="Cambria" w:cs="Cambria" w:eastAsia="Cambria" w:hAnsi="Cambria"/>
                <w:color w:val="2D2D2D"/>
                <w:sz w:val="19"/>
                <w:szCs w:val="19"/>
              </w:rPr>
              <w:t xml:space="preserve"> Una app prueba </w:t>
            </w:r>
            <w:r>
              <w:rPr>
                <w:rFonts w:ascii="Cambria" w:cs="Cambria" w:eastAsia="Cambria" w:hAnsi="Cambria"/>
                <w:b/>
                <w:bCs/>
                <w:color w:val="2D2D2D"/>
                <w:sz w:val="19"/>
                <w:szCs w:val="19"/>
              </w:rPr>
              <w:t xml:space="preserve">tres versiones</w:t>
            </w:r>
            <w:r>
              <w:rPr>
                <w:rFonts w:ascii="Cambria" w:cs="Cambria" w:eastAsia="Cambria" w:hAnsi="Cambria"/>
                <w:color w:val="2D2D2D"/>
                <w:sz w:val="19"/>
                <w:szCs w:val="19"/>
              </w:rPr>
              <w:t xml:space="preserve"> de su pantalla de inicio (A, B y C) con usuarios distintos y mide el </w:t>
            </w:r>
            <w:r>
              <w:rPr>
                <w:rFonts w:ascii="Cambria" w:cs="Cambria" w:eastAsia="Cambria" w:hAnsi="Cambria"/>
                <w:b/>
                <w:bCs/>
                <w:color w:val="2D2D2D"/>
                <w:sz w:val="19"/>
                <w:szCs w:val="19"/>
              </w:rPr>
              <w:t xml:space="preserve">tiempo medio de sesión</w:t>
            </w:r>
            <w:r>
              <w:rPr>
                <w:rFonts w:ascii="Cambria" w:cs="Cambria" w:eastAsia="Cambria" w:hAnsi="Cambria"/>
                <w:color w:val="2D2D2D"/>
                <w:sz w:val="19"/>
                <w:szCs w:val="19"/>
              </w:rPr>
              <w:t xml:space="preserve"> (minutos), variable razonablemente normal. ¿Alguna versión cambia el tiempo de sesión?</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C.</w:t>
            </w:r>
            <w:r>
              <w:rPr>
                <w:rFonts w:ascii="Cambria" w:cs="Cambria" w:eastAsia="Cambria" w:hAnsi="Cambria"/>
                <w:color w:val="2D2D2D"/>
                <w:sz w:val="19"/>
                <w:szCs w:val="19"/>
              </w:rPr>
              <w:t xml:space="preserve"> Se quiere saber si la </w:t>
            </w:r>
            <w:r>
              <w:rPr>
                <w:rFonts w:ascii="Cambria" w:cs="Cambria" w:eastAsia="Cambria" w:hAnsi="Cambria"/>
                <w:b/>
                <w:bCs/>
                <w:color w:val="2D2D2D"/>
                <w:sz w:val="19"/>
                <w:szCs w:val="19"/>
              </w:rPr>
              <w:t xml:space="preserve">conversión (compró / no compró)</w:t>
            </w:r>
            <w:r>
              <w:rPr>
                <w:rFonts w:ascii="Cambria" w:cs="Cambria" w:eastAsia="Cambria" w:hAnsi="Cambria"/>
                <w:color w:val="2D2D2D"/>
                <w:sz w:val="19"/>
                <w:szCs w:val="19"/>
              </w:rPr>
              <w:t xml:space="preserve"> depende del </w:t>
            </w:r>
            <w:r>
              <w:rPr>
                <w:rFonts w:ascii="Cambria" w:cs="Cambria" w:eastAsia="Cambria" w:hAnsi="Cambria"/>
                <w:b/>
                <w:bCs/>
                <w:color w:val="2D2D2D"/>
                <w:sz w:val="19"/>
                <w:szCs w:val="19"/>
              </w:rPr>
              <w:t xml:space="preserve">canal de adquisición</w:t>
            </w:r>
            <w:r>
              <w:rPr>
                <w:rFonts w:ascii="Cambria" w:cs="Cambria" w:eastAsia="Cambria" w:hAnsi="Cambria"/>
                <w:color w:val="2D2D2D"/>
                <w:sz w:val="19"/>
                <w:szCs w:val="19"/>
              </w:rPr>
              <w:t xml:space="preserve"> (email / redes / orgánico). Ambas son variables categóricas y se dispone de la tabla de contingencia de conteos.</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D.</w:t>
            </w:r>
            <w:r>
              <w:rPr>
                <w:rFonts w:ascii="Cambria" w:cs="Cambria" w:eastAsia="Cambria" w:hAnsi="Cambria"/>
                <w:color w:val="2D2D2D"/>
                <w:sz w:val="19"/>
                <w:szCs w:val="19"/>
              </w:rPr>
              <w:t xml:space="preserve"> Se compara el </w:t>
            </w:r>
            <w:r>
              <w:rPr>
                <w:rFonts w:ascii="Cambria" w:cs="Cambria" w:eastAsia="Cambria" w:hAnsi="Cambria"/>
                <w:b/>
                <w:bCs/>
                <w:color w:val="2D2D2D"/>
                <w:sz w:val="19"/>
                <w:szCs w:val="19"/>
              </w:rPr>
              <w:t xml:space="preserve">gasto por usuario (S/.)</w:t>
            </w:r>
            <w:r>
              <w:rPr>
                <w:rFonts w:ascii="Cambria" w:cs="Cambria" w:eastAsia="Cambria" w:hAnsi="Cambria"/>
                <w:color w:val="2D2D2D"/>
                <w:sz w:val="19"/>
                <w:szCs w:val="19"/>
              </w:rPr>
              <w:t xml:space="preserve"> entre </w:t>
            </w:r>
            <w:r>
              <w:rPr>
                <w:rFonts w:ascii="Cambria" w:cs="Cambria" w:eastAsia="Cambria" w:hAnsi="Cambria"/>
                <w:b/>
                <w:bCs/>
                <w:color w:val="2D2D2D"/>
                <w:sz w:val="19"/>
                <w:szCs w:val="19"/>
              </w:rPr>
              <w:t xml:space="preserve">control y tratamiento</w:t>
            </w:r>
            <w:r>
              <w:rPr>
                <w:rFonts w:ascii="Cambria" w:cs="Cambria" w:eastAsia="Cambria" w:hAnsi="Cambria"/>
                <w:color w:val="2D2D2D"/>
                <w:sz w:val="19"/>
                <w:szCs w:val="19"/>
              </w:rPr>
              <w:t xml:space="preserve"> de un A/B test. La variable está </w:t>
            </w:r>
            <w:r>
              <w:rPr>
                <w:rFonts w:ascii="Cambria" w:cs="Cambria" w:eastAsia="Cambria" w:hAnsi="Cambria"/>
                <w:b/>
                <w:bCs/>
                <w:color w:val="2D2D2D"/>
                <w:sz w:val="19"/>
                <w:szCs w:val="19"/>
              </w:rPr>
              <w:t xml:space="preserve">muy sesgada a la derecha</w:t>
            </w:r>
            <w:r>
              <w:rPr>
                <w:rFonts w:ascii="Cambria" w:cs="Cambria" w:eastAsia="Cambria" w:hAnsi="Cambria"/>
                <w:color w:val="2D2D2D"/>
                <w:sz w:val="19"/>
                <w:szCs w:val="19"/>
              </w:rPr>
              <w:t xml:space="preserve">, con colas pesadas y varios atípicos; Shapiro-Wilk rechaza la normalidad. ¿Gasta más un grupo que el otro?</w:t>
            </w:r>
          </w:p>
        </w:tc>
      </w:tr>
    </w:tbl>
    <w:p>
      <w:pPr>
        <w:spacing w:after="220"/>
      </w:pPr>
    </w:p>
    <w:p>
      <w:pPr>
        <w:spacing w:after="260" w:line="265"/>
      </w:pPr>
      <w:r>
        <w:rPr>
          <w:rFonts w:ascii="Cambria" w:cs="Cambria" w:eastAsia="Cambria" w:hAnsi="Cambria"/>
          <w:i/>
          <w:iCs/>
          <w:color w:val="6E6E6E"/>
          <w:sz w:val="18"/>
          <w:szCs w:val="18"/>
        </w:rPr>
        <w:t xml:space="preserve">(Para cada caso, nombrar la prueba y, cuando aplique, su variante recomendada por defecto —p. ej. varianzas desiguales—.)</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2.1   </w:t>
            </w:r>
            <w:r>
              <w:rPr>
                <w:rFonts w:ascii="Calibri" w:cs="Calibri" w:eastAsia="Calibri" w:hAnsi="Calibri"/>
                <w:b/>
                <w:bCs/>
                <w:color w:val="7A1526"/>
                <w:sz w:val="19"/>
                <w:szCs w:val="19"/>
              </w:rPr>
              <w:t xml:space="preserve">Robustez de datos — ¿qué pasaría si...?</w:t>
            </w:r>
          </w:p>
          <w:p>
            <w:pPr>
              <w:spacing w:after="70" w:line="265"/>
            </w:pPr>
            <w:r>
              <w:rPr>
                <w:rFonts w:ascii="Cambria" w:cs="Cambria" w:eastAsia="Cambria" w:hAnsi="Cambria"/>
                <w:color w:val="3A3A3A"/>
                <w:sz w:val="18"/>
                <w:szCs w:val="18"/>
              </w:rPr>
              <w:t xml:space="preserve">El experimento A/B de esta sesión asume que los usuarios se asignaron al azar entre control y tratamiento. ¿Qué pasaría si, por un error de implementación, todos los usuarios de un mismo país cayeran en el grupo tratamiento? ¿Seguiría siendo válido comparar las tasas de conversión entre los dos grupos? </w:t>
            </w:r>
            <w:r>
              <w:rPr>
                <w:rFonts w:ascii="Cambria" w:cs="Cambria" w:eastAsia="Cambria" w:hAnsi="Cambria"/>
                <w:i/>
                <w:iCs/>
                <w:color w:val="3A3A3A"/>
                <w:sz w:val="18"/>
                <w:szCs w:val="18"/>
              </w:rPr>
              <w:t xml:space="preserve">(El riesgo de representatividad de la muestra está en la guía de supuestos de la sesión.)</w:t>
            </w:r>
          </w:p>
        </w:tc>
      </w:tr>
    </w:tbl>
    <w:p>
      <w:pPr>
        <w:keepNext/>
        <w:spacing w:after="60" w:before="120"/>
      </w:pPr>
      <w:r>
        <w:rPr>
          <w:rFonts w:ascii="Calibri" w:cs="Calibri" w:eastAsia="Calibri" w:hAnsi="Calibri"/>
          <w:b/>
          <w:bCs/>
          <w:color w:val="7A1526"/>
          <w:sz w:val="24"/>
          <w:szCs w:val="24"/>
        </w:rPr>
        <w:t xml:space="preserve">3.  </w:t>
      </w:r>
      <w:r>
        <w:rPr>
          <w:rFonts w:ascii="Calibri" w:cs="Calibri" w:eastAsia="Calibri" w:hAnsi="Calibri"/>
          <w:b/>
          <w:bCs/>
          <w:color w:val="7A1526"/>
          <w:spacing w:val="20"/>
          <w:sz w:val="24"/>
          <w:szCs w:val="24"/>
        </w:rPr>
        <w:t xml:space="preserve">DRILL 3 — INTERPRETAR UN P-VALOR DE 0.04 CON N = 50 000</w:t>
      </w:r>
    </w:p>
    <w:p>
      <w:pPr>
        <w:keepNext/>
        <w:pBdr>
          <w:bottom w:val="single" w:color="E4002B" w:sz="14" w:space="8"/>
        </w:pBdr>
        <w:spacing w:after="140"/>
      </w:pPr>
      <w:r>
        <w:rPr>
          <w:rFonts w:ascii="Cambria" w:cs="Cambria" w:eastAsia="Cambria" w:hAnsi="Cambria"/>
          <w:i/>
          <w:iCs/>
          <w:color w:val="6E6E6E"/>
          <w:sz w:val="19"/>
          <w:szCs w:val="19"/>
        </w:rPr>
        <w:t xml:space="preserve"/>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En un A/B test con </w:t>
      </w:r>
      <w:r>
        <w:rPr>
          <w:rFonts w:ascii="Cambria" w:cs="Cambria" w:eastAsia="Cambria" w:hAnsi="Cambria"/>
          <w:b/>
          <w:bCs/>
          <w:color w:val="2D2D2D"/>
          <w:sz w:val="20"/>
          <w:szCs w:val="20"/>
        </w:rPr>
        <w:t xml:space="preserve">50 000 usuarios por grupo</w:t>
      </w:r>
      <w:r>
        <w:rPr>
          <w:rFonts w:ascii="Cambria" w:cs="Cambria" w:eastAsia="Cambria" w:hAnsi="Cambria"/>
          <w:color w:val="2D2D2D"/>
          <w:sz w:val="20"/>
          <w:szCs w:val="20"/>
        </w:rPr>
        <w:t xml:space="preserve"> se compara la tasa de clics entre la versión actual y una nueva. El análisis arroja un </w:t>
      </w:r>
      <w:r>
        <w:rPr>
          <w:rFonts w:ascii="Cambria" w:cs="Cambria" w:eastAsia="Cambria" w:hAnsi="Cambria"/>
          <w:b/>
          <w:bCs/>
          <w:color w:val="2D2D2D"/>
          <w:sz w:val="20"/>
          <w:szCs w:val="20"/>
        </w:rPr>
        <w:t xml:space="preserve">p-valor = 0.04</w:t>
      </w:r>
      <w:r>
        <w:rPr>
          <w:rFonts w:ascii="Cambria" w:cs="Cambria" w:eastAsia="Cambria" w:hAnsi="Cambria"/>
          <w:color w:val="2D2D2D"/>
          <w:sz w:val="20"/>
          <w:szCs w:val="20"/>
        </w:rPr>
        <w:t xml:space="preserve"> (α fijado de antemano en 0.05) y un </w:t>
      </w:r>
      <w:r>
        <w:rPr>
          <w:rFonts w:ascii="Cambria" w:cs="Cambria" w:eastAsia="Cambria" w:hAnsi="Cambria"/>
          <w:b/>
          <w:bCs/>
          <w:color w:val="2D2D2D"/>
          <w:sz w:val="20"/>
          <w:szCs w:val="20"/>
        </w:rPr>
        <w:t xml:space="preserve">lift observado del 0.1%</w:t>
      </w:r>
      <w:r>
        <w:rPr>
          <w:rFonts w:ascii="Cambria" w:cs="Cambria" w:eastAsia="Cambria" w:hAnsi="Cambria"/>
          <w:color w:val="2D2D2D"/>
          <w:sz w:val="20"/>
          <w:szCs w:val="20"/>
        </w:rPr>
        <w:t xml:space="preserve"> (la nueva versión mejora la métrica en una décima de punto porcentual relativo), con un intervalo de confianza del 95% de aproximadamente </w:t>
      </w:r>
      <w:r>
        <w:rPr>
          <w:rFonts w:ascii="Cambria" w:cs="Cambria" w:eastAsia="Cambria" w:hAnsi="Cambria"/>
          <w:b/>
          <w:bCs/>
          <w:color w:val="2D2D2D"/>
          <w:sz w:val="20"/>
          <w:szCs w:val="20"/>
        </w:rPr>
        <w:t xml:space="preserve">(0.02%, 0.18%)</w:t>
      </w:r>
      <w:r>
        <w:rPr>
          <w:rFonts w:ascii="Cambria" w:cs="Cambria" w:eastAsia="Cambria" w:hAnsi="Cambria"/>
          <w:color w:val="2D2D2D"/>
          <w:sz w:val="20"/>
          <w:szCs w:val="20"/>
        </w:rPr>
        <w:t xml:space="preserve">.</w:t>
      </w:r>
    </w:p>
    <w:p>
      <w:pPr>
        <w:spacing w:after="220"/>
      </w:pPr>
    </w:p>
    <w:p>
      <w:pPr>
        <w:spacing w:line="270"/>
      </w:pPr>
      <w:r>
        <w:rPr>
          <w:rFonts w:ascii="Cambria" w:cs="Cambria" w:eastAsia="Cambria" w:hAnsi="Cambria"/>
          <w:color w:val="2D2D2D"/>
          <w:sz w:val="20"/>
          <w:szCs w:val="20"/>
        </w:rPr>
        <w:t xml:space="preserve">Responder, con base en lo visto sobre significancia estadística vs. práctica:</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¿El resultado es </w:t>
            </w:r>
            <w:r>
              <w:rPr>
                <w:rFonts w:ascii="Cambria" w:cs="Cambria" w:eastAsia="Cambria" w:hAnsi="Cambria"/>
                <w:b/>
                <w:bCs/>
                <w:color w:val="2D2D2D"/>
                <w:sz w:val="19"/>
                <w:szCs w:val="19"/>
              </w:rPr>
              <w:t xml:space="preserve">estadísticamente significativo</w:t>
            </w:r>
            <w:r>
              <w:rPr>
                <w:rFonts w:ascii="Cambria" w:cs="Cambria" w:eastAsia="Cambria" w:hAnsi="Cambria"/>
                <w:color w:val="2D2D2D"/>
                <w:sz w:val="19"/>
                <w:szCs w:val="19"/>
              </w:rPr>
              <w:t xml:space="preserve">? ¿Por qué?</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¿El resultado es </w:t>
            </w:r>
            <w:r>
              <w:rPr>
                <w:rFonts w:ascii="Cambria" w:cs="Cambria" w:eastAsia="Cambria" w:hAnsi="Cambria"/>
                <w:b/>
                <w:bCs/>
                <w:color w:val="2D2D2D"/>
                <w:sz w:val="19"/>
                <w:szCs w:val="19"/>
              </w:rPr>
              <w:t xml:space="preserve">prácticamente relevante</w:t>
            </w:r>
            <w:r>
              <w:rPr>
                <w:rFonts w:ascii="Cambria" w:cs="Cambria" w:eastAsia="Cambria" w:hAnsi="Cambria"/>
                <w:color w:val="2D2D2D"/>
                <w:sz w:val="19"/>
                <w:szCs w:val="19"/>
              </w:rPr>
              <w:t xml:space="preserve"> para el negocio? ¿Qué información hace falta además del p-valor para decidirlo?</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Explicar en términos propios por qué, </w:t>
            </w:r>
            <w:r>
              <w:rPr>
                <w:rFonts w:ascii="Cambria" w:cs="Cambria" w:eastAsia="Cambria" w:hAnsi="Cambria"/>
                <w:b/>
                <w:bCs/>
                <w:color w:val="2D2D2D"/>
                <w:sz w:val="19"/>
                <w:szCs w:val="19"/>
              </w:rPr>
              <w:t xml:space="preserve">con una muestra tan grande</w:t>
            </w:r>
            <w:r>
              <w:rPr>
                <w:rFonts w:ascii="Cambria" w:cs="Cambria" w:eastAsia="Cambria" w:hAnsi="Cambria"/>
                <w:color w:val="2D2D2D"/>
                <w:sz w:val="19"/>
                <w:szCs w:val="19"/>
              </w:rPr>
              <w:t xml:space="preserve">, un p-valor pequeño </w:t>
            </w:r>
            <w:r>
              <w:rPr>
                <w:rFonts w:ascii="Cambria" w:cs="Cambria" w:eastAsia="Cambria" w:hAnsi="Cambria"/>
                <w:b/>
                <w:bCs/>
                <w:color w:val="2D2D2D"/>
                <w:sz w:val="19"/>
                <w:szCs w:val="19"/>
              </w:rPr>
              <w:t xml:space="preserve">no garantiza</w:t>
            </w:r>
            <w:r>
              <w:rPr>
                <w:rFonts w:ascii="Cambria" w:cs="Cambria" w:eastAsia="Cambria" w:hAnsi="Cambria"/>
                <w:color w:val="2D2D2D"/>
                <w:sz w:val="19"/>
                <w:szCs w:val="19"/>
              </w:rPr>
              <w:t xml:space="preserve"> que el efecto importe.</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Emitir una </w:t>
            </w:r>
            <w:r>
              <w:rPr>
                <w:rFonts w:ascii="Cambria" w:cs="Cambria" w:eastAsia="Cambria" w:hAnsi="Cambria"/>
                <w:b/>
                <w:bCs/>
                <w:color w:val="2D2D2D"/>
                <w:sz w:val="19"/>
                <w:szCs w:val="19"/>
              </w:rPr>
              <w:t xml:space="preserve">recomendación</w:t>
            </w:r>
            <w:r>
              <w:rPr>
                <w:rFonts w:ascii="Cambria" w:cs="Cambria" w:eastAsia="Cambria" w:hAnsi="Cambria"/>
                <w:color w:val="2D2D2D"/>
                <w:sz w:val="19"/>
                <w:szCs w:val="19"/>
              </w:rPr>
              <w:t xml:space="preserve">: ¿se lanza el cambio? Enunciar explícitamente el supuesto de negocio (p. ej. costo de implementación vs. valor de un lift del 0.1%) que sostiene la decisión.</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3.1   </w:t>
            </w:r>
            <w:r>
              <w:rPr>
                <w:rFonts w:ascii="Calibri" w:cs="Calibri" w:eastAsia="Calibri" w:hAnsi="Calibri"/>
                <w:b/>
                <w:bCs/>
                <w:color w:val="7A1526"/>
                <w:sz w:val="19"/>
                <w:szCs w:val="19"/>
              </w:rPr>
              <w:t xml:space="preserve">Proyección — ¿qué pasaría si...?</w:t>
            </w:r>
          </w:p>
          <w:p>
            <w:pPr>
              <w:spacing w:after="70" w:line="265"/>
            </w:pPr>
            <w:r>
              <w:rPr>
                <w:rFonts w:ascii="Cambria" w:cs="Cambria" w:eastAsia="Cambria" w:hAnsi="Cambria"/>
                <w:color w:val="3A3A3A"/>
                <w:sz w:val="18"/>
                <w:szCs w:val="18"/>
              </w:rPr>
              <w:t xml:space="preserve">Hasta aquí la pregunta fue si dos grupos difieren (A vs. B). ¿Qué pasaría si, en lugar de dos grupos, la variable explicativa fuera numérica y continua —por ejemplo, el gasto en publicidad— y se quisiera saber cuánto cambia la variable de respuesta por cada unidad adicional invertida? ¿Sirve la prueba t para eso, o hace falta expresar esa relación con una recta? </w:t>
            </w:r>
            <w:r>
              <w:rPr>
                <w:rFonts w:ascii="Cambria" w:cs="Cambria" w:eastAsia="Cambria" w:hAnsi="Cambria"/>
                <w:i/>
                <w:iCs/>
                <w:color w:val="3A3A3A"/>
                <w:sz w:val="18"/>
                <w:szCs w:val="18"/>
              </w:rPr>
              <w:t xml:space="preserve">(No se resuelve aquí — la regresión lineal simple es el tema de la S03.)</w:t>
            </w:r>
          </w:p>
        </w:tc>
      </w:tr>
    </w:tbl>
    <w:p>
      <w:pPr>
        <w:spacing w:after="220"/>
      </w:pPr>
    </w:p>
    <w:p>
      <w:pPr>
        <w:spacing w:after="260" w:line="265"/>
      </w:pPr>
      <w:r>
        <w:rPr>
          <w:rFonts w:ascii="Cambria" w:cs="Cambria" w:eastAsia="Cambria" w:hAnsi="Cambria"/>
          <w:i/>
          <w:iCs/>
          <w:color w:val="6E6E6E"/>
          <w:sz w:val="18"/>
          <w:szCs w:val="18"/>
        </w:rPr>
        <w:t xml:space="preserve">El procedimiento y las respuestas los conserva el docente. El desempeño en estos drills se refuerza en el </w:t>
      </w:r>
      <w:r>
        <w:rPr>
          <w:rFonts w:ascii="Cambria" w:cs="Cambria" w:eastAsia="Cambria" w:hAnsi="Cambria"/>
          <w:b/>
          <w:bCs/>
          <w:i/>
          <w:iCs/>
          <w:color w:val="6E6E6E"/>
          <w:sz w:val="18"/>
          <w:szCs w:val="18"/>
        </w:rPr>
        <w:t xml:space="preserve">control corto</w:t>
      </w:r>
      <w:r>
        <w:rPr>
          <w:rFonts w:ascii="Cambria" w:cs="Cambria" w:eastAsia="Cambria" w:hAnsi="Cambria"/>
          <w:i/>
          <w:iCs/>
          <w:color w:val="6E6E6E"/>
          <w:sz w:val="18"/>
          <w:szCs w:val="18"/>
        </w:rPr>
        <w:t xml:space="preserve"> de cierre de la sesión y se evalúa de forma integral en </w:t>
      </w:r>
      <w:r>
        <w:rPr>
          <w:rFonts w:ascii="Consolas" w:cs="Consolas" w:eastAsia="Consolas" w:hAnsi="Consolas"/>
          <w:i/>
          <w:iCs/>
          <w:color w:val="7A1526"/>
          <w:sz w:val="16"/>
          <w:szCs w:val="16"/>
        </w:rPr>
        <w:t xml:space="preserve">evaluacion/entregable.docx</w:t>
      </w:r>
      <w:r>
        <w:rPr>
          <w:rFonts w:ascii="Cambria" w:cs="Cambria" w:eastAsia="Cambria" w:hAnsi="Cambria"/>
          <w:i/>
          <w:iCs/>
          <w:color w:val="6E6E6E"/>
          <w:sz w:val="18"/>
          <w:szCs w:val="18"/>
        </w:rPr>
        <w:t xml:space="preserve">.</w:t>
      </w:r>
    </w:p>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4"/>
        <w:szCs w:val="14"/>
      </w:rPr>
      <w:t xml:space="preserve">Herramientas para la Ciencia de Datos, UPC, Facultad de Negocios     |     </w:t>
    </w:r>
    <w:r>
      <w:rPr>
        <w:rFonts w:ascii="Calibri" w:cs="Calibri" w:eastAsia="Calibri" w:hAnsi="Calibri"/>
        <w:b/>
        <w:bCs/>
        <w:color w:val="7A152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2E6" w:sz="4" w:space="4"/>
      </w:pBdr>
      <w:spacing w:after="120"/>
    </w:pPr>
    <w:r>
      <w:rPr>
        <w:rFonts w:ascii="Calibri" w:cs="Calibri" w:eastAsia="Calibri" w:hAnsi="Calibri"/>
        <w:color w:val="6E6E6E"/>
        <w:sz w:val="15"/>
        <w:szCs w:val="15"/>
      </w:rPr>
      <w:t xml:space="preserve">Drills — Sesión S02: EDA, inferencia estadística (prueba t, IC, valor p) y A/B testing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Drills — Sesión S02</dc:title>
  <dc:creator>UPC</dc:creator>
  <dc:description>EDA, inferencia estadística (prueba t, IC, valor p) y A/B testing</dc:description>
  <cp:lastModifiedBy>Un-named</cp:lastModifiedBy>
  <cp:revision>1</cp:revision>
  <dcterms:created xsi:type="dcterms:W3CDTF">2026-09-11T14:13:43.104Z</dcterms:created>
  <dcterms:modified xsi:type="dcterms:W3CDTF">2026-09-11T14:13:43.104Z</dcterms:modified>
</cp:coreProperties>
</file>

<file path=docProps/custom.xml><?xml version="1.0" encoding="utf-8"?>
<Properties xmlns="http://schemas.openxmlformats.org/officeDocument/2006/custom-properties" xmlns:vt="http://schemas.openxmlformats.org/officeDocument/2006/docPropsVTypes"/>
</file>