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0"/>
        <w:ind w:left="113"/>
        <w:shd w:val="clear" w:color="auto" w:fill="E4002B"/>
        <w:pBdr>
          <w:top w:val="single" w:sz="18" w:space="6" w:color="E4002B"/>
          <w:bottom w:val="single" w:sz="18" w:space="6" w:color="E4002B"/>
          <w:left w:val="single" w:sz="18" w:space="6" w:color="E4002B"/>
          <w:right w:val="single" w:sz="18" w:space="6" w:color="E4002B"/>
        </w:pBdr>
      </w:pPr>
      <w:r>
        <w:rPr>
          <w:b/>
          <w:color w:val="FFFFFF"/>
          <w:sz w:val="40"/>
        </w:rPr>
        <w:t>Árbol de decisión: ¿qué prueba estadística usar?</w:t>
      </w:r>
    </w:p>
    <w:p>
      <w:pPr>
        <w:spacing w:before="80" w:after="160" w:line="288" w:lineRule="auto"/>
        <w:ind w:left="85" w:right="85"/>
        <w:shd w:val="clear" w:color="auto" w:fill="F4F4F4"/>
        <w:pBdr>
          <w:left w:val="single" w:sz="24" w:space="10" w:color="E4002B"/>
        </w:pBdr>
      </w:pPr>
      <w:r>
        <w:rPr>
          <w:color w:val="2D2D2D"/>
        </w:rPr>
        <w:t>Plantilla de trabajo de la Sesión S02 — Herramientas para la Ciencia de Datos (UPC). Guía de una página: un concepto y un árbol de decisión. Español impersonal. Fechas DD/MM/YYYY, UTF-8.</w:t>
      </w:r>
    </w:p>
    <w:p>
      <w:pPr>
        <w:keepNext/>
        <w:spacing w:before="240" w:after="60"/>
        <w:pBdr>
          <w:bottom w:val="single" w:sz="6" w:space="2" w:color="E4002B"/>
        </w:pBdr>
      </w:pPr>
      <w:r>
        <w:rPr>
          <w:b/>
          <w:color w:val="E4002B"/>
          <w:sz w:val="30"/>
        </w:rPr>
        <w:t>Concepto</w:t>
      </w:r>
    </w:p>
    <w:p>
      <w:pPr>
        <w:jc w:val="both"/>
      </w:pPr>
      <w:r>
        <w:t xml:space="preserve">La prueba estadística correcta se elige </w:t>
      </w:r>
      <w:r>
        <w:rPr>
          <w:b/>
        </w:rPr>
        <w:t>antes</w:t>
      </w:r>
      <w:r>
        <w:t xml:space="preserve"> de mirar el p-valor, según tres preguntas: (1) el </w:t>
      </w:r>
      <w:r>
        <w:rPr>
          <w:b/>
        </w:rPr>
        <w:t>tipo de la variable de respuesta</w:t>
      </w:r>
      <w:r>
        <w:t xml:space="preserve"> (categórica o numérica), (2) el </w:t>
      </w:r>
      <w:r>
        <w:rPr>
          <w:b/>
        </w:rPr>
        <w:t>número de grupos</w:t>
      </w:r>
      <w:r>
        <w:t xml:space="preserve"> que se comparan y, para dos grupos, si son </w:t>
      </w:r>
      <w:r>
        <w:rPr>
          <w:b/>
        </w:rPr>
        <w:t>pareados o independientes</w:t>
      </w:r>
      <w:r>
        <w:t xml:space="preserve">, y (3) si se cumple el </w:t>
      </w:r>
      <w:r>
        <w:rPr>
          <w:b/>
        </w:rPr>
        <w:t>supuesto de normalidad</w:t>
      </w:r>
      <w:r>
        <w:t xml:space="preserve"> (verificado con Shapiro-Wilk acompañado de un gráfico Q-Q). Si la normalidad falla, se pasa a la alternativa </w:t>
      </w:r>
      <w:r>
        <w:rPr>
          <w:b/>
        </w:rPr>
        <w:t>no paramétrica</w:t>
      </w:r>
      <w:r>
        <w:t xml:space="preserve"> basada en rangos. Usar la prueba equivocada para el tipo de dato o el diseño es uno de los errores de lectura más frecuentes: por ejemplo, aplicar una t de dos muestras independientes a un diseño pareado (caso de la réplica de la sesión) no reproduce el resultado y pierde potencia.</w:t>
      </w:r>
    </w:p>
    <w:p>
      <w:pPr>
        <w:spacing w:before="40" w:after="40"/>
        <w:pBdr>
          <w:bottom w:val="single" w:sz="6" w:space="1" w:color="D9D9D9"/>
        </w:pBdr>
      </w:pPr>
    </w:p>
    <w:p>
      <w:pPr>
        <w:keepNext/>
        <w:spacing w:before="240" w:after="60"/>
        <w:pBdr>
          <w:bottom w:val="single" w:sz="6" w:space="2" w:color="E4002B"/>
        </w:pBdr>
      </w:pPr>
      <w:r>
        <w:rPr>
          <w:b/>
          <w:color w:val="E4002B"/>
          <w:sz w:val="30"/>
        </w:rPr>
        <w:t>Árbol de decisión</w:t>
      </w:r>
    </w:p>
    <w:p>
      <w:pPr>
        <w:spacing w:before="80" w:after="120"/>
        <w:ind w:left="170"/>
        <w:shd w:val="clear" w:color="auto" w:fill="F4F4F4"/>
        <w:pBdr>
          <w:left w:val="single" w:sz="12" w:space="6" w:color="6E6E6E"/>
        </w:pBdr>
      </w:pPr>
      <w:r>
        <w:rPr>
          <w:rFonts w:ascii="Consolas" w:hAnsi="Consolas"/>
          <w:color w:val="2D2D2D"/>
          <w:sz w:val="18"/>
        </w:rPr>
        <w:t>¿QUÉ PRUEBA USAR? (fijar alfa y la hipótesis ANTES de ver los datos)</w:t>
        <w:br/>
        <w:t>│</w:t>
        <w:br/>
        <w:t>│ Pregunta 1 — ¿Qué tipo es la variable de RESPUESTA?</w:t>
        <w:br/>
        <w:t>│</w:t>
        <w:br/>
        <w:t>├── CATEGÓRICA (conteos / proporciones)</w:t>
        <w:br/>
        <w:t>│ │</w:t>
        <w:br/>
        <w:t>│ └── ¿Asociación entre dos variables categóricas?</w:t>
        <w:br/>
        <w:t>│ └──&gt; Prueba chi-cuadrado (chi²) de independencia</w:t>
        <w:br/>
        <w:t>│ (tabla de contingencia; opera sobre conteos, no medias)</w:t>
        <w:br/>
        <w:t>│</w:t>
        <w:br/>
        <w:t>└── NUMÉRICA (cuantitativa)</w:t>
        <w:br/>
        <w:t xml:space="preserve"> │</w:t>
        <w:br/>
        <w:t xml:space="preserve"> │ Pregunta 2 — ¿Cuántos grupos se comparan?</w:t>
        <w:br/>
        <w:t xml:space="preserve"> │</w:t>
        <w:br/>
        <w:t xml:space="preserve"> ├── 1 grupo contra un valor de referencia mu_0</w:t>
        <w:br/>
        <w:t xml:space="preserve"> │ └──&gt; Prueba t de UNA muestra (si datos ~ normales o n grande)</w:t>
        <w:br/>
        <w:t xml:space="preserve"> │</w:t>
        <w:br/>
        <w:t xml:space="preserve"> ├── 2 grupos</w:t>
        <w:br/>
        <w:t xml:space="preserve"> │ │</w:t>
        <w:br/>
        <w:t xml:space="preserve"> │ │ Pregunta 3 — ¿Son los MISMOS sujetos medidos dos veces?</w:t>
        <w:br/>
        <w:t xml:space="preserve"> │ │</w:t>
        <w:br/>
        <w:t xml:space="preserve"> │ ├── SÍ → diseño PAREADO (dependiente)</w:t>
        <w:br/>
        <w:t xml:space="preserve"> │ │ │</w:t>
        <w:br/>
        <w:t xml:space="preserve"> │ │ │ Pregunta 4 — ¿Las diferencias ~ normales? (Shapiro-Wilk + Q-Q)</w:t>
        <w:br/>
        <w:t xml:space="preserve"> │ │ ├── SÍ → Prueba t PAREADA</w:t>
        <w:br/>
        <w:t xml:space="preserve"> │ │ └── NO → Wilcoxon de rangos con signo (no paramétrica)</w:t>
        <w:br/>
        <w:t xml:space="preserve"> │ │</w:t>
        <w:br/>
        <w:t xml:space="preserve"> │ └── NO → grupos INDEPENDIENTES</w:t>
        <w:br/>
        <w:t xml:space="preserve"> │ │</w:t>
        <w:br/>
        <w:t xml:space="preserve"> │ │ Pregunta 4 — ¿Cada grupo ~ normal? (Shapiro-Wilk + Q-Q)</w:t>
        <w:br/>
        <w:t xml:space="preserve"> │ ├── SÍ → Prueba t de DOS muestras</w:t>
        <w:br/>
        <w:t xml:space="preserve"> │ │ (usar Welch por defecto si las varianzas difieren)</w:t>
        <w:br/>
        <w:t xml:space="preserve"> │ └── NO → Mann-Whitney U (no paramétrica)</w:t>
        <w:br/>
        <w:t xml:space="preserve"> │</w:t>
        <w:br/>
        <w:t xml:space="preserve"> └── 3 o más grupos</w:t>
        <w:br/>
        <w:t xml:space="preserve"> │</w:t>
        <w:br/>
        <w:t xml:space="preserve"> │ Pregunta 4 — ¿Cada grupo ~ normal? (Shapiro-Wilk + Q-Q)</w:t>
        <w:br/>
        <w:t xml:space="preserve"> ├── SÍ → ANOVA de un factor (estadístico F) → post-hoc si p &lt; alfa</w:t>
        <w:br/>
        <w:t xml:space="preserve"> └── NO → Kruskal-Wallis (no paramétrica)</w:t>
        <w:br/>
        <w:br/>
        <w:t>────────────────────────────────────────────────────────────────────────────</w:t>
        <w:br/>
        <w:t>Al ejecutar VARIAS pruebas a la vez (muchas métricas, segmentos o variantes):</w:t>
        <w:br/>
        <w:t>corregir por comparaciones múltiples ANTES de declarar hallazgos:</w:t>
        <w:br/>
        <w:t xml:space="preserve"> • Bonferroni → exige p &lt; alfa / m (controla el error de familia FWER; conservador)</w:t>
        <w:br/>
        <w:t xml:space="preserve"> • FDR de Benjamini-Hochberg → controla la tasa de descubrimientos falsos</w:t>
        <w:br/>
        <w:t xml:space="preserve"> (más potente cuando hay muchas pruebas)</w:t>
        <w:br/>
        <w:t>────────────────────────────────────────────────────────────────────────────</w:t>
      </w:r>
    </w:p>
    <w:p>
      <w:pPr>
        <w:spacing w:before="40" w:after="40"/>
        <w:pBdr>
          <w:bottom w:val="single" w:sz="6" w:space="1" w:color="D9D9D9"/>
        </w:pBdr>
      </w:pPr>
    </w:p>
    <w:p>
      <w:pPr>
        <w:keepNext/>
        <w:spacing w:before="240" w:after="60"/>
        <w:pBdr>
          <w:bottom w:val="single" w:sz="6" w:space="2" w:color="E4002B"/>
        </w:pBdr>
      </w:pPr>
      <w:r>
        <w:rPr>
          <w:b/>
          <w:color w:val="E4002B"/>
          <w:sz w:val="30"/>
        </w:rPr>
        <w:t>Estadísticos y tamaños de efecto de la sesión (fórmulas)</w:t>
      </w:r>
    </w:p>
    <w:p>
      <w:pPr>
        <w:jc w:val="both"/>
      </w:pPr>
      <w:r>
        <w:t xml:space="preserve">Notación: n = número de pares (diseño pareado) o de unidades por grupo; </w:t>
      </w:r>
      <w:r>
        <w:drawing>
          <wp:inline xmlns:a="http://schemas.openxmlformats.org/drawingml/2006/main" xmlns:pic="http://schemas.openxmlformats.org/drawingml/2006/picture">
            <wp:extent cx="144058" cy="206692"/>
            <wp:docPr id="1" name="Picture 1"/>
            <wp:cNvGraphicFramePr>
              <a:graphicFrameLocks noChangeAspect="1"/>
            </wp:cNvGraphicFramePr>
            <a:graphic>
              <a:graphicData uri="http://schemas.openxmlformats.org/drawingml/2006/picture">
                <pic:pic>
                  <pic:nvPicPr>
                    <pic:cNvPr id="0" name="eq_857949f5653f.png"/>
                    <pic:cNvPicPr/>
                  </pic:nvPicPr>
                  <pic:blipFill>
                    <a:blip r:embed="rId9"/>
                    <a:stretch>
                      <a:fillRect/>
                    </a:stretch>
                  </pic:blipFill>
                  <pic:spPr>
                    <a:xfrm>
                      <a:off x="0" y="0"/>
                      <a:ext cx="144058" cy="206692"/>
                    </a:xfrm>
                    <a:prstGeom prst="rect"/>
                  </pic:spPr>
                </pic:pic>
              </a:graphicData>
            </a:graphic>
          </wp:inline>
        </w:drawing>
      </w:r>
      <w:r>
        <w:t xml:space="preserve"> y </w:t>
      </w:r>
      <w:r>
        <w:drawing>
          <wp:inline xmlns:a="http://schemas.openxmlformats.org/drawingml/2006/main" xmlns:pic="http://schemas.openxmlformats.org/drawingml/2006/picture">
            <wp:extent cx="210255" cy="206692"/>
            <wp:docPr id="2" name="Picture 2"/>
            <wp:cNvGraphicFramePr>
              <a:graphicFrameLocks noChangeAspect="1"/>
            </wp:cNvGraphicFramePr>
            <a:graphic>
              <a:graphicData uri="http://schemas.openxmlformats.org/drawingml/2006/picture">
                <pic:pic>
                  <pic:nvPicPr>
                    <pic:cNvPr id="0" name="eq_4f580d11c2ee.png"/>
                    <pic:cNvPicPr/>
                  </pic:nvPicPr>
                  <pic:blipFill>
                    <a:blip r:embed="rId10"/>
                    <a:stretch>
                      <a:fillRect/>
                    </a:stretch>
                  </pic:blipFill>
                  <pic:spPr>
                    <a:xfrm>
                      <a:off x="0" y="0"/>
                      <a:ext cx="210255" cy="206692"/>
                    </a:xfrm>
                    <a:prstGeom prst="rect"/>
                  </pic:spPr>
                </pic:pic>
              </a:graphicData>
            </a:graphic>
          </wp:inline>
        </w:drawing>
      </w:r>
      <w:r>
        <w:t xml:space="preserve"> = media y desviación estándar (ddof=1) de las diferencias intra-sujeto; </w:t>
      </w:r>
      <w:r>
        <w:drawing>
          <wp:inline xmlns:a="http://schemas.openxmlformats.org/drawingml/2006/main" xmlns:pic="http://schemas.openxmlformats.org/drawingml/2006/picture">
            <wp:extent cx="148559" cy="206692"/>
            <wp:docPr id="3" name="Picture 3"/>
            <wp:cNvGraphicFramePr>
              <a:graphicFrameLocks noChangeAspect="1"/>
            </wp:cNvGraphicFramePr>
            <a:graphic>
              <a:graphicData uri="http://schemas.openxmlformats.org/drawingml/2006/picture">
                <pic:pic>
                  <pic:nvPicPr>
                    <pic:cNvPr id="0" name="eq_25511359af06.png"/>
                    <pic:cNvPicPr/>
                  </pic:nvPicPr>
                  <pic:blipFill>
                    <a:blip r:embed="rId11"/>
                    <a:stretch>
                      <a:fillRect/>
                    </a:stretch>
                  </pic:blipFill>
                  <pic:spPr>
                    <a:xfrm>
                      <a:off x="0" y="0"/>
                      <a:ext cx="148559" cy="206692"/>
                    </a:xfrm>
                    <a:prstGeom prst="rect"/>
                  </pic:spPr>
                </pic:pic>
              </a:graphicData>
            </a:graphic>
          </wp:inline>
        </w:drawing>
      </w:r>
      <w:r>
        <w:t xml:space="preserve"> = proporción observada; α = nivel de significancia; β = 1 − potencia. Cada estadístico se contrasta contra su distribución de referencia (t, normal o chi-cuadrado) y se acompaña de su tamaño del efecto.</w:t>
      </w:r>
    </w:p>
    <w:p>
      <w:pPr>
        <w:jc w:val="both"/>
      </w:pPr>
      <w:r>
        <w:rPr>
          <w:b/>
        </w:rPr>
        <w:t>Dos grupos, diseño PAREADO (mismos sujetos).</w:t>
      </w:r>
      <w:r>
        <w:t xml:space="preserve"> La t pareada equivale a una t de una muestra sobre las diferencias </w:t>
      </w:r>
      <w:r>
        <w:drawing>
          <wp:inline xmlns:a="http://schemas.openxmlformats.org/drawingml/2006/main" xmlns:pic="http://schemas.openxmlformats.org/drawingml/2006/picture">
            <wp:extent cx="192437" cy="206692"/>
            <wp:docPr id="4" name="Picture 4"/>
            <wp:cNvGraphicFramePr>
              <a:graphicFrameLocks noChangeAspect="1"/>
            </wp:cNvGraphicFramePr>
            <a:graphic>
              <a:graphicData uri="http://schemas.openxmlformats.org/drawingml/2006/picture">
                <pic:pic>
                  <pic:nvPicPr>
                    <pic:cNvPr id="0" name="eq_2c6307383315.png"/>
                    <pic:cNvPicPr/>
                  </pic:nvPicPr>
                  <pic:blipFill>
                    <a:blip r:embed="rId12"/>
                    <a:stretch>
                      <a:fillRect/>
                    </a:stretch>
                  </pic:blipFill>
                  <pic:spPr>
                    <a:xfrm>
                      <a:off x="0" y="0"/>
                      <a:ext cx="192437" cy="206692"/>
                    </a:xfrm>
                    <a:prstGeom prst="rect"/>
                  </pic:spPr>
                </pic:pic>
              </a:graphicData>
            </a:graphic>
          </wp:inline>
        </w:drawing>
      </w:r>
      <w:r>
        <w:t xml:space="preserve"> (Student, 1908):</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2414847" cy="644236"/>
                  <wp:docPr id="5" name="Picture 5"/>
                  <wp:cNvGraphicFramePr>
                    <a:graphicFrameLocks noChangeAspect="1"/>
                  </wp:cNvGraphicFramePr>
                  <a:graphic>
                    <a:graphicData uri="http://schemas.openxmlformats.org/drawingml/2006/picture">
                      <pic:pic>
                        <pic:nvPicPr>
                          <pic:cNvPr id="0" name="eq_784bd2e1346a.png"/>
                          <pic:cNvPicPr/>
                        </pic:nvPicPr>
                        <pic:blipFill>
                          <a:blip r:embed="rId13"/>
                          <a:stretch>
                            <a:fillRect/>
                          </a:stretch>
                        </pic:blipFill>
                        <pic:spPr>
                          <a:xfrm>
                            <a:off x="0" y="0"/>
                            <a:ext cx="2414847" cy="644236"/>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(1)</w:t>
            </w:r>
          </w:p>
        </w:tc>
      </w:tr>
    </w:tbl>
    <w:p>
      <w:pPr>
        <w:spacing w:after="40"/>
      </w:pPr>
    </w:p>
    <w:p>
      <w:pPr>
        <w:jc w:val="both"/>
      </w:pPr>
      <w:r>
        <w:t xml:space="preserve">Su intervalo de confianza al 95 % para la diferencia media usa el mismo error estándar y el valor crítico </w:t>
      </w:r>
      <w:r>
        <w:drawing>
          <wp:inline xmlns:a="http://schemas.openxmlformats.org/drawingml/2006/main" xmlns:pic="http://schemas.openxmlformats.org/drawingml/2006/picture">
            <wp:extent cx="509841" cy="206692"/>
            <wp:docPr id="6" name="Picture 6"/>
            <wp:cNvGraphicFramePr>
              <a:graphicFrameLocks noChangeAspect="1"/>
            </wp:cNvGraphicFramePr>
            <a:graphic>
              <a:graphicData uri="http://schemas.openxmlformats.org/drawingml/2006/picture">
                <pic:pic>
                  <pic:nvPicPr>
                    <pic:cNvPr id="0" name="eq_7edaf4fbd8de.png"/>
                    <pic:cNvPicPr/>
                  </pic:nvPicPr>
                  <pic:blipFill>
                    <a:blip r:embed="rId14"/>
                    <a:stretch>
                      <a:fillRect/>
                    </a:stretch>
                  </pic:blipFill>
                  <pic:spPr>
                    <a:xfrm>
                      <a:off x="0" y="0"/>
                      <a:ext cx="509841" cy="206692"/>
                    </a:xfrm>
                    <a:prstGeom prst="rect"/>
                  </pic:spPr>
                </pic:pic>
              </a:graphicData>
            </a:graphic>
          </wp:inline>
        </w:drawing>
      </w:r>
      <w:r>
        <w:t>:</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1791392" cy="536170"/>
                  <wp:docPr id="7" name="Picture 7"/>
                  <wp:cNvGraphicFramePr>
                    <a:graphicFrameLocks noChangeAspect="1"/>
                  </wp:cNvGraphicFramePr>
                  <a:graphic>
                    <a:graphicData uri="http://schemas.openxmlformats.org/drawingml/2006/picture">
                      <pic:pic>
                        <pic:nvPicPr>
                          <pic:cNvPr id="0" name="eq_0ebb9ae5a594.png"/>
                          <pic:cNvPicPr/>
                        </pic:nvPicPr>
                        <pic:blipFill>
                          <a:blip r:embed="rId15"/>
                          <a:stretch>
                            <a:fillRect/>
                          </a:stretch>
                        </pic:blipFill>
                        <pic:spPr>
                          <a:xfrm>
                            <a:off x="0" y="0"/>
                            <a:ext cx="1791392" cy="536170"/>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(2)</w:t>
            </w:r>
          </w:p>
        </w:tc>
      </w:tr>
    </w:tbl>
    <w:p>
      <w:pPr>
        <w:spacing w:after="40"/>
      </w:pPr>
    </w:p>
    <w:p>
      <w:pPr>
        <w:jc w:val="both"/>
      </w:pPr>
      <w:r>
        <w:t xml:space="preserve">El tamaño del efecto apropiado para el pareo es el </w:t>
      </w:r>
      <w:r>
        <w:rPr>
          <w:b/>
        </w:rPr>
        <w:t>d_z de Cohen</w:t>
      </w:r>
      <w:r>
        <w:t xml:space="preserve"> (diferencias estandarizadas por su propia desviación):</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1068185" cy="627610"/>
                  <wp:docPr id="8" name="Picture 8"/>
                  <wp:cNvGraphicFramePr>
                    <a:graphicFrameLocks noChangeAspect="1"/>
                  </wp:cNvGraphicFramePr>
                  <a:graphic>
                    <a:graphicData uri="http://schemas.openxmlformats.org/drawingml/2006/picture">
                      <pic:pic>
                        <pic:nvPicPr>
                          <pic:cNvPr id="0" name="eq_a38f58274fff.png"/>
                          <pic:cNvPicPr/>
                        </pic:nvPicPr>
                        <pic:blipFill>
                          <a:blip r:embed="rId16"/>
                          <a:stretch>
                            <a:fillRect/>
                          </a:stretch>
                        </pic:blipFill>
                        <pic:spPr>
                          <a:xfrm>
                            <a:off x="0" y="0"/>
                            <a:ext cx="1068185" cy="627610"/>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(3)</w:t>
            </w:r>
          </w:p>
        </w:tc>
      </w:tr>
    </w:tbl>
    <w:p>
      <w:pPr>
        <w:spacing w:after="40"/>
      </w:pPr>
    </w:p>
    <w:p>
      <w:pPr>
        <w:jc w:val="both"/>
      </w:pPr>
      <w:r>
        <w:t>En la réplica de la sesión, (1) da t ≈ 4,06 (gl = 9), (2) da (0,70; 2,46) horas y (3) da d_z ≈ 1,28.</w:t>
      </w:r>
    </w:p>
    <w:p>
      <w:pPr>
        <w:jc w:val="both"/>
      </w:pPr>
      <w:r>
        <w:rPr>
          <w:b/>
        </w:rPr>
        <w:t>Dos grupos INDEPENDIENTES (métrica numérica).</w:t>
      </w:r>
      <w:r>
        <w:t xml:space="preserve"> El estadístico t contrasta </w:t>
      </w:r>
      <w:r>
        <w:drawing>
          <wp:inline xmlns:a="http://schemas.openxmlformats.org/drawingml/2006/main" xmlns:pic="http://schemas.openxmlformats.org/drawingml/2006/picture">
            <wp:extent cx="520294" cy="206692"/>
            <wp:docPr id="9" name="Picture 9"/>
            <wp:cNvGraphicFramePr>
              <a:graphicFrameLocks noChangeAspect="1"/>
            </wp:cNvGraphicFramePr>
            <a:graphic>
              <a:graphicData uri="http://schemas.openxmlformats.org/drawingml/2006/picture">
                <pic:pic>
                  <pic:nvPicPr>
                    <pic:cNvPr id="0" name="eq_29f9dc1b9d50.png"/>
                    <pic:cNvPicPr/>
                  </pic:nvPicPr>
                  <pic:blipFill>
                    <a:blip r:embed="rId17"/>
                    <a:stretch>
                      <a:fillRect/>
                    </a:stretch>
                  </pic:blipFill>
                  <pic:spPr>
                    <a:xfrm>
                      <a:off x="0" y="0"/>
                      <a:ext cx="520294" cy="206692"/>
                    </a:xfrm>
                    <a:prstGeom prst="rect"/>
                  </pic:spPr>
                </pic:pic>
              </a:graphicData>
            </a:graphic>
          </wp:inline>
        </w:drawing>
      </w:r>
      <w:r>
        <w:t xml:space="preserve"> contra su error estándar; por defecto se usa </w:t>
      </w:r>
      <w:r>
        <w:rPr>
          <w:b/>
        </w:rPr>
        <w:t>Welch</w:t>
      </w:r>
      <w:r>
        <w:t xml:space="preserve"> (no supone varianzas iguales; ver «Supuestos y diagnósticos»). El tamaño del efecto es la d de Cohen con la desviación combinada </w:t>
      </w:r>
      <w:r>
        <w:drawing>
          <wp:inline xmlns:a="http://schemas.openxmlformats.org/drawingml/2006/main" xmlns:pic="http://schemas.openxmlformats.org/drawingml/2006/picture">
            <wp:extent cx="845140" cy="206692"/>
            <wp:docPr id="10" name="Picture 10"/>
            <wp:cNvGraphicFramePr>
              <a:graphicFrameLocks noChangeAspect="1"/>
            </wp:cNvGraphicFramePr>
            <a:graphic>
              <a:graphicData uri="http://schemas.openxmlformats.org/drawingml/2006/picture">
                <pic:pic>
                  <pic:nvPicPr>
                    <pic:cNvPr id="0" name="eq_2f606caa7e62.png"/>
                    <pic:cNvPicPr/>
                  </pic:nvPicPr>
                  <pic:blipFill>
                    <a:blip r:embed="rId18"/>
                    <a:stretch>
                      <a:fillRect/>
                    </a:stretch>
                  </pic:blipFill>
                  <pic:spPr>
                    <a:xfrm>
                      <a:off x="0" y="0"/>
                      <a:ext cx="845140" cy="206692"/>
                    </a:xfrm>
                    <a:prstGeom prst="rect"/>
                  </pic:spPr>
                </pic:pic>
              </a:graphicData>
            </a:graphic>
          </wp:inline>
        </w:drawing>
      </w:r>
      <w:r>
        <w:t xml:space="preserve">, es decir </w:t>
      </w:r>
      <w:r>
        <w:drawing>
          <wp:inline xmlns:a="http://schemas.openxmlformats.org/drawingml/2006/main" xmlns:pic="http://schemas.openxmlformats.org/drawingml/2006/picture">
            <wp:extent cx="989411" cy="206692"/>
            <wp:docPr id="11" name="Picture 11"/>
            <wp:cNvGraphicFramePr>
              <a:graphicFrameLocks noChangeAspect="1"/>
            </wp:cNvGraphicFramePr>
            <a:graphic>
              <a:graphicData uri="http://schemas.openxmlformats.org/drawingml/2006/picture">
                <pic:pic>
                  <pic:nvPicPr>
                    <pic:cNvPr id="0" name="eq_540d34f87446.png"/>
                    <pic:cNvPicPr/>
                  </pic:nvPicPr>
                  <pic:blipFill>
                    <a:blip r:embed="rId19"/>
                    <a:stretch>
                      <a:fillRect/>
                    </a:stretch>
                  </pic:blipFill>
                  <pic:spPr>
                    <a:xfrm>
                      <a:off x="0" y="0"/>
                      <a:ext cx="989411" cy="206692"/>
                    </a:xfrm>
                    <a:prstGeom prst="rect"/>
                  </pic:spPr>
                </pic:pic>
              </a:graphicData>
            </a:graphic>
          </wp:inline>
        </w:drawing>
      </w:r>
      <w:r>
        <w:t>.</w:t>
      </w:r>
    </w:p>
    <w:p>
      <w:pPr>
        <w:jc w:val="both"/>
      </w:pPr>
      <w:r>
        <w:rPr>
          <w:b/>
        </w:rPr>
        <w:t>Dos PROPORCIONES (métrica binaria, p. ej. la retención de un A/B test).</w:t>
      </w:r>
      <w:r>
        <w:t xml:space="preserve"> Convención de subíndices del curso: </w:t>
      </w:r>
      <w:r>
        <w:rPr>
          <w:b/>
        </w:rPr>
        <w:t>0 = control, 1 = tratamiento</w:t>
      </w:r>
      <w:r>
        <w:t xml:space="preserve">, y el efecto se lee siempre en el sentido </w:t>
      </w:r>
      <w:r>
        <w:rPr>
          <w:b/>
        </w:rPr>
        <w:t>tratamiento − control</w:t>
      </w:r>
      <w:r>
        <w:t xml:space="preserve"> (un valor negativo indica que el tratamiento reduce la métrica). Con la proporción combinada </w:t>
      </w:r>
      <w:r>
        <w:drawing>
          <wp:inline xmlns:a="http://schemas.openxmlformats.org/drawingml/2006/main" xmlns:pic="http://schemas.openxmlformats.org/drawingml/2006/picture">
            <wp:extent cx="1324122" cy="206692"/>
            <wp:docPr id="12" name="Picture 12"/>
            <wp:cNvGraphicFramePr>
              <a:graphicFrameLocks noChangeAspect="1"/>
            </wp:cNvGraphicFramePr>
            <a:graphic>
              <a:graphicData uri="http://schemas.openxmlformats.org/drawingml/2006/picture">
                <pic:pic>
                  <pic:nvPicPr>
                    <pic:cNvPr id="0" name="eq_e5887ee6761d.png"/>
                    <pic:cNvPicPr/>
                  </pic:nvPicPr>
                  <pic:blipFill>
                    <a:blip r:embed="rId20"/>
                    <a:stretch>
                      <a:fillRect/>
                    </a:stretch>
                  </pic:blipFill>
                  <pic:spPr>
                    <a:xfrm>
                      <a:off x="0" y="0"/>
                      <a:ext cx="1324122" cy="206692"/>
                    </a:xfrm>
                    <a:prstGeom prst="rect"/>
                  </pic:spPr>
                </pic:pic>
              </a:graphicData>
            </a:graphic>
          </wp:inline>
        </w:drawing>
      </w:r>
      <w:r>
        <w:t>, el estadístico z de dos proporciones 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2601883" cy="768927"/>
                  <wp:docPr id="13" name="Picture 13"/>
                  <wp:cNvGraphicFramePr>
                    <a:graphicFrameLocks noChangeAspect="1"/>
                  </wp:cNvGraphicFramePr>
                  <a:graphic>
                    <a:graphicData uri="http://schemas.openxmlformats.org/drawingml/2006/picture">
                      <pic:pic>
                        <pic:nvPicPr>
                          <pic:cNvPr id="0" name="eq_9c3032fa757e.png"/>
                          <pic:cNvPicPr/>
                        </pic:nvPicPr>
                        <pic:blipFill>
                          <a:blip r:embed="rId21"/>
                          <a:stretch>
                            <a:fillRect/>
                          </a:stretch>
                        </pic:blipFill>
                        <pic:spPr>
                          <a:xfrm>
                            <a:off x="0" y="0"/>
                            <a:ext cx="2601883" cy="768927"/>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(4)</w:t>
            </w:r>
          </w:p>
        </w:tc>
      </w:tr>
    </w:tbl>
    <w:p>
      <w:pPr>
        <w:spacing w:after="40"/>
      </w:pPr>
    </w:p>
    <w:p>
      <w:pPr>
        <w:jc w:val="both"/>
      </w:pPr>
      <w:r>
        <w:t>y es equivalente a la chi-cuadrado de independencia sobre la tabla 2×2 (</w:t>
      </w:r>
      <w:r>
        <w:drawing>
          <wp:inline xmlns:a="http://schemas.openxmlformats.org/drawingml/2006/main" xmlns:pic="http://schemas.openxmlformats.org/drawingml/2006/picture">
            <wp:extent cx="464263" cy="206692"/>
            <wp:docPr id="14" name="Picture 14"/>
            <wp:cNvGraphicFramePr>
              <a:graphicFrameLocks noChangeAspect="1"/>
            </wp:cNvGraphicFramePr>
            <a:graphic>
              <a:graphicData uri="http://schemas.openxmlformats.org/drawingml/2006/picture">
                <pic:pic>
                  <pic:nvPicPr>
                    <pic:cNvPr id="0" name="eq_a2f877e099ba.png"/>
                    <pic:cNvPicPr/>
                  </pic:nvPicPr>
                  <pic:blipFill>
                    <a:blip r:embed="rId22"/>
                    <a:stretch>
                      <a:fillRect/>
                    </a:stretch>
                  </pic:blipFill>
                  <pic:spPr>
                    <a:xfrm>
                      <a:off x="0" y="0"/>
                      <a:ext cx="464263" cy="206692"/>
                    </a:xfrm>
                    <a:prstGeom prst="rect"/>
                  </pic:spPr>
                </pic:pic>
              </a:graphicData>
            </a:graphic>
          </wp:inline>
        </w:drawing>
      </w:r>
      <w:r>
        <w:t xml:space="preserve">). Su tamaño del efecto es la </w:t>
      </w:r>
      <w:r>
        <w:rPr>
          <w:b/>
        </w:rPr>
        <w:t>h de Cohen</w:t>
      </w:r>
      <w:r>
        <w:t xml:space="preserve">, que compara proporciones tras la transformación arcoseno (estabiliza la varianza; misma convención de signo, </w:t>
      </w:r>
      <w:r>
        <w:drawing>
          <wp:inline xmlns:a="http://schemas.openxmlformats.org/drawingml/2006/main" xmlns:pic="http://schemas.openxmlformats.org/drawingml/2006/picture">
            <wp:extent cx="224510" cy="206692"/>
            <wp:docPr id="15" name="Picture 15"/>
            <wp:cNvGraphicFramePr>
              <a:graphicFrameLocks noChangeAspect="1"/>
            </wp:cNvGraphicFramePr>
            <a:graphic>
              <a:graphicData uri="http://schemas.openxmlformats.org/drawingml/2006/picture">
                <pic:pic>
                  <pic:nvPicPr>
                    <pic:cNvPr id="0" name="eq_3ea1a331572e.png"/>
                    <pic:cNvPicPr/>
                  </pic:nvPicPr>
                  <pic:blipFill>
                    <a:blip r:embed="rId23"/>
                    <a:stretch>
                      <a:fillRect/>
                    </a:stretch>
                  </pic:blipFill>
                  <pic:spPr>
                    <a:xfrm>
                      <a:off x="0" y="0"/>
                      <a:ext cx="224510" cy="206692"/>
                    </a:xfrm>
                    <a:prstGeom prst="rect"/>
                  </pic:spPr>
                </pic:pic>
              </a:graphicData>
            </a:graphic>
          </wp:inline>
        </w:drawing>
      </w:r>
      <w:r>
        <w:t xml:space="preserve"> = tratamiento):</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3350029" cy="328352"/>
                  <wp:docPr id="16" name="Picture 16"/>
                  <wp:cNvGraphicFramePr>
                    <a:graphicFrameLocks noChangeAspect="1"/>
                  </wp:cNvGraphicFramePr>
                  <a:graphic>
                    <a:graphicData uri="http://schemas.openxmlformats.org/drawingml/2006/picture">
                      <pic:pic>
                        <pic:nvPicPr>
                          <pic:cNvPr id="0" name="eq_76854377ac47.png"/>
                          <pic:cNvPicPr/>
                        </pic:nvPicPr>
                        <pic:blipFill>
                          <a:blip r:embed="rId24"/>
                          <a:stretch>
                            <a:fillRect/>
                          </a:stretch>
                        </pic:blipFill>
                        <pic:spPr>
                          <a:xfrm>
                            <a:off x="0" y="0"/>
                            <a:ext cx="3350029" cy="328352"/>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(5)</w:t>
            </w:r>
          </w:p>
        </w:tc>
      </w:tr>
    </w:tbl>
    <w:p>
      <w:pPr>
        <w:spacing w:after="40"/>
      </w:pPr>
    </w:p>
    <w:p>
      <w:pPr>
        <w:jc w:val="both"/>
      </w:pPr>
      <w:r>
        <w:t xml:space="preserve">Al negocio se le comunica el </w:t>
      </w:r>
      <w:r>
        <w:rPr>
          <w:b/>
        </w:rPr>
        <w:t>lift</w:t>
      </w:r>
      <w:r>
        <w:t xml:space="preserve"> (cambio relativo, </w:t>
      </w:r>
      <w:r>
        <w:drawing>
          <wp:inline xmlns:a="http://schemas.openxmlformats.org/drawingml/2006/main" xmlns:pic="http://schemas.openxmlformats.org/drawingml/2006/picture">
            <wp:extent cx="1011538" cy="206692"/>
            <wp:docPr id="17" name="Picture 17"/>
            <wp:cNvGraphicFramePr>
              <a:graphicFrameLocks noChangeAspect="1"/>
            </wp:cNvGraphicFramePr>
            <a:graphic>
              <a:graphicData uri="http://schemas.openxmlformats.org/drawingml/2006/picture">
                <pic:pic>
                  <pic:nvPicPr>
                    <pic:cNvPr id="0" name="eq_eb9b3299879d.png"/>
                    <pic:cNvPicPr/>
                  </pic:nvPicPr>
                  <pic:blipFill>
                    <a:blip r:embed="rId25"/>
                    <a:stretch>
                      <a:fillRect/>
                    </a:stretch>
                  </pic:blipFill>
                  <pic:spPr>
                    <a:xfrm>
                      <a:off x="0" y="0"/>
                      <a:ext cx="1011538" cy="206692"/>
                    </a:xfrm>
                    <a:prstGeom prst="rect"/>
                  </pic:spPr>
                </pic:pic>
              </a:graphicData>
            </a:graphic>
          </wp:inline>
        </w:drawing>
      </w:r>
      <w:r>
        <w:t xml:space="preserve">) </w:t>
      </w:r>
      <w:r>
        <w:rPr>
          <w:b/>
        </w:rPr>
        <w:t>acompañado de su intervalo de confianza</w:t>
      </w:r>
      <w:r>
        <w:t xml:space="preserve">. El IC de la </w:t>
      </w:r>
      <w:r>
        <w:rPr>
          <w:b/>
        </w:rPr>
        <w:t>diferencia de proporciones</w:t>
      </w:r>
      <w:r>
        <w:t xml:space="preserve"> (tratamiento − control) usa el error estándar </w:t>
      </w:r>
      <w:r>
        <w:rPr>
          <w:b/>
        </w:rPr>
        <w:t>no combinado</w:t>
      </w:r>
      <w:r>
        <w:t xml:space="preserve"> y el valor crítico </w:t>
      </w:r>
      <w:r>
        <w:drawing>
          <wp:inline xmlns:a="http://schemas.openxmlformats.org/drawingml/2006/main" xmlns:pic="http://schemas.openxmlformats.org/drawingml/2006/picture">
            <wp:extent cx="413384" cy="206692"/>
            <wp:docPr id="18" name="Picture 18"/>
            <wp:cNvGraphicFramePr>
              <a:graphicFrameLocks noChangeAspect="1"/>
            </wp:cNvGraphicFramePr>
            <a:graphic>
              <a:graphicData uri="http://schemas.openxmlformats.org/drawingml/2006/picture">
                <pic:pic>
                  <pic:nvPicPr>
                    <pic:cNvPr id="0" name="eq_670a0c000dfb.png"/>
                    <pic:cNvPicPr/>
                  </pic:nvPicPr>
                  <pic:blipFill>
                    <a:blip r:embed="rId26"/>
                    <a:stretch>
                      <a:fillRect/>
                    </a:stretch>
                  </pic:blipFill>
                  <pic:spPr>
                    <a:xfrm>
                      <a:off x="0" y="0"/>
                      <a:ext cx="413384" cy="206692"/>
                    </a:xfrm>
                    <a:prstGeom prst="rect"/>
                  </pic:spPr>
                </pic:pic>
              </a:graphicData>
            </a:graphic>
          </wp:inline>
        </w:drawing>
      </w:r>
      <w:r>
        <w:t>:</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4551218" cy="694112"/>
                  <wp:docPr id="19" name="Picture 19"/>
                  <wp:cNvGraphicFramePr>
                    <a:graphicFrameLocks noChangeAspect="1"/>
                  </wp:cNvGraphicFramePr>
                  <a:graphic>
                    <a:graphicData uri="http://schemas.openxmlformats.org/drawingml/2006/picture">
                      <pic:pic>
                        <pic:nvPicPr>
                          <pic:cNvPr id="0" name="eq_6c6a9248dd26.png"/>
                          <pic:cNvPicPr/>
                        </pic:nvPicPr>
                        <pic:blipFill>
                          <a:blip r:embed="rId27"/>
                          <a:stretch>
                            <a:fillRect/>
                          </a:stretch>
                        </pic:blipFill>
                        <pic:spPr>
                          <a:xfrm>
                            <a:off x="0" y="0"/>
                            <a:ext cx="4551218" cy="694112"/>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(6)</w:t>
            </w:r>
          </w:p>
        </w:tc>
      </w:tr>
    </w:tbl>
    <w:p>
      <w:pPr>
        <w:spacing w:after="40"/>
      </w:pPr>
    </w:p>
    <w:p>
      <w:pPr>
        <w:jc w:val="both"/>
      </w:pPr>
      <w:r>
        <w:t xml:space="preserve">El </w:t>
      </w:r>
      <w:r>
        <w:rPr>
          <w:b/>
        </w:rPr>
        <w:t>IC del lift</w:t>
      </w:r>
      <w:r>
        <w:t xml:space="preserve"> no es único y </w:t>
      </w:r>
      <w:r>
        <w:rPr>
          <w:b/>
        </w:rPr>
        <w:t>se rotula siempre con su método</w:t>
      </w:r>
      <w:r>
        <w:t xml:space="preserve">, porque los dos habituales no dan el mismo número: </w:t>
      </w:r>
      <w:r>
        <w:rPr>
          <w:b/>
        </w:rPr>
        <w:t>(a) escalado</w:t>
      </w:r>
      <w:r>
        <w:t xml:space="preserve"> —el IC de la diferencia dividido por la base </w:t>
      </w:r>
      <w:r>
        <w:drawing>
          <wp:inline xmlns:a="http://schemas.openxmlformats.org/drawingml/2006/main" xmlns:pic="http://schemas.openxmlformats.org/drawingml/2006/picture">
            <wp:extent cx="197296" cy="206692"/>
            <wp:docPr id="20" name="Picture 20"/>
            <wp:cNvGraphicFramePr>
              <a:graphicFrameLocks noChangeAspect="1"/>
            </wp:cNvGraphicFramePr>
            <a:graphic>
              <a:graphicData uri="http://schemas.openxmlformats.org/drawingml/2006/picture">
                <pic:pic>
                  <pic:nvPicPr>
                    <pic:cNvPr id="0" name="eq_f6e8c1137dcd.png"/>
                    <pic:cNvPicPr/>
                  </pic:nvPicPr>
                  <pic:blipFill>
                    <a:blip r:embed="rId28"/>
                    <a:stretch>
                      <a:fillRect/>
                    </a:stretch>
                  </pic:blipFill>
                  <pic:spPr>
                    <a:xfrm>
                      <a:off x="0" y="0"/>
                      <a:ext cx="197296" cy="206692"/>
                    </a:xfrm>
                    <a:prstGeom prst="rect"/>
                  </pic:spPr>
                </pic:pic>
              </a:graphicData>
            </a:graphic>
          </wp:inline>
        </w:drawing>
      </w:r>
      <w:r>
        <w:t xml:space="preserve">, tratada como constante conocida— y </w:t>
      </w:r>
      <w:r>
        <w:rPr>
          <w:b/>
        </w:rPr>
        <w:t>(b) delta-método</w:t>
      </w:r>
      <w:r>
        <w:t xml:space="preserve"> sobre el cociente </w:t>
      </w:r>
      <w:r>
        <w:drawing>
          <wp:inline xmlns:a="http://schemas.openxmlformats.org/drawingml/2006/main" xmlns:pic="http://schemas.openxmlformats.org/drawingml/2006/picture">
            <wp:extent cx="585627" cy="206692"/>
            <wp:docPr id="21" name="Picture 21"/>
            <wp:cNvGraphicFramePr>
              <a:graphicFrameLocks noChangeAspect="1"/>
            </wp:cNvGraphicFramePr>
            <a:graphic>
              <a:graphicData uri="http://schemas.openxmlformats.org/drawingml/2006/picture">
                <pic:pic>
                  <pic:nvPicPr>
                    <pic:cNvPr id="0" name="eq_160002f253ca.png"/>
                    <pic:cNvPicPr/>
                  </pic:nvPicPr>
                  <pic:blipFill>
                    <a:blip r:embed="rId29"/>
                    <a:stretch>
                      <a:fillRect/>
                    </a:stretch>
                  </pic:blipFill>
                  <pic:spPr>
                    <a:xfrm>
                      <a:off x="0" y="0"/>
                      <a:ext cx="585627" cy="206692"/>
                    </a:xfrm>
                    <a:prstGeom prst="rect"/>
                  </pic:spPr>
                </pic:pic>
              </a:graphicData>
            </a:graphic>
          </wp:inline>
        </w:drawing>
      </w:r>
      <w:r>
        <w:t xml:space="preserve">, con </w:t>
      </w:r>
      <w:r>
        <w:drawing>
          <wp:inline xmlns:a="http://schemas.openxmlformats.org/drawingml/2006/main" xmlns:pic="http://schemas.openxmlformats.org/drawingml/2006/picture">
            <wp:extent cx="1759534" cy="206692"/>
            <wp:docPr id="22" name="Picture 22"/>
            <wp:cNvGraphicFramePr>
              <a:graphicFrameLocks noChangeAspect="1"/>
            </wp:cNvGraphicFramePr>
            <a:graphic>
              <a:graphicData uri="http://schemas.openxmlformats.org/drawingml/2006/picture">
                <pic:pic>
                  <pic:nvPicPr>
                    <pic:cNvPr id="0" name="eq_612991fd2964.png"/>
                    <pic:cNvPicPr/>
                  </pic:nvPicPr>
                  <pic:blipFill>
                    <a:blip r:embed="rId30"/>
                    <a:stretch>
                      <a:fillRect/>
                    </a:stretch>
                  </pic:blipFill>
                  <pic:spPr>
                    <a:xfrm>
                      <a:off x="0" y="0"/>
                      <a:ext cx="1759534" cy="206692"/>
                    </a:xfrm>
                    <a:prstGeom prst="rect"/>
                  </pic:spPr>
                </pic:pic>
              </a:graphicData>
            </a:graphic>
          </wp:inline>
        </w:drawing>
      </w:r>
      <w:r>
        <w:t xml:space="preserve">, que propaga además la incertidumbre del </w:t>
      </w:r>
      <w:r>
        <w:rPr>
          <w:b/>
        </w:rPr>
        <w:t>denominador</w:t>
      </w:r>
      <w:r>
        <w:t xml:space="preserve">. En la sesión, sobre </w:t>
      </w:r>
      <w:r>
        <w:rPr>
          <w:rFonts w:ascii="Consolas" w:hAnsi="Consolas"/>
          <w:color w:val="9B1B30"/>
          <w:sz w:val="19"/>
        </w:rPr>
        <w:t>retention_7</w:t>
      </w:r>
      <w:r>
        <w:t xml:space="preserve">: (−7,0 %; −1,6 %) </w:t>
      </w:r>
      <w:r>
        <w:rPr>
          <w:b/>
        </w:rPr>
        <w:t>[escalado]</w:t>
      </w:r>
      <w:r>
        <w:t xml:space="preserve"> y (−6,9 %; −1,7 %) </w:t>
      </w:r>
      <w:r>
        <w:rPr>
          <w:b/>
        </w:rPr>
        <w:t>[delta-método]</w:t>
      </w:r>
      <w:r>
        <w:t xml:space="preserve"> (hoja </w:t>
      </w:r>
      <w:r>
        <w:rPr>
          <w:rFonts w:ascii="Consolas" w:hAnsi="Consolas"/>
          <w:color w:val="9B1B30"/>
          <w:sz w:val="19"/>
        </w:rPr>
        <w:t>ab_intervalos</w:t>
      </w:r>
      <w:r>
        <w:t xml:space="preserve"> del Excel).</w:t>
      </w:r>
    </w:p>
    <w:p>
      <w:pPr>
        <w:jc w:val="both"/>
      </w:pPr>
      <w:r>
        <w:t xml:space="preserve">Un efecto —o un lift— cuyo IC cruza 0 no sostiene el lanzamiento: la regla de la sesión es comunicar </w:t>
      </w:r>
      <w:r>
        <w:rPr>
          <w:b/>
        </w:rPr>
        <w:t>magnitud + incertidumbre (efecto con su IC y el método del IC), no el p-valor a solas</w:t>
      </w:r>
      <w:r>
        <w:t>.</w:t>
      </w:r>
    </w:p>
    <w:p>
      <w:pPr>
        <w:jc w:val="both"/>
      </w:pPr>
      <w:r>
        <w:rPr>
          <w:b/>
        </w:rPr>
        <w:t>Tamaño muestral y potencia (dimensionar ANTES de lanzar).</w:t>
      </w:r>
      <w:r>
        <w:t xml:space="preserve"> Para detectar un efecto mínimo relevante (MDE) de magnitud Δ con potencia 1 − β y nivel α (bilateral), el n por grupo al comparar dos medias 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2730730" cy="623454"/>
                  <wp:docPr id="23" name="Picture 23"/>
                  <wp:cNvGraphicFramePr>
                    <a:graphicFrameLocks noChangeAspect="1"/>
                  </wp:cNvGraphicFramePr>
                  <a:graphic>
                    <a:graphicData uri="http://schemas.openxmlformats.org/drawingml/2006/picture">
                      <pic:pic>
                        <pic:nvPicPr>
                          <pic:cNvPr id="0" name="eq_bbd8b6be91fb.png"/>
                          <pic:cNvPicPr/>
                        </pic:nvPicPr>
                        <pic:blipFill>
                          <a:blip r:embed="rId31"/>
                          <a:stretch>
                            <a:fillRect/>
                          </a:stretch>
                        </pic:blipFill>
                        <pic:spPr>
                          <a:xfrm>
                            <a:off x="0" y="0"/>
                            <a:ext cx="2730730" cy="623454"/>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(7)</w:t>
            </w:r>
          </w:p>
        </w:tc>
      </w:tr>
    </w:tbl>
    <w:p>
      <w:pPr>
        <w:spacing w:after="40"/>
      </w:pPr>
    </w:p>
    <w:p>
      <w:pPr>
        <w:jc w:val="both"/>
      </w:pPr>
      <w:r>
        <w:t xml:space="preserve">con </w:t>
      </w:r>
      <w:r>
        <w:drawing>
          <wp:inline xmlns:a="http://schemas.openxmlformats.org/drawingml/2006/main" xmlns:pic="http://schemas.openxmlformats.org/drawingml/2006/picture">
            <wp:extent cx="470403" cy="206692"/>
            <wp:docPr id="24" name="Picture 24"/>
            <wp:cNvGraphicFramePr>
              <a:graphicFrameLocks noChangeAspect="1"/>
            </wp:cNvGraphicFramePr>
            <a:graphic>
              <a:graphicData uri="http://schemas.openxmlformats.org/drawingml/2006/picture">
                <pic:pic>
                  <pic:nvPicPr>
                    <pic:cNvPr id="0" name="eq_ccc12d69a222.png"/>
                    <pic:cNvPicPr/>
                  </pic:nvPicPr>
                  <pic:blipFill>
                    <a:blip r:embed="rId32"/>
                    <a:stretch>
                      <a:fillRect/>
                    </a:stretch>
                  </pic:blipFill>
                  <pic:spPr>
                    <a:xfrm>
                      <a:off x="0" y="0"/>
                      <a:ext cx="470403" cy="206692"/>
                    </a:xfrm>
                    <a:prstGeom prst="rect"/>
                  </pic:spPr>
                </pic:pic>
              </a:graphicData>
            </a:graphic>
          </wp:inline>
        </w:drawing>
      </w:r>
      <w:r>
        <w:t xml:space="preserve"> y </w:t>
      </w:r>
      <w:r>
        <w:drawing>
          <wp:inline xmlns:a="http://schemas.openxmlformats.org/drawingml/2006/main" xmlns:pic="http://schemas.openxmlformats.org/drawingml/2006/picture">
            <wp:extent cx="368601" cy="206692"/>
            <wp:docPr id="25" name="Picture 25"/>
            <wp:cNvGraphicFramePr>
              <a:graphicFrameLocks noChangeAspect="1"/>
            </wp:cNvGraphicFramePr>
            <a:graphic>
              <a:graphicData uri="http://schemas.openxmlformats.org/drawingml/2006/picture">
                <pic:pic>
                  <pic:nvPicPr>
                    <pic:cNvPr id="0" name="eq_36293b07523a.png"/>
                    <pic:cNvPicPr/>
                  </pic:nvPicPr>
                  <pic:blipFill>
                    <a:blip r:embed="rId33"/>
                    <a:stretch>
                      <a:fillRect/>
                    </a:stretch>
                  </pic:blipFill>
                  <pic:spPr>
                    <a:xfrm>
                      <a:off x="0" y="0"/>
                      <a:ext cx="368601" cy="206692"/>
                    </a:xfrm>
                    <a:prstGeom prst="rect"/>
                  </pic:spPr>
                </pic:pic>
              </a:graphicData>
            </a:graphic>
          </wp:inline>
        </w:drawing>
      </w:r>
      <w:r>
        <w:t xml:space="preserve"> los cuantiles de la normal. La fórmula (7) expone la lógica: el n crece con la varianza y </w:t>
      </w:r>
      <w:r>
        <w:rPr>
          <w:b/>
        </w:rPr>
        <w:t>disminuye con el cuadrado</w:t>
      </w:r>
      <w:r>
        <w:t xml:space="preserve"> del efecto a detectar, por eso los efectos pequeños exigen muestras muy grandes (para proporciones se sustituye </w:t>
      </w:r>
      <w:r>
        <w:drawing>
          <wp:inline xmlns:a="http://schemas.openxmlformats.org/drawingml/2006/main" xmlns:pic="http://schemas.openxmlformats.org/drawingml/2006/picture">
            <wp:extent cx="206692" cy="206692"/>
            <wp:docPr id="26" name="Picture 26"/>
            <wp:cNvGraphicFramePr>
              <a:graphicFrameLocks noChangeAspect="1"/>
            </wp:cNvGraphicFramePr>
            <a:graphic>
              <a:graphicData uri="http://schemas.openxmlformats.org/drawingml/2006/picture">
                <pic:pic>
                  <pic:nvPicPr>
                    <pic:cNvPr id="0" name="eq_608d79d8062a.png"/>
                    <pic:cNvPicPr/>
                  </pic:nvPicPr>
                  <pic:blipFill>
                    <a:blip r:embed="rId34"/>
                    <a:stretch>
                      <a:fillRect/>
                    </a:stretch>
                  </pic:blipFill>
                  <pic:spPr>
                    <a:xfrm>
                      <a:off x="0" y="0"/>
                      <a:ext cx="206692" cy="206692"/>
                    </a:xfrm>
                    <a:prstGeom prst="rect"/>
                  </pic:spPr>
                </pic:pic>
              </a:graphicData>
            </a:graphic>
          </wp:inline>
        </w:drawing>
      </w:r>
      <w:r>
        <w:t xml:space="preserve"> por </w:t>
      </w:r>
      <w:r>
        <w:drawing>
          <wp:inline xmlns:a="http://schemas.openxmlformats.org/drawingml/2006/main" xmlns:pic="http://schemas.openxmlformats.org/drawingml/2006/picture">
            <wp:extent cx="591567" cy="206692"/>
            <wp:docPr id="27" name="Picture 27"/>
            <wp:cNvGraphicFramePr>
              <a:graphicFrameLocks noChangeAspect="1"/>
            </wp:cNvGraphicFramePr>
            <a:graphic>
              <a:graphicData uri="http://schemas.openxmlformats.org/drawingml/2006/picture">
                <pic:pic>
                  <pic:nvPicPr>
                    <pic:cNvPr id="0" name="eq_a1f5163a83e6.png"/>
                    <pic:cNvPicPr/>
                  </pic:nvPicPr>
                  <pic:blipFill>
                    <a:blip r:embed="rId35"/>
                    <a:stretch>
                      <a:fillRect/>
                    </a:stretch>
                  </pic:blipFill>
                  <pic:spPr>
                    <a:xfrm>
                      <a:off x="0" y="0"/>
                      <a:ext cx="591567" cy="206692"/>
                    </a:xfrm>
                    <a:prstGeom prst="rect"/>
                  </pic:spPr>
                </pic:pic>
              </a:graphicData>
            </a:graphic>
          </wp:inline>
        </w:drawing>
      </w:r>
      <w:r>
        <w:t xml:space="preserve">). En la práctica se resuelve con </w:t>
      </w:r>
      <w:r>
        <w:rPr>
          <w:rFonts w:ascii="Consolas" w:hAnsi="Consolas"/>
          <w:color w:val="9B1B30"/>
          <w:sz w:val="19"/>
        </w:rPr>
        <w:t>statsmodels.stats.power</w:t>
      </w:r>
      <w:r>
        <w:t xml:space="preserve"> (</w:t>
      </w:r>
      <w:r>
        <w:rPr>
          <w:rFonts w:ascii="Consolas" w:hAnsi="Consolas"/>
          <w:color w:val="9B1B30"/>
          <w:sz w:val="19"/>
        </w:rPr>
        <w:t>NormalIndPower</w:t>
      </w:r>
      <w:r>
        <w:t xml:space="preserve">, </w:t>
      </w:r>
      <w:r>
        <w:rPr>
          <w:rFonts w:ascii="Consolas" w:hAnsi="Consolas"/>
          <w:color w:val="9B1B30"/>
          <w:sz w:val="19"/>
        </w:rPr>
        <w:t>TTestPower</w:t>
      </w:r>
      <w:r>
        <w:t xml:space="preserve">) y con la </w:t>
      </w:r>
      <w:hyperlink r:id="rId36">
        <w:r>
          <w:rPr>
            <w:color w:val="E4002B"/>
            <w:u w:val="single"/>
          </w:rPr>
          <w:t xml:space="preserve">`calculadora de tamaño muestral A/B`</w:t>
        </w:r>
      </w:hyperlink>
      <w:r>
        <w:t>.</w:t>
      </w:r>
    </w:p>
    <w:p>
      <w:pPr>
        <w:spacing w:before="40" w:after="40"/>
        <w:pBdr>
          <w:bottom w:val="single" w:sz="6" w:space="1" w:color="D9D9D9"/>
        </w:pBdr>
      </w:pPr>
    </w:p>
    <w:p>
      <w:pPr>
        <w:keepNext/>
        <w:spacing w:before="240" w:after="60"/>
        <w:pBdr>
          <w:bottom w:val="single" w:sz="6" w:space="2" w:color="E4002B"/>
        </w:pBdr>
      </w:pPr>
      <w:r>
        <w:rPr>
          <w:b/>
          <w:color w:val="E4002B"/>
          <w:sz w:val="30"/>
        </w:rPr>
        <w:t>Referencia rápida (cuatro escenarios típicos)</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2436"/>
        <w:gridCol w:w="2436"/>
        <w:gridCol w:w="2436"/>
        <w:gridCol w:w="2436"/>
      </w:tblGrid>
      <w:tr>
        <w:tc>
          <w:tcPr>
            <w:tcW w:type="dxa" w:w="2436"/>
            <w:tcMar>
              <w:top w:w="60" w:type="dxa"/>
              <w:bottom w:w="60" w:type="dxa"/>
              <w:start w:w="110" w:type="dxa"/>
              <w:end w:w="110" w:type="dxa"/>
            </w:tcMar>
            <w:vAlign w:val="center"/>
            <w:shd w:val="clear" w:color="auto" w:fill="E4002B"/>
          </w:tcPr>
          <w:p>
            <w:pPr>
              <w:spacing w:after="0"/>
            </w:pPr>
            <w:r/>
            <w:r>
              <w:rPr>
                <w:b/>
                <w:color w:val="FFFFFF"/>
                <w:sz w:val="19"/>
              </w:rPr>
              <w:t>Escenario</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Diseño</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Normalidad</w:t>
            </w:r>
          </w:p>
        </w:tc>
        <w:tc>
          <w:tcPr>
            <w:tcW w:type="dxa" w:w="2436"/>
            <w:tcMar>
              <w:top w:w="60" w:type="dxa"/>
              <w:bottom w:w="60" w:type="dxa"/>
              <w:start w:w="110" w:type="dxa"/>
              <w:end w:w="110" w:type="dxa"/>
            </w:tcMar>
            <w:vAlign w:val="center"/>
            <w:shd w:val="clear" w:color="auto" w:fill="E4002B"/>
          </w:tcPr>
          <w:p>
            <w:pPr>
              <w:spacing w:after="0"/>
            </w:pPr>
            <w:r/>
            <w:r>
              <w:rPr>
                <w:b/>
                <w:color w:val="FFFFFF"/>
                <w:sz w:val="19"/>
              </w:rPr>
              <w:t>Prueba recomendada</w:t>
            </w:r>
          </w:p>
        </w:tc>
      </w:tr>
      <w:tr>
        <w:tc>
          <w:tcPr>
            <w:tcW w:type="dxa" w:w="2436"/>
            <w:tcMar>
              <w:top w:w="60" w:type="dxa"/>
              <w:bottom w:w="60" w:type="dxa"/>
              <w:start w:w="110" w:type="dxa"/>
              <w:end w:w="110" w:type="dxa"/>
            </w:tcMar>
            <w:vAlign w:val="center"/>
          </w:tcPr>
          <w:p>
            <w:pPr>
              <w:spacing w:after="0"/>
            </w:pPr>
            <w:r>
              <w:rPr>
                <w:sz w:val="19"/>
              </w:rPr>
            </w:r>
            <w:r>
              <w:rPr>
                <w:sz w:val="19"/>
              </w:rPr>
              <w:t xml:space="preserve">Comparar una métrica numérica entre </w:t>
            </w:r>
            <w:r>
              <w:rPr>
                <w:b/>
                <w:sz w:val="19"/>
              </w:rPr>
              <w:t>2 grupos</w:t>
            </w:r>
            <w:r>
              <w:rPr>
                <w:sz w:val="19"/>
              </w:rPr>
              <w:t xml:space="preserve"> de usuarios distintos (A/B)</w:t>
            </w:r>
          </w:p>
        </w:tc>
        <w:tc>
          <w:tcPr>
            <w:tcW w:type="dxa" w:w="2436"/>
            <w:tcMar>
              <w:top w:w="60" w:type="dxa"/>
              <w:bottom w:w="60" w:type="dxa"/>
              <w:start w:w="110" w:type="dxa"/>
              <w:end w:w="110" w:type="dxa"/>
            </w:tcMar>
            <w:vAlign w:val="center"/>
          </w:tcPr>
          <w:p>
            <w:pPr>
              <w:spacing w:after="0"/>
            </w:pPr>
            <w:r>
              <w:rPr>
                <w:sz w:val="19"/>
              </w:rPr>
            </w:r>
            <w:r>
              <w:rPr>
                <w:sz w:val="19"/>
              </w:rPr>
              <w:t>Independiente</w:t>
            </w:r>
          </w:p>
        </w:tc>
        <w:tc>
          <w:tcPr>
            <w:tcW w:type="dxa" w:w="2436"/>
            <w:tcMar>
              <w:top w:w="60" w:type="dxa"/>
              <w:bottom w:w="60" w:type="dxa"/>
              <w:start w:w="110" w:type="dxa"/>
              <w:end w:w="110" w:type="dxa"/>
            </w:tcMar>
            <w:vAlign w:val="center"/>
          </w:tcPr>
          <w:p>
            <w:pPr>
              <w:spacing w:after="0"/>
            </w:pPr>
            <w:r>
              <w:rPr>
                <w:sz w:val="19"/>
              </w:rPr>
            </w:r>
            <w:r>
              <w:rPr>
                <w:sz w:val="19"/>
              </w:rPr>
              <w:t>Sí</w:t>
            </w:r>
          </w:p>
        </w:tc>
        <w:tc>
          <w:tcPr>
            <w:tcW w:type="dxa" w:w="2436"/>
            <w:tcMar>
              <w:top w:w="60" w:type="dxa"/>
              <w:bottom w:w="60" w:type="dxa"/>
              <w:start w:w="110" w:type="dxa"/>
              <w:end w:w="110" w:type="dxa"/>
            </w:tcMar>
            <w:vAlign w:val="center"/>
          </w:tcPr>
          <w:p>
            <w:pPr>
              <w:spacing w:after="0"/>
            </w:pPr>
            <w:r>
              <w:rPr>
                <w:sz w:val="19"/>
              </w:rPr>
            </w:r>
            <w:r>
              <w:rPr>
                <w:sz w:val="19"/>
              </w:rPr>
              <w:t>Prueba t de dos muestras (Welch por defecto)</w:t>
            </w:r>
          </w:p>
        </w:tc>
      </w:tr>
      <w:tr>
        <w:tc>
          <w:tcPr>
            <w:tcW w:type="dxa" w:w="2436"/>
            <w:tcMar>
              <w:top w:w="60" w:type="dxa"/>
              <w:bottom w:w="60" w:type="dxa"/>
              <w:start w:w="110" w:type="dxa"/>
              <w:end w:w="110" w:type="dxa"/>
            </w:tcMar>
            <w:vAlign w:val="center"/>
            <w:shd w:val="clear" w:color="auto" w:fill="FCEDEE"/>
          </w:tcPr>
          <w:p>
            <w:pPr>
              <w:spacing w:after="0"/>
            </w:pPr>
            <w:r>
              <w:rPr>
                <w:sz w:val="19"/>
              </w:rPr>
            </w:r>
            <w:r>
              <w:rPr>
                <w:sz w:val="19"/>
              </w:rPr>
              <w:t xml:space="preserve">Comparar una métrica numérica entre </w:t>
            </w:r>
            <w:r>
              <w:rPr>
                <w:b/>
                <w:sz w:val="19"/>
              </w:rPr>
              <w:t>&gt; 2 grupos</w:t>
            </w:r>
            <w:r>
              <w:rPr>
                <w:sz w:val="19"/>
              </w:rPr>
              <w:t xml:space="preserve"> (A/B/C…)</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Independiente</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Sí</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ANOVA de un factor (+ post-hoc)</w:t>
            </w:r>
          </w:p>
        </w:tc>
      </w:tr>
      <w:tr>
        <w:tc>
          <w:tcPr>
            <w:tcW w:type="dxa" w:w="2436"/>
            <w:tcMar>
              <w:top w:w="60" w:type="dxa"/>
              <w:bottom w:w="60" w:type="dxa"/>
              <w:start w:w="110" w:type="dxa"/>
              <w:end w:w="110" w:type="dxa"/>
            </w:tcMar>
            <w:vAlign w:val="center"/>
          </w:tcPr>
          <w:p>
            <w:pPr>
              <w:spacing w:after="0"/>
            </w:pPr>
            <w:r>
              <w:rPr>
                <w:sz w:val="19"/>
              </w:rPr>
            </w:r>
            <w:r>
              <w:rPr>
                <w:sz w:val="19"/>
              </w:rPr>
              <w:t xml:space="preserve">Relación entre dos variables </w:t>
            </w:r>
            <w:r>
              <w:rPr>
                <w:b/>
                <w:sz w:val="19"/>
              </w:rPr>
              <w:t>categóricas</w:t>
            </w:r>
            <w:r>
              <w:rPr>
                <w:sz w:val="19"/>
              </w:rPr>
              <w:t xml:space="preserve"> (p. ej. conversión × canal)</w:t>
            </w:r>
          </w:p>
        </w:tc>
        <w:tc>
          <w:tcPr>
            <w:tcW w:type="dxa" w:w="2436"/>
            <w:tcMar>
              <w:top w:w="60" w:type="dxa"/>
              <w:bottom w:w="60" w:type="dxa"/>
              <w:start w:w="110" w:type="dxa"/>
              <w:end w:w="110" w:type="dxa"/>
            </w:tcMar>
            <w:vAlign w:val="center"/>
          </w:tcPr>
          <w:p>
            <w:pPr>
              <w:spacing w:after="0"/>
            </w:pPr>
            <w:r>
              <w:rPr>
                <w:sz w:val="19"/>
              </w:rPr>
            </w:r>
            <w:r>
              <w:rPr>
                <w:sz w:val="19"/>
              </w:rPr>
              <w:t>—</w:t>
            </w:r>
          </w:p>
        </w:tc>
        <w:tc>
          <w:tcPr>
            <w:tcW w:type="dxa" w:w="2436"/>
            <w:tcMar>
              <w:top w:w="60" w:type="dxa"/>
              <w:bottom w:w="60" w:type="dxa"/>
              <w:start w:w="110" w:type="dxa"/>
              <w:end w:w="110" w:type="dxa"/>
            </w:tcMar>
            <w:vAlign w:val="center"/>
          </w:tcPr>
          <w:p>
            <w:pPr>
              <w:spacing w:after="0"/>
            </w:pPr>
            <w:r>
              <w:rPr>
                <w:sz w:val="19"/>
              </w:rPr>
            </w:r>
            <w:r>
              <w:rPr>
                <w:sz w:val="19"/>
              </w:rPr>
              <w:t>—</w:t>
            </w:r>
          </w:p>
        </w:tc>
        <w:tc>
          <w:tcPr>
            <w:tcW w:type="dxa" w:w="2436"/>
            <w:tcMar>
              <w:top w:w="60" w:type="dxa"/>
              <w:bottom w:w="60" w:type="dxa"/>
              <w:start w:w="110" w:type="dxa"/>
              <w:end w:w="110" w:type="dxa"/>
            </w:tcMar>
            <w:vAlign w:val="center"/>
          </w:tcPr>
          <w:p>
            <w:pPr>
              <w:spacing w:after="0"/>
            </w:pPr>
            <w:r>
              <w:rPr>
                <w:sz w:val="19"/>
              </w:rPr>
            </w:r>
            <w:r>
              <w:rPr>
                <w:sz w:val="19"/>
              </w:rPr>
              <w:t>Prueba chi-cuadrado (χ²) de independencia</w:t>
            </w:r>
          </w:p>
        </w:tc>
      </w:tr>
      <w:tr>
        <w:tc>
          <w:tcPr>
            <w:tcW w:type="dxa" w:w="2436"/>
            <w:tcMar>
              <w:top w:w="60" w:type="dxa"/>
              <w:bottom w:w="60" w:type="dxa"/>
              <w:start w:w="110" w:type="dxa"/>
              <w:end w:w="110" w:type="dxa"/>
            </w:tcMar>
            <w:vAlign w:val="center"/>
            <w:shd w:val="clear" w:color="auto" w:fill="FCEDEE"/>
          </w:tcPr>
          <w:p>
            <w:pPr>
              <w:spacing w:after="0"/>
            </w:pPr>
            <w:r>
              <w:rPr>
                <w:sz w:val="19"/>
              </w:rPr>
            </w:r>
            <w:r>
              <w:rPr>
                <w:sz w:val="19"/>
              </w:rPr>
              <w:t xml:space="preserve">Comparar 2 grupos con una métrica </w:t>
            </w:r>
            <w:r>
              <w:rPr>
                <w:b/>
                <w:sz w:val="19"/>
              </w:rPr>
              <w:t>muy sesgada / no normal</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Independiente</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No</w:t>
            </w:r>
          </w:p>
        </w:tc>
        <w:tc>
          <w:tcPr>
            <w:tcW w:type="dxa" w:w="2436"/>
            <w:tcMar>
              <w:top w:w="60" w:type="dxa"/>
              <w:bottom w:w="60" w:type="dxa"/>
              <w:start w:w="110" w:type="dxa"/>
              <w:end w:w="110" w:type="dxa"/>
            </w:tcMar>
            <w:vAlign w:val="center"/>
            <w:shd w:val="clear" w:color="auto" w:fill="FCEDEE"/>
          </w:tcPr>
          <w:p>
            <w:pPr>
              <w:spacing w:after="0"/>
            </w:pPr>
            <w:r>
              <w:rPr>
                <w:sz w:val="19"/>
              </w:rPr>
            </w:r>
            <w:r>
              <w:rPr>
                <w:sz w:val="19"/>
              </w:rPr>
              <w:t>Mann-Whitney U (no paramétrica)</w:t>
            </w:r>
          </w:p>
        </w:tc>
      </w:tr>
    </w:tbl>
    <w:p>
      <w:pPr>
        <w:spacing w:after="40"/>
      </w:pPr>
    </w:p>
    <w:p>
      <w:pPr>
        <w:jc w:val="both"/>
      </w:pPr>
      <w:r>
        <w:t>Notas de uso:</w:t>
      </w:r>
    </w:p>
    <w:p>
      <w:pPr>
        <w:pStyle w:val="ListBullet"/>
        <w:spacing w:after="40"/>
      </w:pPr>
      <w:r>
        <w:rPr>
          <w:b/>
        </w:rPr>
        <w:t>Normalidad:</w:t>
      </w:r>
      <w:r>
        <w:t xml:space="preserve"> se contrasta con Shapiro-Wilk (H₀: los datos son normales) más un histograma o gráfico Q-Q; con n muy grande la prueba detecta desviaciones triviales, por eso se apoya en el gráfico.</w:t>
      </w:r>
    </w:p>
    <w:p>
      <w:pPr>
        <w:pStyle w:val="ListBullet"/>
        <w:spacing w:after="40"/>
      </w:pPr>
      <w:r>
        <w:rPr>
          <w:b/>
        </w:rPr>
        <w:t>Pareado vs. independiente:</w:t>
      </w:r>
      <w:r>
        <w:t xml:space="preserve"> el diseño pareado (mismos sujetos, antes/después) elimina la variabilidad entre sujetos y aumenta la potencia; confundirlo con dos muestras independientes es el error clave que ilustra la réplica de S02 (datos </w:t>
      </w:r>
      <w:r>
        <w:rPr>
          <w:rFonts w:ascii="Consolas" w:hAnsi="Consolas"/>
          <w:color w:val="9B1B30"/>
          <w:sz w:val="19"/>
        </w:rPr>
        <w:t>sleep</w:t>
      </w:r>
      <w:r>
        <w:t>).</w:t>
      </w:r>
    </w:p>
    <w:p>
      <w:pPr>
        <w:pStyle w:val="ListBullet"/>
        <w:spacing w:after="40"/>
      </w:pPr>
      <w:r>
        <w:rPr>
          <w:b/>
        </w:rPr>
        <w:t>Significancia:</w:t>
      </w:r>
      <w:r>
        <w:t xml:space="preserve"> una prueba solo indica </w:t>
      </w:r>
      <w:r>
        <w:rPr>
          <w:i/>
        </w:rPr>
        <w:t>si</w:t>
      </w:r>
      <w:r>
        <w:t xml:space="preserve"> hay evidencia contra H₀; para decidir en negocio se leen además el </w:t>
      </w:r>
      <w:r>
        <w:rPr>
          <w:b/>
        </w:rPr>
        <w:t>tamaño del efecto</w:t>
      </w:r>
      <w:r>
        <w:t xml:space="preserve">, el </w:t>
      </w:r>
      <w:r>
        <w:rPr>
          <w:b/>
        </w:rPr>
        <w:t>intervalo de confianza</w:t>
      </w:r>
      <w:r>
        <w:t xml:space="preserve"> y la </w:t>
      </w:r>
      <w:r>
        <w:rPr>
          <w:b/>
        </w:rPr>
        <w:t>relevancia práctica</w:t>
      </w:r>
      <w:r>
        <w:t>.</w:t>
      </w:r>
    </w:p>
    <w:p>
      <w:pPr>
        <w:spacing w:before="40" w:after="40"/>
        <w:pBdr>
          <w:bottom w:val="single" w:sz="6" w:space="1" w:color="D9D9D9"/>
        </w:pBdr>
      </w:pPr>
    </w:p>
    <w:p>
      <w:pPr>
        <w:keepNext/>
        <w:spacing w:before="240" w:after="60"/>
        <w:pBdr>
          <w:bottom w:val="single" w:sz="6" w:space="2" w:color="E4002B"/>
        </w:pBdr>
      </w:pPr>
      <w:r>
        <w:rPr>
          <w:b/>
          <w:color w:val="E4002B"/>
          <w:sz w:val="30"/>
        </w:rPr>
        <w:t>Supuestos y diagnósticos (identificar y corregir antes de leer el p-valor)</w:t>
      </w:r>
    </w:p>
    <w:p>
      <w:pPr>
        <w:jc w:val="both"/>
      </w:pPr>
      <w:r>
        <w:t>La prueba elegida solo es válida si se cumplen sus supuestos; un p-valor impecable sobre un supuesto violado induce a error. Estos son los supuestos que este árbol aborda directamente —de la inferencia paramétrica y del diseño del A/B test—; el tratamiento completo, con umbral y alcance de cada uno, es la guía de supuestos de la sesión.</w:t>
      </w:r>
    </w:p>
    <w:p>
      <w:pPr>
        <w:jc w:val="both"/>
      </w:pPr>
      <w:r>
        <w:t>Para la integridad de la asignación de un A/B test (</w:t>
      </w:r>
      <w:r>
        <w:rPr>
          <w:b/>
        </w:rPr>
        <w:t>SRM</w:t>
      </w:r>
      <w:r>
        <w:t xml:space="preserve">, </w:t>
      </w:r>
      <w:r>
        <w:rPr>
          <w:i/>
        </w:rPr>
        <w:t>sample ratio mismatch</w:t>
      </w:r>
      <w:r>
        <w:t xml:space="preserve">) se contrasta el </w:t>
      </w:r>
      <w:r>
        <w:rPr>
          <w:b/>
        </w:rPr>
        <w:t>conteo</w:t>
      </w:r>
      <w:r>
        <w:t xml:space="preserve"> observado de los grupos contra la razón esperada por diseño con una chi-cuadrado de bondad de ajuste:</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w:r>
              <w:drawing>
                <wp:inline xmlns:a="http://schemas.openxmlformats.org/drawingml/2006/main" xmlns:pic="http://schemas.openxmlformats.org/drawingml/2006/picture">
                  <wp:extent cx="4193770" cy="640080"/>
                  <wp:docPr id="28" name="Picture 28"/>
                  <wp:cNvGraphicFramePr>
                    <a:graphicFrameLocks noChangeAspect="1"/>
                  </wp:cNvGraphicFramePr>
                  <a:graphic>
                    <a:graphicData uri="http://schemas.openxmlformats.org/drawingml/2006/picture">
                      <pic:pic>
                        <pic:nvPicPr>
                          <pic:cNvPr id="0" name="eq_e3fb7db21239.png"/>
                          <pic:cNvPicPr/>
                        </pic:nvPicPr>
                        <pic:blipFill>
                          <a:blip r:embed="rId37"/>
                          <a:stretch>
                            <a:fillRect/>
                          </a:stretch>
                        </pic:blipFill>
                        <pic:spPr>
                          <a:xfrm>
                            <a:off x="0" y="0"/>
                            <a:ext cx="4193770" cy="640080"/>
                          </a:xfrm>
                          <a:prstGeom prst="rect"/>
                        </pic:spPr>
                      </pic:pic>
                    </a:graphicData>
                  </a:graphic>
                </wp:inline>
              </w:drawing>
            </w:r>
          </w:p>
        </w:tc>
        <w:tc>
          <w:tcPr>
            <w:tcW w:type="dxa" w:w="907"/>
            <w:tcMar>
              <w:top w:w="30" w:type="dxa"/>
              <w:bottom w:w="30" w:type="dxa"/>
              <w:start w:w="40" w:type="dxa"/>
              <w:end w:w="40" w:type="dxa"/>
            </w:tcMar>
            <w:vAlign w:val="center"/>
          </w:tcPr>
          <w:p>
            <w:pPr>
              <w:spacing w:after="0"/>
              <w:jc w:val="right"/>
            </w:pPr>
            <w:r>
              <w:rPr>
                <w:color w:val="2D2D2D"/>
                <w:sz w:val="21"/>
              </w:rPr>
              <w:t>(8)</w:t>
            </w:r>
          </w:p>
        </w:tc>
      </w:tr>
    </w:tbl>
    <w:p>
      <w:pPr>
        <w:spacing w:after="40"/>
      </w:pPr>
    </w:p>
    <w:p>
      <w:pPr>
        <w:jc w:val="both"/>
      </w:pPr>
      <w:r>
        <w:t>y se declara SRM si el p-valor de (8) es menor que 0,0005–0,001 (umbral estricto, no 0,05: con muestras muy grandes, desbalances triviales dan p pequeños).</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3249"/>
        <w:gridCol w:w="3249"/>
        <w:gridCol w:w="3249"/>
      </w:tblGrid>
      <w:tr>
        <w:tc>
          <w:tcPr>
            <w:tcW w:type="dxa" w:w="3249"/>
            <w:tcMar>
              <w:top w:w="60" w:type="dxa"/>
              <w:bottom w:w="60" w:type="dxa"/>
              <w:start w:w="110" w:type="dxa"/>
              <w:end w:w="110" w:type="dxa"/>
            </w:tcMar>
            <w:vAlign w:val="center"/>
            <w:shd w:val="clear" w:color="auto" w:fill="E4002B"/>
          </w:tcPr>
          <w:p>
            <w:pPr>
              <w:spacing w:after="0"/>
            </w:pPr>
            <w:r/>
            <w:r>
              <w:rPr>
                <w:b/>
                <w:color w:val="FFFFFF"/>
                <w:sz w:val="19"/>
              </w:rPr>
              <w:t>Supuesto (Parte en SUPUESTOS_S02)</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Cómo identificar</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Cómo corregir (con qué método)</w:t>
            </w:r>
          </w:p>
        </w:tc>
      </w:tr>
      <w:tr>
        <w:tc>
          <w:tcPr>
            <w:tcW w:type="dxa" w:w="3249"/>
            <w:tcMar>
              <w:top w:w="60" w:type="dxa"/>
              <w:bottom w:w="60" w:type="dxa"/>
              <w:start w:w="110" w:type="dxa"/>
              <w:end w:w="110" w:type="dxa"/>
            </w:tcMar>
            <w:vAlign w:val="center"/>
          </w:tcPr>
          <w:p>
            <w:pPr>
              <w:spacing w:after="0"/>
            </w:pPr>
            <w:r>
              <w:rPr>
                <w:sz w:val="19"/>
              </w:rPr>
            </w:r>
            <w:r>
              <w:rPr>
                <w:b/>
                <w:sz w:val="19"/>
              </w:rPr>
              <w:t>Normalidad / TCL</w:t>
            </w:r>
            <w:r>
              <w:rPr>
                <w:sz w:val="19"/>
              </w:rPr>
              <w:t xml:space="preserve"> (1.1)</w:t>
            </w:r>
          </w:p>
        </w:tc>
        <w:tc>
          <w:tcPr>
            <w:tcW w:type="dxa" w:w="3249"/>
            <w:tcMar>
              <w:top w:w="60" w:type="dxa"/>
              <w:bottom w:w="60" w:type="dxa"/>
              <w:start w:w="110" w:type="dxa"/>
              <w:end w:w="110" w:type="dxa"/>
            </w:tcMar>
            <w:vAlign w:val="center"/>
          </w:tcPr>
          <w:p>
            <w:pPr>
              <w:spacing w:after="0"/>
            </w:pPr>
            <w:r>
              <w:rPr>
                <w:sz w:val="19"/>
              </w:rPr>
            </w:r>
            <w:r>
              <w:rPr>
                <w:sz w:val="19"/>
              </w:rPr>
              <w:t>Q-Q + Shapiro-Wilk (p&lt;0,05 rechaza) leídos junto al tamaño muestral; con n≥30–40 por grupo el TCL la vuelve innecesaria</w:t>
            </w:r>
          </w:p>
        </w:tc>
        <w:tc>
          <w:tcPr>
            <w:tcW w:type="dxa" w:w="3249"/>
            <w:tcMar>
              <w:top w:w="60" w:type="dxa"/>
              <w:bottom w:w="60" w:type="dxa"/>
              <w:start w:w="110" w:type="dxa"/>
              <w:end w:w="110" w:type="dxa"/>
            </w:tcMar>
            <w:vAlign w:val="center"/>
          </w:tcPr>
          <w:p>
            <w:pPr>
              <w:spacing w:after="0"/>
            </w:pPr>
            <w:r>
              <w:rPr>
                <w:sz w:val="19"/>
              </w:rPr>
            </w:r>
            <w:r>
              <w:rPr>
                <w:sz w:val="19"/>
              </w:rPr>
              <w:t>No paramétrica (</w:t>
            </w:r>
            <w:r>
              <w:rPr>
                <w:b/>
                <w:sz w:val="19"/>
              </w:rPr>
              <w:t>Wilcoxon</w:t>
            </w:r>
            <w:r>
              <w:rPr>
                <w:sz w:val="19"/>
              </w:rPr>
              <w:t xml:space="preserve"> pareado / </w:t>
            </w:r>
            <w:r>
              <w:rPr>
                <w:b/>
                <w:sz w:val="19"/>
              </w:rPr>
              <w:t>Mann-Whitney</w:t>
            </w:r>
            <w:r>
              <w:rPr>
                <w:sz w:val="19"/>
              </w:rPr>
              <w:t xml:space="preserve"> independiente); </w:t>
            </w:r>
            <w:r>
              <w:rPr>
                <w:b/>
                <w:sz w:val="19"/>
              </w:rPr>
              <w:t>bootstrap</w:t>
            </w:r>
            <w:r>
              <w:rPr>
                <w:sz w:val="19"/>
              </w:rPr>
              <w:t>; transformar (log); apoyarse en el TCL con n grande</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Igualdad de varianzas</w:t>
            </w:r>
            <w:r>
              <w:rPr>
                <w:sz w:val="19"/>
              </w:rPr>
              <w:t xml:space="preserve"> (1.2)</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Boxplot/violín por grupo; </w:t>
            </w:r>
            <w:r>
              <w:rPr>
                <w:b/>
                <w:sz w:val="19"/>
              </w:rPr>
              <w:t>Levene</w:t>
            </w:r>
            <w:r>
              <w:rPr>
                <w:sz w:val="19"/>
              </w:rPr>
              <w:t xml:space="preserve"> / Brown-Forsythe (p&lt;0,05); cociente de desviaciones lejos de 1</w:t>
            </w:r>
          </w:p>
        </w:tc>
        <w:tc>
          <w:tcPr>
            <w:tcW w:type="dxa" w:w="3249"/>
            <w:tcMar>
              <w:top w:w="60" w:type="dxa"/>
              <w:bottom w:w="60" w:type="dxa"/>
              <w:start w:w="110" w:type="dxa"/>
              <w:end w:w="110" w:type="dxa"/>
            </w:tcMar>
            <w:vAlign w:val="center"/>
            <w:shd w:val="clear" w:color="auto" w:fill="FCEDEE"/>
          </w:tcPr>
          <w:p>
            <w:pPr>
              <w:spacing w:after="0"/>
            </w:pPr>
            <w:r>
              <w:rPr>
                <w:sz w:val="19"/>
              </w:rPr>
            </w:r>
            <w:r>
              <w:rPr>
                <w:b/>
                <w:sz w:val="19"/>
              </w:rPr>
              <w:t>Usar Welch por defecto</w:t>
            </w:r>
            <w:r>
              <w:rPr>
                <w:sz w:val="19"/>
              </w:rPr>
              <w:t xml:space="preserve"> (</w:t>
            </w:r>
            <w:r>
              <w:rPr>
                <w:rFonts w:ascii="Consolas" w:hAnsi="Consolas"/>
                <w:color w:val="9B1B30"/>
                <w:sz w:val="19"/>
              </w:rPr>
              <w:t>equal_var=False</w:t>
            </w:r>
            <w:r>
              <w:rPr>
                <w:sz w:val="19"/>
              </w:rPr>
              <w:t>); Mann-Whitney si además falla la normalidad; transformar (log)</w:t>
            </w:r>
          </w:p>
        </w:tc>
      </w:tr>
      <w:tr>
        <w:tc>
          <w:tcPr>
            <w:tcW w:type="dxa" w:w="3249"/>
            <w:tcMar>
              <w:top w:w="60" w:type="dxa"/>
              <w:bottom w:w="60" w:type="dxa"/>
              <w:start w:w="110" w:type="dxa"/>
              <w:end w:w="110" w:type="dxa"/>
            </w:tcMar>
            <w:vAlign w:val="center"/>
          </w:tcPr>
          <w:p>
            <w:pPr>
              <w:spacing w:after="0"/>
            </w:pPr>
            <w:r>
              <w:rPr>
                <w:sz w:val="19"/>
              </w:rPr>
            </w:r>
            <w:r>
              <w:rPr>
                <w:b/>
                <w:sz w:val="19"/>
              </w:rPr>
              <w:t>Independencia / diseño</w:t>
            </w:r>
            <w:r>
              <w:rPr>
                <w:sz w:val="19"/>
              </w:rPr>
              <w:t xml:space="preserve"> (1.3)</w:t>
            </w:r>
          </w:p>
        </w:tc>
        <w:tc>
          <w:tcPr>
            <w:tcW w:type="dxa" w:w="3249"/>
            <w:tcMar>
              <w:top w:w="60" w:type="dxa"/>
              <w:bottom w:w="60" w:type="dxa"/>
              <w:start w:w="110" w:type="dxa"/>
              <w:end w:w="110" w:type="dxa"/>
            </w:tcMar>
            <w:vAlign w:val="center"/>
          </w:tcPr>
          <w:p>
            <w:pPr>
              <w:spacing w:after="0"/>
            </w:pPr>
            <w:r>
              <w:rPr>
                <w:sz w:val="19"/>
              </w:rPr>
            </w:r>
            <w:r>
              <w:rPr>
                <w:sz w:val="19"/>
              </w:rPr>
              <w:t xml:space="preserve">Revisar el diseño: ¿mismos sujetos o clúster? En </w:t>
            </w:r>
            <w:r>
              <w:rPr>
                <w:rFonts w:ascii="Consolas" w:hAnsi="Consolas"/>
                <w:color w:val="9B1B30"/>
                <w:sz w:val="19"/>
              </w:rPr>
              <w:t>sleep</w:t>
            </w:r>
            <w:r>
              <w:rPr>
                <w:sz w:val="19"/>
              </w:rPr>
              <w:t xml:space="preserve">, cada </w:t>
            </w:r>
            <w:r>
              <w:rPr>
                <w:rFonts w:ascii="Consolas" w:hAnsi="Consolas"/>
                <w:color w:val="9B1B30"/>
                <w:sz w:val="19"/>
              </w:rPr>
              <w:t>ID</w:t>
            </w:r>
            <w:r>
              <w:rPr>
                <w:sz w:val="19"/>
              </w:rPr>
              <w:t xml:space="preserve"> aparece en ambos grupos ⇒ </w:t>
            </w:r>
            <w:r>
              <w:rPr>
                <w:b/>
                <w:sz w:val="19"/>
              </w:rPr>
              <w:t>pareado</w:t>
            </w:r>
          </w:p>
        </w:tc>
        <w:tc>
          <w:tcPr>
            <w:tcW w:type="dxa" w:w="3249"/>
            <w:tcMar>
              <w:top w:w="60" w:type="dxa"/>
              <w:bottom w:w="60" w:type="dxa"/>
              <w:start w:w="110" w:type="dxa"/>
              <w:end w:w="110" w:type="dxa"/>
            </w:tcMar>
            <w:vAlign w:val="center"/>
          </w:tcPr>
          <w:p>
            <w:pPr>
              <w:spacing w:after="0"/>
            </w:pPr>
            <w:r>
              <w:rPr>
                <w:sz w:val="19"/>
              </w:rPr>
            </w:r>
            <w:r>
              <w:rPr>
                <w:sz w:val="19"/>
              </w:rPr>
              <w:t xml:space="preserve">Elegir la </w:t>
            </w:r>
            <w:r>
              <w:rPr>
                <w:b/>
                <w:sz w:val="19"/>
              </w:rPr>
              <w:t>t pareada</w:t>
            </w:r>
            <w:r>
              <w:rPr>
                <w:sz w:val="19"/>
              </w:rPr>
              <w:t xml:space="preserve"> (1) vs. la de dos muestras (pregunta 3 del árbol); definir bien la unidad experimental</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Tamaño muestral y potencia</w:t>
            </w:r>
            <w:r>
              <w:rPr>
                <w:sz w:val="19"/>
              </w:rPr>
              <w:t xml:space="preserve"> (2.3)</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Cálculo ex-ante con (7) (MDE, α=0,05, potencia=0,8); un «no significativo» con poder&lt;0,8 es no concluyente</w:t>
            </w:r>
          </w:p>
        </w:tc>
        <w:tc>
          <w:tcPr>
            <w:tcW w:type="dxa" w:w="3249"/>
            <w:tcMar>
              <w:top w:w="60" w:type="dxa"/>
              <w:bottom w:w="60" w:type="dxa"/>
              <w:start w:w="110" w:type="dxa"/>
              <w:end w:w="110" w:type="dxa"/>
            </w:tcMar>
            <w:vAlign w:val="center"/>
            <w:shd w:val="clear" w:color="auto" w:fill="FCEDEE"/>
          </w:tcPr>
          <w:p>
            <w:pPr>
              <w:spacing w:after="0"/>
            </w:pPr>
            <w:r>
              <w:rPr>
                <w:sz w:val="19"/>
              </w:rPr>
            </w:r>
            <w:r>
              <w:rPr>
                <w:b/>
                <w:sz w:val="19"/>
              </w:rPr>
              <w:t>Dimensionar antes de lanzar</w:t>
            </w:r>
            <w:r>
              <w:rPr>
                <w:sz w:val="19"/>
              </w:rPr>
              <w:t>; elegir un MDE de negocio; cerrar la duración (defensa estructural contra el peeking)</w:t>
            </w:r>
          </w:p>
        </w:tc>
      </w:tr>
      <w:tr>
        <w:tc>
          <w:tcPr>
            <w:tcW w:type="dxa" w:w="3249"/>
            <w:tcMar>
              <w:top w:w="60" w:type="dxa"/>
              <w:bottom w:w="60" w:type="dxa"/>
              <w:start w:w="110" w:type="dxa"/>
              <w:end w:w="110" w:type="dxa"/>
            </w:tcMar>
            <w:vAlign w:val="center"/>
          </w:tcPr>
          <w:p>
            <w:pPr>
              <w:spacing w:after="0"/>
            </w:pPr>
            <w:r>
              <w:rPr>
                <w:sz w:val="19"/>
              </w:rPr>
            </w:r>
            <w:r>
              <w:rPr>
                <w:b/>
                <w:sz w:val="19"/>
              </w:rPr>
              <w:t>SRM — integridad de la asignación</w:t>
            </w:r>
            <w:r>
              <w:rPr>
                <w:sz w:val="19"/>
              </w:rPr>
              <w:t xml:space="preserve"> (2.4)</w:t>
            </w:r>
          </w:p>
        </w:tc>
        <w:tc>
          <w:tcPr>
            <w:tcW w:type="dxa" w:w="3249"/>
            <w:tcMar>
              <w:top w:w="60" w:type="dxa"/>
              <w:bottom w:w="60" w:type="dxa"/>
              <w:start w:w="110" w:type="dxa"/>
              <w:end w:w="110" w:type="dxa"/>
            </w:tcMar>
            <w:vAlign w:val="center"/>
          </w:tcPr>
          <w:p>
            <w:pPr>
              <w:spacing w:after="0"/>
            </w:pPr>
            <w:r>
              <w:rPr>
                <w:sz w:val="19"/>
              </w:rPr>
            </w:r>
            <w:r>
              <w:rPr>
                <w:b/>
                <w:sz w:val="19"/>
              </w:rPr>
              <w:t>Chi-cuadrado sobre los conteos</w:t>
            </w:r>
            <w:r>
              <w:rPr>
                <w:sz w:val="19"/>
              </w:rPr>
              <w:t xml:space="preserve"> (8) vs. la razón de diseño; SRM si p&lt;0,0005–0,001</w:t>
            </w:r>
          </w:p>
        </w:tc>
        <w:tc>
          <w:tcPr>
            <w:tcW w:type="dxa" w:w="3249"/>
            <w:tcMar>
              <w:top w:w="60" w:type="dxa"/>
              <w:bottom w:w="60" w:type="dxa"/>
              <w:start w:w="110" w:type="dxa"/>
              <w:end w:w="110" w:type="dxa"/>
            </w:tcMar>
            <w:vAlign w:val="center"/>
          </w:tcPr>
          <w:p>
            <w:pPr>
              <w:spacing w:after="0"/>
            </w:pPr>
            <w:r>
              <w:rPr>
                <w:sz w:val="19"/>
              </w:rPr>
            </w:r>
            <w:r>
              <w:rPr>
                <w:sz w:val="19"/>
              </w:rPr>
              <w:t xml:space="preserve">Investigar el </w:t>
            </w:r>
            <w:r>
              <w:rPr>
                <w:b/>
                <w:sz w:val="19"/>
              </w:rPr>
              <w:t>pipeline de asignación</w:t>
            </w:r>
            <w:r>
              <w:rPr>
                <w:sz w:val="19"/>
              </w:rPr>
              <w:t xml:space="preserve"> (causa raíz); descartar el resultado hasta explicar el desbalance</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Comparaciones múltiples / peeking</w:t>
            </w:r>
            <w:r>
              <w:rPr>
                <w:sz w:val="19"/>
              </w:rPr>
              <w:t xml:space="preserve"> (2.5)</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Contar métricas × segmentos × variantes; ¿n y duración fijados antes o parada al cruzar 0,05?</w:t>
            </w:r>
          </w:p>
        </w:tc>
        <w:tc>
          <w:tcPr>
            <w:tcW w:type="dxa" w:w="3249"/>
            <w:tcMar>
              <w:top w:w="60" w:type="dxa"/>
              <w:bottom w:w="60" w:type="dxa"/>
              <w:start w:w="110" w:type="dxa"/>
              <w:end w:w="110" w:type="dxa"/>
            </w:tcMar>
            <w:vAlign w:val="center"/>
            <w:shd w:val="clear" w:color="auto" w:fill="FCEDEE"/>
          </w:tcPr>
          <w:p>
            <w:pPr>
              <w:spacing w:after="0"/>
            </w:pPr>
            <w:r>
              <w:rPr>
                <w:sz w:val="19"/>
              </w:rPr>
            </w:r>
            <w:r>
              <w:rPr>
                <w:b/>
                <w:sz w:val="19"/>
              </w:rPr>
              <w:t>Bonferroni</w:t>
            </w:r>
            <w:r>
              <w:rPr>
                <w:sz w:val="19"/>
              </w:rPr>
              <w:t xml:space="preserve"> (</w:t>
            </w:r>
            <w:r>
              <w:rPr>
                <w:sz w:val="19"/>
              </w:rPr>
              <w:drawing>
                <wp:inline xmlns:a="http://schemas.openxmlformats.org/drawingml/2006/main" xmlns:pic="http://schemas.openxmlformats.org/drawingml/2006/picture">
                  <wp:extent cx="580876" cy="206692"/>
                  <wp:docPr id="29" name="Picture 29"/>
                  <wp:cNvGraphicFramePr>
                    <a:graphicFrameLocks noChangeAspect="1"/>
                  </wp:cNvGraphicFramePr>
                  <a:graphic>
                    <a:graphicData uri="http://schemas.openxmlformats.org/drawingml/2006/picture">
                      <pic:pic>
                        <pic:nvPicPr>
                          <pic:cNvPr id="0" name="eq_2019f26d1359.png"/>
                          <pic:cNvPicPr/>
                        </pic:nvPicPr>
                        <pic:blipFill>
                          <a:blip r:embed="rId38"/>
                          <a:stretch>
                            <a:fillRect/>
                          </a:stretch>
                        </pic:blipFill>
                        <pic:spPr>
                          <a:xfrm>
                            <a:off x="0" y="0"/>
                            <a:ext cx="580876" cy="206692"/>
                          </a:xfrm>
                          <a:prstGeom prst="rect"/>
                        </pic:spPr>
                      </pic:pic>
                    </a:graphicData>
                  </a:graphic>
                </wp:inline>
              </w:drawing>
            </w:r>
            <w:r>
              <w:rPr>
                <w:sz w:val="19"/>
              </w:rPr>
              <w:t xml:space="preserve">) o </w:t>
            </w:r>
            <w:r>
              <w:rPr>
                <w:b/>
                <w:sz w:val="19"/>
              </w:rPr>
              <w:t>FDR de Benjamini-Hochberg</w:t>
            </w:r>
            <w:r>
              <w:rPr>
                <w:sz w:val="19"/>
              </w:rPr>
              <w:t>; declarar la métrica primaria (OEC) de antemano</w:t>
            </w:r>
          </w:p>
        </w:tc>
      </w:tr>
    </w:tbl>
    <w:p>
      <w:pPr>
        <w:spacing w:after="40"/>
      </w:pPr>
    </w:p>
    <w:p>
      <w:pPr>
        <w:spacing w:before="80" w:after="160" w:line="288" w:lineRule="auto"/>
        <w:ind w:left="85" w:right="85"/>
        <w:shd w:val="clear" w:color="auto" w:fill="F4F4F4"/>
        <w:pBdr>
          <w:left w:val="single" w:sz="24" w:space="10" w:color="E4002B"/>
        </w:pBdr>
      </w:pPr>
      <w:r>
        <w:rPr>
          <w:b/>
          <w:color w:val="2D2D2D"/>
        </w:rPr>
        <w:t>Fuente única de supuestos.</w:t>
      </w:r>
      <w:r>
        <w:rPr>
          <w:color w:val="2D2D2D"/>
        </w:rPr>
        <w:t xml:space="preserve"> El desarrollo completo (Parte 1 inferencia paramétrica, Parte 2 A/B testing, Parte 3 EDA; cada supuesto con «qué es, cómo se identifica, cómo se corrige, alcance») está en la guía de supuestos de la sesión. El diagnóstico del EDA que informa qué prueba es válida se estructura con </w:t>
      </w:r>
      <w:hyperlink r:id="rId39">
        <w:r>
          <w:rPr>
            <w:color w:val="E4002B"/>
            <w:u w:val="single"/>
          </w:rPr>
          <w:t xml:space="preserve">`plantillas/reporte_eda_checklist.docx`</w:t>
        </w:r>
      </w:hyperlink>
      <w:r>
        <w:rPr>
          <w:color w:val="2D2D2D"/>
        </w:rPr>
        <w:t>.</w:t>
      </w:r>
    </w:p>
    <w:p>
      <w:pPr>
        <w:spacing w:before="40" w:after="40"/>
        <w:pBdr>
          <w:bottom w:val="single" w:sz="6" w:space="1" w:color="D9D9D9"/>
        </w:pBdr>
      </w:pPr>
    </w:p>
    <w:p>
      <w:pPr>
        <w:spacing w:before="80" w:after="80" w:line="288" w:lineRule="auto"/>
        <w:ind w:left="85" w:right="85"/>
        <w:shd w:val="clear" w:color="auto" w:fill="F4F4F4"/>
        <w:pBdr>
          <w:left w:val="single" w:sz="24" w:space="10" w:color="E4002B"/>
        </w:pBdr>
      </w:pPr>
      <w:r>
        <w:rPr>
          <w:b/>
          <w:color w:val="2D2D2D"/>
        </w:rPr>
        <w:t>Uso en la sesión.</w:t>
      </w:r>
      <w:r>
        <w:rPr>
          <w:color w:val="2D2D2D"/>
        </w:rPr>
        <w:t xml:space="preserve"> Este árbol guía la elección de la prueba en el cuaderno </w:t>
      </w:r>
      <w:r>
        <w:rPr>
          <w:rFonts w:ascii="Consolas" w:hAnsi="Consolas"/>
          <w:color w:val="2D2D2D"/>
          <w:sz w:val="19"/>
        </w:rPr>
        <w:t>notebook/S02_eda_inferencia_ab.ipynb</w:t>
      </w:r>
      <w:r>
        <w:rPr>
          <w:color w:val="2D2D2D"/>
        </w:rPr>
        <w:t xml:space="preserve"> y en el análisis del A/B test que sustenta el entregable </w:t>
      </w:r>
      <w:r>
        <w:rPr>
          <w:rFonts w:ascii="Consolas" w:hAnsi="Consolas"/>
          <w:color w:val="2D2D2D"/>
          <w:sz w:val="19"/>
        </w:rPr>
        <w:t>evaluacion/entregable.docx</w:t>
      </w:r>
      <w:r>
        <w:rPr>
          <w:color w:val="2D2D2D"/>
        </w:rPr>
        <w:t xml:space="preserve"> (drill: elegir la prueba correcta para 2 grupos, &gt; 2 grupos, variable categórica y datos no normales).</w:t>
      </w:r>
    </w:p>
    <w:p>
      <w:pPr>
        <w:spacing w:before="0" w:after="160" w:line="288" w:lineRule="auto"/>
        <w:ind w:left="85" w:right="85"/>
        <w:shd w:val="clear" w:color="auto" w:fill="F4F4F4"/>
        <w:pBdr>
          <w:left w:val="single" w:sz="24" w:space="10" w:color="E4002B"/>
        </w:pBdr>
      </w:pPr>
      <w:r>
        <w:rPr>
          <w:color w:val="2D2D2D"/>
        </w:rPr>
        <w:t xml:space="preserve">Fuentes: derivado de el glosario de la sesión (apartado B. Inferencia y apartado C. Comparaciones múltiples) e la guía de interpretación de resultados (Sección 2 procedimiento de lectura y Sección 5 errores frecuentes). Las fórmulas y sus tamaños de efecto derivan de el glosario de la sesión (Sección 16 t pareada, Sección 29 d de Cohen, Secciones 24-25 tamaño muestral y potencia) y la guía de supuestos de la sesión. Student (1908); Wasserstein &amp; Lazar (2016), </w:t>
      </w:r>
      <w:r>
        <w:rPr>
          <w:i/>
          <w:color w:val="2D2D2D"/>
        </w:rPr>
        <w:t>ASA Statement on p-Values</w:t>
      </w:r>
      <w:r>
        <w:rPr>
          <w:color w:val="2D2D2D"/>
        </w:rPr>
        <w:t xml:space="preserve">; Benjamini &amp; Hochberg (1995), </w:t>
      </w:r>
      <w:r>
        <w:rPr>
          <w:i/>
          <w:color w:val="2D2D2D"/>
        </w:rPr>
        <w:t>Controlling the False Discovery Rate</w:t>
      </w:r>
      <w:r>
        <w:rPr>
          <w:color w:val="2D2D2D"/>
        </w:rPr>
        <w:t>.</w:t>
      </w:r>
    </w:p>
    <w:sectPr w:rsidR="00FC693F" w:rsidRPr="0006063C" w:rsidSect="00034616">
      <w:headerReference w:type="default" r:id="rId40"/>
      <w:footerReference w:type="default" r:id="rId41"/>
      <w:pgSz w:w="12240" w:h="15840"/>
      <w:pgMar w:top="1134"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2" w:color="D9D9D9"/>
      </w:pBdr>
    </w:pPr>
    <w:r>
      <w:rPr>
        <w:color w:val="6E6E6E"/>
        <w:sz w:val="16"/>
      </w:rPr>
      <w:t xml:space="preserve">Herramientas para la Ciencia de Datos, UPC, Facultad de Negocios     |     </w:t>
    </w:r>
    <w:r>
      <w:rPr>
        <w:color w:val="6E6E6E"/>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E4002B"/>
      </w:pBdr>
    </w:pPr>
    <w:r>
      <w:rPr>
        <w:color w:val="6E6E6E"/>
        <w:sz w:val="16"/>
      </w:rPr>
      <w:t>Árbol de decisión: ¿qué prueba estadística usar?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hyperlink" Target="calculadora_tamano_muestral_ab.ipynb" TargetMode="External"/><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hyperlink" Target="plantillas/reporte_eda_checklist.docx" TargetMode="External"/><Relationship Id="rId40" Type="http://schemas.openxmlformats.org/officeDocument/2006/relationships/header" Target="header1.xm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