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S03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OLS simple sobre Advertising y recomendación gerencial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03 · Regresión lineal simple (OLS)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parejas durante el laboratorio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notebook/S03_ols.ipynb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3.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plantilla de reporte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plantillas/reporte_regresion_gerencial.docx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(estructura y comunicación para audiencia gerencial) y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plantillas/guia_residuales.docx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(lectura de los gráficos de residuales).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notebook/S03_ols.ipynb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Ajustar e interpretar un OLS simple (</w:t>
            </w: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sales ~ un canal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) sobre el dataset Advertising, evaluar su bondad de ajuste y la inferencia sobre β̂1, diagnosticar sus residuales, medir su error fuera de muestra y convertir los resultados en una recomendación gerencial documentada y honesta sobre sus límites.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(seis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3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Advertising (ISLR) y el caso de negocio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 dataset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Advertising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(ISLR) registra, para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200 mercados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distintos, la inversión publicitaria en tres canales —</w:t>
      </w:r>
      <w:r>
        <w:rPr>
          <w:rFonts w:ascii="Consolas" w:cs="Consolas" w:eastAsia="Consolas" w:hAnsi="Consolas"/>
          <w:b/>
          <w:bCs/>
          <w:color w:val="7A1526"/>
          <w:sz w:val="18"/>
          <w:szCs w:val="18"/>
        </w:rPr>
        <w:t xml:space="preserve">TV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b/>
          <w:bCs/>
          <w:color w:val="7A1526"/>
          <w:sz w:val="18"/>
          <w:szCs w:val="18"/>
        </w:rPr>
        <w:t xml:space="preserve">radio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prensa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(`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newspaper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`), todas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miles de USD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— y las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ventas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del producto (`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sales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`,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miles de unidades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). Ver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data/diccionario_datos.md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La gerencia de marketing pide una regla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cuantitativa y accionable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que relacione la inversión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un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canal con las ventas, para orientar el presupuesto del próximo periodo.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Ajustar, diagnosticar, evaluar fuera de muestra y comunicar el modelo — reporte máx. 3 páginas + anexos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Ajustar e interpretar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OLS simple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sales ~ un canal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un solo predictor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la regresión múltiple es materia de S04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no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se usa aquí)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emitir una recomendación gerencial documentada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El reporte (máx. 3 páginas + anexos del cuaderno) debe contener,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Objetivo y elección del canal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Declarar la pregunta de negocio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elegir un canal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radio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newspaper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justificar la elección (p. ej. por la fuerza de la asociación observada en el EDA de S02). Enunciar el contraste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H0: β1 = 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vs.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H1: β1 ≠ 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Ajuste e interpretación de los coeficientes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Reportar la recta ajustada ŷ = β̂0 + β̂1X 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interpretar β̂0 y β̂1 en unidades de negocio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(ventas esperadas por cada 1 000 USD invertidos en el canal). Advertir si β̂0 es interpretable o es solo un ancla matemática.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Cierre en dinero (recomendado):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traducir además β̂1 a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umbral de rentabilidad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—el margen de contribución por unidad a partir del cual el canal cubre su costo, 1000 / (β̂1 × 1000) USD/unidad— para expresar el coeficiente en la moneda de la decisión, no solo en unidades físicas.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Bondad de ajuste e inferencia sobre β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Reportar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R²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(y leer qué fracción de la varianza explica el canal), y la significancia de β̂1: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error estándar, t, p-valor e IC 95 %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Distinguir significancia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estadística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relevancia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práctica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Diagnóstico de residuales e identificación + corrección de un supuesto del OLS (obligatorio)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Graficar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residuales vs. valores ajustados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(y Q-Q plot). Diagnosticar visualmente linealidad y dispersión: ¿hay patrón (curva, abanico) o es una nube sin forma?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Identificar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cuál supuesto del OLS queda en riesgo —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linealidad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homocedasticidad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normalidad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o presencia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observaciones influyentes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(la lección de Anscombe)—, nombrar la patología si la hubiera y explicar su implicación,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proponer una corrección dentro del alcance de una regresión simple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transformar el predictor o la respuesta (log, √, término cuadrático) o, ante un caso influyente, un análisis de sensibilidad con y sin el dato. Apoyarse en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plantillas/guia_residuales.docx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en la guía de supuestos de la sesión.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Error fuera de muestra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Partición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train/test 80/20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(semilla 42). Reportar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RMSE y MAE en los dos conjuntos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—entrenamiento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prueba, las cuatro cifras— en unidades de negocio, y compararlos: ¿el modelo es estable o hay indicios de sobreajuste? Argumentar por qué el R² in-sample no basta.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Regla de redacción (se califica):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los valores de train/test dependen de la partición, así que cada cifra se cita con su etiqueta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«(semilla 42)»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la comparación se enuncia como «prácticamente iguales, sin sobreajuste». Afirmar que «el error de prueba es igual 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mejor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el de entrenamiento»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defendible: con otras semillas el test resulta peor (evidencia en la hoja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estabilidad_semillas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Recomendación gerencial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Recomendación clara y accionable sobre el canal analizado, sostenida en β̂1, R², error de prueba y diagnóstico. Comunicar en lenguaje de negocio, sin sobreinterpretar β̂0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sin confundir asociación con causalidad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Si se emplea un superlativo («el canal de mayor rendimiento», «el mejor canal»), debe declararse el metro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el que se mide —ajuste (R²) o efecto marginal por dólar—, porque el ranking cambia según cuál se use (ver la nota de honestidad al final).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Reporte en.md o.docx conforme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plantillas/reporte_regresion_gerencial.docx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notebook/S03_ols.ipynb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(β̂0, β̂1, R², SE/t/p/IC, RMSE/MAE de train y test)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resultados/S03_resultados.xlsx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figuras de resultados generadas 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(convención del curso).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(En el libro de referencia esas cantidades viven en las hojas </w:t>
            </w:r>
            <w:r>
              <w:rPr>
                <w:rFonts w:ascii="Consolas" w:cs="Consolas" w:eastAsia="Consolas" w:hAnsi="Consolas"/>
                <w:i/>
                <w:iCs/>
                <w:color w:val="7A1526"/>
                <w:sz w:val="17"/>
                <w:szCs w:val="17"/>
              </w:rPr>
              <w:t xml:space="preserve">advertising_ols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 —coeficientes y ajuste—, </w:t>
            </w:r>
            <w:r>
              <w:rPr>
                <w:rFonts w:ascii="Consolas" w:cs="Consolas" w:eastAsia="Consolas" w:hAnsi="Consolas"/>
                <w:i/>
                <w:iCs/>
                <w:color w:val="7A1526"/>
                <w:sz w:val="17"/>
                <w:szCs w:val="17"/>
              </w:rPr>
              <w:t xml:space="preserve">inferencia_advertising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 —SE, t, p, F e IC— y </w:t>
            </w:r>
            <w:r>
              <w:rPr>
                <w:rFonts w:ascii="Consolas" w:cs="Consolas" w:eastAsia="Consolas" w:hAnsi="Consolas"/>
                <w:i/>
                <w:iCs/>
                <w:color w:val="7A1526"/>
                <w:sz w:val="17"/>
                <w:szCs w:val="17"/>
              </w:rPr>
              <w:t xml:space="preserve">metricas_train_test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 —RMSE y MAE de train y test, R² de ambos, tamaños de partición y semilla—.)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en el reporte debe existir en el cuaderno o en el Excel de resultados,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y el reporte debe indicar dónde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(hoja y celda, o celda del cuaderno). Este requisito es el que califica C5.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seis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Seis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Interpretación de β̂0 y β̂1 en unidades de negocio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ajusta el modelo o no interpreta los coeficientes.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β̂0/β̂1 pero sin traducir a unidades de negocio o con unidades erradas.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Interpreta β̂1 correctamente en unidades de negocio y ubica β̂0.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Traduce β̂1 a "ventas por cada 1 000 USD invertidos" (idealmente con su umbral de rentabilidad en USD/unidad), advierte que β̂0 es ancla/base y no lo sobreinterpreta como predicción fuera de rango.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Bondad de ajuste (R²) e inferencia sobre β̂1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reporta R² ni la significancia de β̂1.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R²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el p-valor, sin leerlos.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R² y la significancia (t/p/IC) y los lee correctamente.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Lee R² (fracción explicada, alto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garantía / bajo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inútil), verifica que el IC de β̂1 excluye 0 y distingue significancia estadística de relevancia práctica.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Diagnóstico de residuales e identificación/corrección de un supuesto del OLS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grafica ni analiza residuales.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Muestra el gráfico sin interpretarlo.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Grafica residuales vs. ajustados, evalúa linealidad/dispersión e identifica el supuesto en riesgo.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Diagnostica el patrón correctamente (nube sana vs. curva vs. abanico),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identifica el supuesto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(linealidad/homocedasticidad/normalidad/influyentes) con su implicación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propone una corrección en el alcance de S03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(transformar X/Y o análisis de sensibilidad), con apoyo en la guía de residuales y en la guía de supuestos de la sesión.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Error fuera de muestra (train/test, RMSE/MAE)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hace partición ni reporta error de prueba.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Parte train/test pero reporta solo una métrica o solo in-sample.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RMSE y MAE en test (en unidades de negocio) y los compara con train.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las cuatro métricas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—RMSE y MAE de train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y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 test—, diagnostica estabilidad/sobreajuste con la afirmación correcta («prácticamente iguales, sin sobreajuste», no «el test es mejor»), etiqueta las cifras con su semilla y argumenta por qué el R² in-sample no basta.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Reproducibilidad y convención Excel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cuaderno reproducible ni Excel de resultados.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Cuaderno presente pero cifras no trazables o sin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Cuaderno reproducible y resultados volcados 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S03_resultados.xlsx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Resultados 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S03_resultados.xlsx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gráficas generadas al leer el Excel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toda cifra del reporte trazable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 su referencia explícita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(hoja/celda del Excel o celda del cuaderno).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Recomendación gerencial y comunicación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o incoherente con el análisis.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presente pero débilmente sustentada.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clara y coherente con los resultados.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Decisión accionable, sostenida en β̂1 + R² + error de prueba, en lenguaje de negocio,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 el metro declarado si se usa un superlativo de canal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sin sobreinterpretar β̂0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sin confundir asociación con causalidad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Honestidad analítica: el ranking de canales depende del metro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hay una única "respuesta correcta" de canal, pero la recomendación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declarar el criterio con el que mide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Con las tres regresiones simples separadas (hojas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advertising_canales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rendimiento_canales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resultados/S03_resultados.xlsx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):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Canal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Efecto marginal (uds por 1 000 USD)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Umbral de rentabilidad (USD/unidad)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R²</w:t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TV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47,5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21,04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0,612</w:t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radio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202,5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4,94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0,332</w:t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prensa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54,7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18,28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0,052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Lectura del ranking: ajuste, rendimiento marginal y qué es defendible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ajuste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destaca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TV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(R² 0,612 frente a 0,332 y 0,052): su recta describe mejor los datos.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rendimiento marginal por dólar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destaca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radio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(202,5 unidades por cada 1 000 USD, 4,26 veces lo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y un umbral de rentabilidad de 4,94 USD/unidad frente a los 21,04 que necesita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): medido así,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TV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es el peor de los tres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Ambas lecturas son ciertas y no se pueden mezclar en un superlativo aislado.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En consecuencia: recomendar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TV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defendible si se justifica por ajuste y error de prueba; recomendar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radio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igualmente defendible si se justifica por efecto marginal por dólar. Lo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defendible —y se penaliza— es escribir «el canal de mayor rendimiento por sol invertido» y nombrar 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porque esa frase usa el metro marginal, donde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pierde. Recomendar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prensa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como canal principal solo sería sostenible si el reporte lo demostrara con cifras (no es el caso: pierde por ambos metros salvo frente 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el marginal). Se evalúa el razonamiento, el uso correcto de la evidencia y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explicitación del criterio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, que se resuelve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en aula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, en la franja de 20 minutos del jueves de la Sesión 4, y cubre los nueve capítulos de S03, y con los ítems [S03] del banco de exámenes. Alimenta la fase «Modelado» del proyecto integrador. Lecturas de apoyo: ISLR cap. 3.1 y 3.3, en la bibliografía de la sesión.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S03: OLS simple sobre Advertising y recomendación gerencial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S03</dc:title>
  <dc:creator>UPC</dc:creator>
  <dc:description>OLS simple sobre Advertising y recomendación gerencial</dc:description>
  <cp:lastModifiedBy>Un-named</cp:lastModifiedBy>
  <cp:revision>1</cp:revision>
  <dcterms:created xsi:type="dcterms:W3CDTF">2026-09-11T14:13:47.655Z</dcterms:created>
  <dcterms:modified xsi:type="dcterms:W3CDTF">2026-09-11T14:13:47.655Z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