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S03</w:t>
      </w:r>
    </w:p>
    <w:p>
      <w:pPr>
        <w:pBdr>
          <w:bottom w:val="single" w:color="E4002B" w:sz="18" w:space="10"/>
        </w:pBdr>
        <w:spacing w:after="160"/>
      </w:pPr>
      <w:r>
        <w:rPr>
          <w:rFonts w:ascii="Cambria" w:cs="Cambria" w:eastAsia="Cambria" w:hAnsi="Cambria"/>
          <w:color w:val="7A1526"/>
          <w:sz w:val="28"/>
          <w:szCs w:val="28"/>
        </w:rPr>
        <w:t xml:space="preserve">Replicar la «regresión hacia la media» de Galton (1886) y llevarla a un caso de negocio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03 · Regresión lineal simple (OLS)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propia recomendación gerencial)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~97 min</w:t>
            </w:r>
            <w:r>
              <w:rPr>
                <w:rFonts w:ascii="Cambria" w:cs="Cambria" w:eastAsia="Cambria" w:hAnsi="Cambria"/>
                <w:color w:val="2D2D2D"/>
                <w:sz w:val="19"/>
                <w:szCs w:val="19"/>
              </w:rPr>
              <w:t xml:space="preserve"> de guion (7 pasos, 0–6: ~72 min los pasos 0–5 + ~25 min el paso 6) · reparto en dos clases: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capítulo 3.5 (bloque A2, min 145–180, ventana de aula </w:t>
            </w:r>
            <w:r>
              <w:rPr>
                <w:rFonts w:ascii="Cambria" w:cs="Cambria" w:eastAsia="Cambria" w:hAnsi="Cambria"/>
                <w:b/>
                <w:bCs/>
                <w:color w:val="2D2D2D"/>
                <w:sz w:val="19"/>
                <w:szCs w:val="19"/>
              </w:rPr>
              <w:t xml:space="preserve">35 min</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capítulo 3.8 (bloque B, min 65–105, ventana de aula </w:t>
            </w:r>
            <w:r>
              <w:rPr>
                <w:rFonts w:ascii="Cambria" w:cs="Cambria" w:eastAsia="Cambria" w:hAnsi="Cambria"/>
                <w:b/>
                <w:bCs/>
                <w:color w:val="2D2D2D"/>
                <w:sz w:val="19"/>
                <w:szCs w:val="19"/>
              </w:rPr>
              <w:t xml:space="preserve">40 min</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notebook/S03_ols.ipynb</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sección 4 (Replicación del paper seminal)</w:t>
            </w:r>
            <w:r>
              <w:rPr>
                <w:rFonts w:ascii="Cambria" w:cs="Cambria" w:eastAsia="Cambria" w:hAnsi="Cambria"/>
                <w:color w:val="2D2D2D"/>
                <w:sz w:val="19"/>
                <w:szCs w:val="19"/>
              </w:rPr>
              <w:t xml:space="preserve"> = pasos 0–5 · </w:t>
            </w:r>
            <w:r>
              <w:rPr>
                <w:rFonts w:ascii="Cambria" w:cs="Cambria" w:eastAsia="Cambria" w:hAnsi="Cambria"/>
                <w:b/>
                <w:bCs/>
                <w:color w:val="2D2D2D"/>
                <w:sz w:val="19"/>
                <w:szCs w:val="19"/>
              </w:rPr>
              <w:t xml:space="preserve">sección 5 (Laboratorio de negocio)</w:t>
            </w:r>
            <w:r>
              <w:rPr>
                <w:rFonts w:ascii="Cambria" w:cs="Cambria" w:eastAsia="Cambria" w:hAnsi="Cambria"/>
                <w:color w:val="2D2D2D"/>
                <w:sz w:val="19"/>
                <w:szCs w:val="19"/>
              </w:rPr>
              <w:t xml:space="preserve"> = paso 6</w:t>
            </w:r>
          </w:p>
        </w:tc>
      </w:tr>
    </w:tbl>
    <w:p>
      <w:pPr>
        <w:spacing w:after="150"/>
      </w:pPr>
    </w:p>
    <w:p>
      <w:pPr>
        <w:spacing w:after="180" w:line="265"/>
      </w:pPr>
      <w:r>
        <w:rPr>
          <w:rFonts w:ascii="Cambria" w:cs="Cambria" w:eastAsia="Cambria" w:hAnsi="Cambria"/>
          <w:color w:val="3A3A3A"/>
          <w:sz w:val="18"/>
          <w:szCs w:val="18"/>
        </w:rPr>
        <w:t xml:space="preserve">Este laboratorio sigue el </w:t>
      </w:r>
      <w:r>
        <w:rPr>
          <w:rFonts w:ascii="Cambria" w:cs="Cambria" w:eastAsia="Cambria" w:hAnsi="Cambria"/>
          <w:b/>
          <w:bCs/>
          <w:color w:val="3A3A3A"/>
          <w:sz w:val="18"/>
          <w:szCs w:val="18"/>
        </w:rPr>
        <w:t xml:space="preserve">protocolo de replicación de la S01</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pasos 0–5</w:t>
      </w:r>
      <w:r>
        <w:rPr>
          <w:rFonts w:ascii="Cambria" w:cs="Cambria" w:eastAsia="Cambria" w:hAnsi="Cambria"/>
          <w:color w:val="3A3A3A"/>
          <w:sz w:val="18"/>
          <w:szCs w:val="18"/>
        </w:rPr>
        <w:t xml:space="preserve">): ver la guía de laboratorio de la S01, Guia Laboratorio S01.docx (Sesiones/S01 Roadmap/laboratorio/), Parte A, «Sección A.2», y añade un </w:t>
      </w:r>
      <w:r>
        <w:rPr>
          <w:rFonts w:ascii="Cambria" w:cs="Cambria" w:eastAsia="Cambria" w:hAnsi="Cambria"/>
          <w:b/>
          <w:bCs/>
          <w:color w:val="3A3A3A"/>
          <w:sz w:val="18"/>
          <w:szCs w:val="18"/>
        </w:rPr>
        <w:t xml:space="preserve">paso 6 propio de esta sesión</w:t>
      </w:r>
      <w:r>
        <w:rPr>
          <w:rFonts w:ascii="Cambria" w:cs="Cambria" w:eastAsia="Cambria" w:hAnsi="Cambria"/>
          <w:color w:val="3A3A3A"/>
          <w:sz w:val="18"/>
          <w:szCs w:val="18"/>
        </w:rPr>
        <w:t xml:space="preserve"> —el traslado a un caso de negocio—: </w:t>
      </w:r>
      <w:r>
        <w:rPr>
          <w:rFonts w:ascii="Cambria" w:cs="Cambria" w:eastAsia="Cambria" w:hAnsi="Cambria"/>
          <w:b/>
          <w:bCs/>
          <w:color w:val="3A3A3A"/>
          <w:sz w:val="18"/>
          <w:szCs w:val="18"/>
        </w:rPr>
        <w:t xml:space="preserve">siete pasos en total (0–6)</w:t>
      </w:r>
      <w:r>
        <w:rPr>
          <w:rFonts w:ascii="Cambria" w:cs="Cambria" w:eastAsia="Cambria" w:hAnsi="Cambria"/>
          <w:color w:val="3A3A3A"/>
          <w:sz w:val="18"/>
          <w:szCs w:val="18"/>
        </w:rPr>
        <w:t xml:space="preserve">. Ningún paso del laboratorio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el </w:t>
      </w:r>
      <w:r>
        <w:rPr>
          <w:rFonts w:ascii="Cambria" w:cs="Cambria" w:eastAsia="Cambria" w:hAnsi="Cambria"/>
          <w:b/>
          <w:bCs/>
          <w:color w:val="3A3A3A"/>
          <w:sz w:val="18"/>
          <w:szCs w:val="18"/>
        </w:rPr>
        <w:t xml:space="preserve">control corto</w:t>
      </w:r>
      <w:r>
        <w:rPr>
          <w:rFonts w:ascii="Cambria" w:cs="Cambria" w:eastAsia="Cambria" w:hAnsi="Cambria"/>
          <w:color w:val="3A3A3A"/>
          <w:sz w:val="18"/>
          <w:szCs w:val="18"/>
        </w:rPr>
        <w:t xml:space="preserve"> se resuelve en la franja de </w:t>
      </w:r>
      <w:r>
        <w:rPr>
          <w:rFonts w:ascii="Cambria" w:cs="Cambria" w:eastAsia="Cambria" w:hAnsi="Cambria"/>
          <w:b/>
          <w:bCs/>
          <w:color w:val="3A3A3A"/>
          <w:sz w:val="18"/>
          <w:szCs w:val="18"/>
        </w:rPr>
        <w:t xml:space="preserve">20 minutos del jueves siguiente</w:t>
      </w:r>
      <w:r>
        <w:rPr>
          <w:rFonts w:ascii="Cambria" w:cs="Cambria" w:eastAsia="Cambria" w:hAnsi="Cambria"/>
          <w:color w:val="3A3A3A"/>
          <w:sz w:val="18"/>
          <w:szCs w:val="18"/>
        </w:rPr>
        <w:t xml:space="preserve"> y cubre los </w:t>
      </w:r>
      <w:r>
        <w:rPr>
          <w:rFonts w:ascii="Cambria" w:cs="Cambria" w:eastAsia="Cambria" w:hAnsi="Cambria"/>
          <w:b/>
          <w:bCs/>
          <w:color w:val="3A3A3A"/>
          <w:sz w:val="18"/>
          <w:szCs w:val="18"/>
        </w:rPr>
        <w:t xml:space="preserve">nueve capítulos</w:t>
      </w:r>
      <w:r>
        <w:rPr>
          <w:rFonts w:ascii="Cambria" w:cs="Cambria" w:eastAsia="Cambria" w:hAnsi="Cambria"/>
          <w:color w:val="3A3A3A"/>
          <w:sz w:val="18"/>
          <w:szCs w:val="18"/>
        </w:rPr>
        <w:t xml:space="preserve"> de la sesión, de ambos días.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la pendiente de la recta de Galton (</w:t>
            </w:r>
            <w:r>
              <w:rPr>
                <w:rFonts w:ascii="Consolas" w:cs="Consolas" w:eastAsia="Consolas" w:hAnsi="Consolas"/>
                <w:color w:val="FFFFFF"/>
                <w:sz w:val="19"/>
                <w:szCs w:val="19"/>
              </w:rPr>
              <w:t xml:space="preserve">childHeight ~ midparentHeight</w:t>
            </w:r>
            <w:r>
              <w:rPr>
                <w:rFonts w:ascii="Cambria" w:cs="Cambria" w:eastAsia="Cambria" w:hAnsi="Cambria"/>
                <w:color w:val="FFFFFF"/>
                <w:sz w:val="21"/>
                <w:szCs w:val="21"/>
              </w:rPr>
              <w:t xml:space="preserve">) sobre su dataset original y comprobar que cae dentro de la tolerancia declarado para la sesión de la sesión; entender por qué una pendiente menor que 1 significa «regresión hacia la media» y cómo ese hallazgo de 1886 es el ancestro directo de la pendiente β₁ del OLS moderno; reconocer el papel del ajuste por género (el factor 1,08 de Galton) y qué cambia al aplicarlo también a la respuesta; y, finalmente, aplicar el mismo modelo de un predictor —ajuste OLS, interpretación de β en unidades de negocio, R², diagnóstico de residuales y error fuera de muestra (train/test)— al dataset </w:t>
            </w:r>
            <w:r>
              <w:rPr>
                <w:rFonts w:ascii="Cambria" w:cs="Cambria" w:eastAsia="Cambria" w:hAnsi="Cambria"/>
                <w:i/>
                <w:iCs/>
                <w:color w:val="FFFFFF"/>
                <w:sz w:val="21"/>
                <w:szCs w:val="21"/>
              </w:rPr>
              <w:t xml:space="preserve">Advertising</w:t>
            </w:r>
            <w:r>
              <w:rPr>
                <w:rFonts w:ascii="Cambria" w:cs="Cambria" w:eastAsia="Cambria" w:hAnsi="Cambria"/>
                <w:color w:val="FFFFFF"/>
                <w:sz w:val="21"/>
                <w:szCs w:val="21"/>
              </w:rPr>
              <w:t xml:space="preserve"> para emitir una recomendación gerencial documentada. Al cerrar el laboratorio se cuenta con una réplica más del portafolio del curso y con el borrador del entregable evaluable de la S03.</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Galton (1886),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~72 min de guion · 35 min de aula</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Advertising (ventas ~ TV),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~25 min de guion · 40 min de aula</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12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OLS: recta de mínimos cuadrados, coeficientes β₀/β₁, supuestos de Gauss-Markov, análisis de residuales, cuarteto de Anscombe, R², inferencia sobre β, intervalos de confianza y de predicción). Se asume Python y pandas básicos (prerequisito del curso; no se re-enseñan).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notebook/S03_ols.ipynb</w:t>
      </w:r>
      <w:r>
        <w:rPr>
          <w:rFonts w:ascii="Cambria" w:cs="Cambria" w:eastAsia="Cambria" w:hAnsi="Cambria"/>
          <w:color w:val="2D2D2D"/>
          <w:sz w:val="19"/>
          <w:szCs w:val="19"/>
        </w:rPr>
        <w:t xml:space="preserve"> — motor del laboratorio: sección 4 (replicación, pasos 0–5) y sección 5 (negocio,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GaltonFamilies.csv (réplica) y Advertising.csv (negocio) de forma idempotente, con verificación de esquema y checksum.</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columna de ambos datasets, con la advertencia de diseño sobre el género y la fórmula de la mid-parent.</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Plantilla de reporte de regresión gerencial: </w:t>
      </w:r>
      <w:r>
        <w:rPr>
          <w:rFonts w:ascii="Consolas" w:cs="Consolas" w:eastAsia="Consolas" w:hAnsi="Consolas"/>
          <w:color w:val="7A1526"/>
          <w:sz w:val="17"/>
          <w:szCs w:val="17"/>
        </w:rPr>
        <w:t xml:space="preserve">plantillas/reporte_regresion_gerencial.docx</w:t>
      </w:r>
      <w:r>
        <w:rPr>
          <w:rFonts w:ascii="Cambria" w:cs="Cambria" w:eastAsia="Cambria" w:hAnsi="Cambria"/>
          <w:color w:val="2D2D2D"/>
          <w:sz w:val="19"/>
          <w:szCs w:val="19"/>
        </w:rPr>
        <w:t xml:space="preserve"> — estructura del reporte que materializa el entregable (β₀/β₁, R², residuales, error test, recomendación).</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Guía de lectura de residuales: </w:t>
      </w:r>
      <w:r>
        <w:rPr>
          <w:rFonts w:ascii="Consolas" w:cs="Consolas" w:eastAsia="Consolas" w:hAnsi="Consolas"/>
          <w:color w:val="7A1526"/>
          <w:sz w:val="17"/>
          <w:szCs w:val="17"/>
        </w:rPr>
        <w:t xml:space="preserve">plantillas/guia_residuales.docx</w:t>
      </w:r>
      <w:r>
        <w:rPr>
          <w:rFonts w:ascii="Cambria" w:cs="Cambria" w:eastAsia="Cambria" w:hAnsi="Cambria"/>
          <w:color w:val="2D2D2D"/>
          <w:sz w:val="19"/>
          <w:szCs w:val="19"/>
        </w:rPr>
        <w:t xml:space="preserve"> — guía de una página para diagnosticar los gráficos de residuales (pasos 5 y 6, y drill 3).</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Hoja de Excel con la regresión configurada: </w:t>
      </w:r>
      <w:r>
        <w:rPr>
          <w:rFonts w:ascii="Consolas" w:cs="Consolas" w:eastAsia="Consolas" w:hAnsi="Consolas"/>
          <w:color w:val="7A1526"/>
          <w:sz w:val="17"/>
          <w:szCs w:val="17"/>
        </w:rPr>
        <w:t xml:space="preserve">plantillas/regresion_excel_configurada.xlsx</w:t>
      </w:r>
      <w:r>
        <w:rPr>
          <w:rFonts w:ascii="Cambria" w:cs="Cambria" w:eastAsia="Cambria" w:hAnsi="Cambria"/>
          <w:color w:val="2D2D2D"/>
          <w:sz w:val="19"/>
          <w:szCs w:val="19"/>
        </w:rPr>
        <w:t xml:space="preserve"> — puente Excel</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Python </w:t>
      </w:r>
      <w:r>
        <w:rPr>
          <w:rFonts w:ascii="Cambria" w:cs="Cambria" w:eastAsia="Cambria" w:hAnsi="Cambria"/>
          <w:b/>
          <w:bCs/>
          <w:color w:val="2D2D2D"/>
          <w:sz w:val="19"/>
          <w:szCs w:val="19"/>
        </w:rPr>
        <w:t xml:space="preserve">sobre los datos de</w:t>
      </w:r>
      <w:r>
        <w:rPr>
          <w:rFonts w:ascii="Cambria" w:cs="Cambria" w:eastAsia="Cambria" w:hAnsi="Cambria"/>
          <w:color w:val="2D2D2D"/>
          <w:sz w:val="19"/>
          <w:szCs w:val="19"/>
        </w:rPr>
        <w:t xml:space="preserve"> </w:t>
      </w:r>
      <w:r>
        <w:rPr>
          <w:rFonts w:ascii="Cambria" w:cs="Cambria" w:eastAsia="Cambria" w:hAnsi="Cambria"/>
          <w:b/>
          <w:bCs/>
          <w:i/>
          <w:iCs/>
          <w:color w:val="2D2D2D"/>
          <w:sz w:val="19"/>
          <w:szCs w:val="19"/>
        </w:rPr>
        <w:t xml:space="preserve">Advertising</w:t>
      </w:r>
      <w:r>
        <w:rPr>
          <w:rFonts w:ascii="Cambria" w:cs="Cambria" w:eastAsia="Cambria" w:hAnsi="Cambria"/>
          <w:color w:val="2D2D2D"/>
          <w:sz w:val="19"/>
          <w:szCs w:val="19"/>
        </w:rPr>
        <w:t xml:space="preserve"> (TV, sales; 200 filas); resuelve la regresión con </w:t>
      </w:r>
      <w:r>
        <w:rPr>
          <w:rFonts w:ascii="Cambria" w:cs="Cambria" w:eastAsia="Cambria" w:hAnsi="Cambria"/>
          <w:b/>
          <w:bCs/>
          <w:color w:val="2D2D2D"/>
          <w:sz w:val="19"/>
          <w:szCs w:val="19"/>
        </w:rPr>
        <w:t xml:space="preserve">funciones de hoja</w:t>
      </w:r>
      <w:r>
        <w:rPr>
          <w:rFonts w:ascii="Cambria" w:cs="Cambria" w:eastAsia="Cambria" w:hAnsi="Cambria"/>
          <w:color w:val="2D2D2D"/>
          <w:sz w:val="19"/>
          <w:szCs w:val="19"/>
        </w:rPr>
        <w:t xml:space="preserve"> (SLOPE, INTERCEPT, PEARSON, RSQ, COUNT) y una matriz </w:t>
      </w:r>
      <w:r>
        <w:rPr>
          <w:rFonts w:ascii="Cambria" w:cs="Cambria" w:eastAsia="Cambria" w:hAnsi="Cambria"/>
          <w:b/>
          <w:bCs/>
          <w:color w:val="2D2D2D"/>
          <w:sz w:val="19"/>
          <w:szCs w:val="19"/>
        </w:rPr>
        <w:t xml:space="preserve">LINEST</w:t>
      </w:r>
      <w:r>
        <w:rPr>
          <w:rFonts w:ascii="Cambria" w:cs="Cambria" w:eastAsia="Cambria" w:hAnsi="Cambria"/>
          <w:color w:val="2D2D2D"/>
          <w:sz w:val="19"/>
          <w:szCs w:val="19"/>
        </w:rPr>
        <w:t xml:space="preserve"> 5×2. No es la salida del complemento «Análisis de datos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Regresión» (no trae tabla ANOVA ni SE/t/p/IC): es el mismo modelo resuelto con fórmulas visibles, que es lo que se quiere mostrar. Se usa en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no en el 3.</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recomendación gerencial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(interpretar β₁ en unidades de negocio; IC de la media vs. de predicción; diagnosticar un residual curvo).</w:t>
      </w:r>
    </w:p>
    <w:p>
      <w:pPr>
        <w:spacing w:after="110" w:line="265"/>
      </w:pPr>
      <w:r>
        <w:rPr>
          <w:rFonts w:ascii="Calibri" w:cs="Calibri" w:eastAsia="Calibri" w:hAnsi="Calibri"/>
          <w:b/>
          <w:bCs/>
          <w:color w:val="7A1526"/>
          <w:sz w:val="18"/>
          <w:szCs w:val="18"/>
        </w:rPr>
        <w:t xml:space="preserve">0.10   </w:t>
      </w:r>
      <w:r>
        <w:rPr>
          <w:rFonts w:ascii="Cambria" w:cs="Cambria" w:eastAsia="Cambria" w:hAnsi="Cambria"/>
          <w:color w:val="2D2D2D"/>
          <w:sz w:val="19"/>
          <w:szCs w:val="19"/>
        </w:rPr>
        <w:t xml:space="preserve">El </w:t>
      </w:r>
      <w:r>
        <w:rPr>
          <w:rFonts w:ascii="Cambria" w:cs="Cambria" w:eastAsia="Cambria" w:hAnsi="Cambria"/>
          <w:b/>
          <w:bCs/>
          <w:color w:val="2D2D2D"/>
          <w:sz w:val="19"/>
          <w:szCs w:val="19"/>
        </w:rPr>
        <w:t xml:space="preserve">control corto</w:t>
      </w:r>
      <w:r>
        <w:rPr>
          <w:rFonts w:ascii="Cambria" w:cs="Cambria" w:eastAsia="Cambria" w:hAnsi="Cambria"/>
          <w:color w:val="2D2D2D"/>
          <w:sz w:val="19"/>
          <w:szCs w:val="19"/>
        </w:rPr>
        <w:t xml:space="preserve"> de S03 se resuelve en la franja de </w:t>
      </w:r>
      <w:r>
        <w:rPr>
          <w:rFonts w:ascii="Cambria" w:cs="Cambria" w:eastAsia="Cambria" w:hAnsi="Cambria"/>
          <w:b/>
          <w:bCs/>
          <w:color w:val="2D2D2D"/>
          <w:sz w:val="19"/>
          <w:szCs w:val="19"/>
        </w:rPr>
        <w:t xml:space="preserve">20 minutos del jueves siguiente</w:t>
      </w:r>
      <w:r>
        <w:rPr>
          <w:rFonts w:ascii="Cambria" w:cs="Cambria" w:eastAsia="Cambria" w:hAnsi="Cambria"/>
          <w:color w:val="2D2D2D"/>
          <w:sz w:val="19"/>
          <w:szCs w:val="19"/>
        </w:rPr>
        <w:t xml:space="preserve"> y cubre los </w:t>
      </w:r>
      <w:r>
        <w:rPr>
          <w:rFonts w:ascii="Cambria" w:cs="Cambria" w:eastAsia="Cambria" w:hAnsi="Cambria"/>
          <w:b/>
          <w:bCs/>
          <w:color w:val="2D2D2D"/>
          <w:sz w:val="19"/>
          <w:szCs w:val="19"/>
        </w:rPr>
        <w:t xml:space="preserve">nueve capítulos</w:t>
      </w:r>
      <w:r>
        <w:rPr>
          <w:rFonts w:ascii="Cambria" w:cs="Cambria" w:eastAsia="Cambria" w:hAnsi="Cambria"/>
          <w:color w:val="2D2D2D"/>
          <w:sz w:val="19"/>
          <w:szCs w:val="19"/>
        </w:rPr>
        <w:t xml:space="preserve"> de la sesión, de ambos días; no es tarea domiciliaria.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sí es trabajo en casa: se construye sobre el mismo cuaderno una vez terminada la sesión, con rúbrica vigesimal 0–20.</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GALTON (1886)</w:t>
      </w:r>
    </w:p>
    <w:p>
      <w:pPr>
        <w:keepNext/>
        <w:pBdr>
          <w:bottom w:val="single" w:color="E4002B" w:sz="14" w:space="8"/>
        </w:pBdr>
        <w:spacing w:after="140"/>
      </w:pPr>
      <w:r>
        <w:rPr>
          <w:rFonts w:ascii="Cambria" w:cs="Cambria" w:eastAsia="Cambria" w:hAnsi="Cambria"/>
          <w:i/>
          <w:iCs/>
          <w:color w:val="6E6E6E"/>
          <w:sz w:val="19"/>
          <w:szCs w:val="19"/>
        </w:rPr>
        <w:t xml:space="preserve">Pasos 0–5 · jueves, capítulo 3.5 (sección 4 del cuaderno)</w:t>
      </w:r>
      <w:r>
        <w:rPr>
          <w:rFonts w:ascii="Cambria" w:cs="Cambria" w:eastAsia="Cambria" w:hAnsi="Cambria"/>
          <w:b/>
          <w:bCs/>
          <w:color w:val="7A1526"/>
          <w:sz w:val="19"/>
          <w:szCs w:val="19"/>
        </w:rPr>
        <w:t xml:space="preserve">   |   ~72 min de guion · 35 min de aula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1886</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Francis Galton</w:t>
            </w:r>
            <w:r>
              <w:rPr>
                <w:rFonts w:ascii="Cambria" w:cs="Cambria" w:eastAsia="Cambria" w:hAnsi="Cambria"/>
                <w:color w:val="2D2D2D"/>
                <w:sz w:val="19"/>
                <w:szCs w:val="19"/>
              </w:rPr>
              <w:t xml:space="preserve"> publicó </w:t>
            </w:r>
            <w:r>
              <w:rPr>
                <w:rFonts w:ascii="Cambria" w:cs="Cambria" w:eastAsia="Cambria" w:hAnsi="Cambria"/>
                <w:i/>
                <w:iCs/>
                <w:color w:val="2D2D2D"/>
                <w:sz w:val="19"/>
                <w:szCs w:val="19"/>
              </w:rPr>
              <w:t xml:space="preserve">Regression Towards Mediocrity in Hereditary Stature</w:t>
            </w:r>
            <w:r>
              <w:rPr>
                <w:rFonts w:ascii="Cambria" w:cs="Cambria" w:eastAsia="Cambria" w:hAnsi="Cambria"/>
                <w:color w:val="2D2D2D"/>
                <w:sz w:val="19"/>
                <w:szCs w:val="19"/>
              </w:rPr>
              <w:t xml:space="preserve"> (Journal of the Anthropological Institute of Great Britain and Ireland, 15, 246–263). Reunió las estaturas de </w:t>
            </w:r>
            <w:r>
              <w:rPr>
                <w:rFonts w:ascii="Cambria" w:cs="Cambria" w:eastAsia="Cambria" w:hAnsi="Cambria"/>
                <w:b/>
                <w:bCs/>
                <w:color w:val="2D2D2D"/>
                <w:sz w:val="19"/>
                <w:szCs w:val="19"/>
              </w:rPr>
              <w:t xml:space="preserve">205 familias</w:t>
            </w:r>
            <w:r>
              <w:rPr>
                <w:rFonts w:ascii="Cambria" w:cs="Cambria" w:eastAsia="Cambria" w:hAnsi="Cambria"/>
                <w:color w:val="2D2D2D"/>
                <w:sz w:val="19"/>
                <w:szCs w:val="19"/>
              </w:rPr>
              <w:t xml:space="preserve"> —padre, madre e hijos adultos— y observó que los hijos de padres extremadamente altos tienden a ser altos, pero </w:t>
            </w:r>
            <w:r>
              <w:rPr>
                <w:rFonts w:ascii="Cambria" w:cs="Cambria" w:eastAsia="Cambria" w:hAnsi="Cambria"/>
                <w:b/>
                <w:bCs/>
                <w:color w:val="2D2D2D"/>
                <w:sz w:val="19"/>
                <w:szCs w:val="19"/>
              </w:rPr>
              <w:t xml:space="preserve">menos</w:t>
            </w:r>
            <w:r>
              <w:rPr>
                <w:rFonts w:ascii="Cambria" w:cs="Cambria" w:eastAsia="Cambria" w:hAnsi="Cambria"/>
                <w:color w:val="2D2D2D"/>
                <w:sz w:val="19"/>
                <w:szCs w:val="19"/>
              </w:rPr>
              <w:t xml:space="preserve"> que sus padres, y los hijos de padres muy bajos tienden a ser bajos, pero </w:t>
            </w:r>
            <w:r>
              <w:rPr>
                <w:rFonts w:ascii="Cambria" w:cs="Cambria" w:eastAsia="Cambria" w:hAnsi="Cambria"/>
                <w:b/>
                <w:bCs/>
                <w:color w:val="2D2D2D"/>
                <w:sz w:val="19"/>
                <w:szCs w:val="19"/>
              </w:rPr>
              <w:t xml:space="preserve">menos</w:t>
            </w:r>
            <w:r>
              <w:rPr>
                <w:rFonts w:ascii="Cambria" w:cs="Cambria" w:eastAsia="Cambria" w:hAnsi="Cambria"/>
                <w:color w:val="2D2D2D"/>
                <w:sz w:val="19"/>
                <w:szCs w:val="19"/>
              </w:rPr>
              <w:t xml:space="preserve"> que ellos: las estaturas de la descendencia «regresan hacia la mediocridad» (la media). De ahí nació el término </w:t>
            </w:r>
            <w:r>
              <w:rPr>
                <w:rFonts w:ascii="Cambria" w:cs="Cambria" w:eastAsia="Cambria" w:hAnsi="Cambria"/>
                <w:b/>
                <w:bCs/>
                <w:color w:val="2D2D2D"/>
                <w:sz w:val="19"/>
                <w:szCs w:val="19"/>
              </w:rPr>
              <w:t xml:space="preserve">«regresión»</w:t>
            </w:r>
            <w:r>
              <w:rPr>
                <w:rFonts w:ascii="Cambria" w:cs="Cambria" w:eastAsia="Cambria" w:hAnsi="Cambria"/>
                <w:color w:val="2D2D2D"/>
                <w:sz w:val="19"/>
                <w:szCs w:val="19"/>
              </w:rPr>
              <w:t xml:space="preserve">. Galton cuantificó el efecto con el </w:t>
            </w:r>
            <w:r>
              <w:rPr>
                <w:rFonts w:ascii="Cambria" w:cs="Cambria" w:eastAsia="Cambria" w:hAnsi="Cambria"/>
                <w:i/>
                <w:iCs/>
                <w:color w:val="2D2D2D"/>
                <w:sz w:val="19"/>
                <w:szCs w:val="19"/>
              </w:rPr>
              <w:t xml:space="preserve">ratio of filial regression</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dos tercios (0,667)</w:t>
            </w:r>
            <w:r>
              <w:rPr>
                <w:rFonts w:ascii="Cambria" w:cs="Cambria" w:eastAsia="Cambria" w:hAnsi="Cambria"/>
                <w:color w:val="2D2D2D"/>
                <w:sz w:val="19"/>
                <w:szCs w:val="19"/>
              </w:rPr>
              <w:t xml:space="preserve">, el ancestro directo de la pendiente β₁ del OLS. El dataset GaltonFamilies (paquete R HistData) fue reconstruido de los cuadernos originales de Galton por </w:t>
            </w:r>
            <w:r>
              <w:rPr>
                <w:rFonts w:ascii="Cambria" w:cs="Cambria" w:eastAsia="Cambria" w:hAnsi="Cambria"/>
                <w:b/>
                <w:bCs/>
                <w:color w:val="2D2D2D"/>
                <w:sz w:val="19"/>
                <w:szCs w:val="19"/>
              </w:rPr>
              <w:t xml:space="preserve">Hanley (2004)</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«Transmuting» Women into Men: Galton's Family Data on Human Stature</w:t>
            </w:r>
            <w:r>
              <w:rPr>
                <w:rFonts w:ascii="Cambria" w:cs="Cambria" w:eastAsia="Cambria" w:hAnsi="Cambria"/>
                <w:color w:val="2D2D2D"/>
                <w:sz w:val="19"/>
                <w:szCs w:val="19"/>
              </w:rPr>
              <w:t xml:space="preserve"> (The American Statistician 58(3), 237–243), que documentó además cómo Galton ajustó las estaturas femeninas. En parejas, leer el contexto del cuaderno (ver nota técnica 1.1 sobre qué preguntaba Galton y por qué) y anotar, con las propias palabras: (1) </w:t>
            </w:r>
            <w:r>
              <w:rPr>
                <w:rFonts w:ascii="Cambria" w:cs="Cambria" w:eastAsia="Cambria" w:hAnsi="Cambria"/>
                <w:b/>
                <w:bCs/>
                <w:color w:val="2D2D2D"/>
                <w:sz w:val="19"/>
                <w:szCs w:val="19"/>
              </w:rPr>
              <w:t xml:space="preserve">qué quería averiguar Galton</w:t>
            </w:r>
            <w:r>
              <w:rPr>
                <w:rFonts w:ascii="Cambria" w:cs="Cambria" w:eastAsia="Cambria" w:hAnsi="Cambria"/>
                <w:color w:val="2D2D2D"/>
                <w:sz w:val="19"/>
                <w:szCs w:val="19"/>
              </w:rPr>
              <w:t xml:space="preserve"> —no «inventar la regresión», sino si existe una ley simple que diga cuánto se transmite un rasgo entre generaciones—; (2) </w:t>
            </w:r>
            <w:r>
              <w:rPr>
                <w:rFonts w:ascii="Cambria" w:cs="Cambria" w:eastAsia="Cambria" w:hAnsi="Cambria"/>
                <w:b/>
                <w:bCs/>
                <w:color w:val="2D2D2D"/>
                <w:sz w:val="19"/>
                <w:szCs w:val="19"/>
              </w:rPr>
              <w:t xml:space="preserve">por qué eligió la estatura y la</w:t>
            </w:r>
            <w:r>
              <w:rPr>
                <w:rFonts w:ascii="Cambria" w:cs="Cambria" w:eastAsia="Cambria" w:hAnsi="Cambria"/>
                <w:color w:val="2D2D2D"/>
                <w:sz w:val="19"/>
                <w:szCs w:val="19"/>
              </w:rPr>
              <w:t xml:space="preserve"> </w:t>
            </w:r>
            <w:r>
              <w:rPr>
                <w:rFonts w:ascii="Cambria" w:cs="Cambria" w:eastAsia="Cambria" w:hAnsi="Cambria"/>
                <w:b/>
                <w:bCs/>
                <w:i/>
                <w:iCs/>
                <w:color w:val="2D2D2D"/>
                <w:sz w:val="19"/>
                <w:szCs w:val="19"/>
              </w:rPr>
              <w:t xml:space="preserve">mid-parent</w:t>
            </w:r>
            <w:r>
              <w:rPr>
                <w:rFonts w:ascii="Cambria" w:cs="Cambria" w:eastAsia="Cambria" w:hAnsi="Cambria"/>
                <w:color w:val="2D2D2D"/>
                <w:sz w:val="19"/>
                <w:szCs w:val="19"/>
              </w:rPr>
              <w:t xml:space="preserve"> —basta con reconstruir una de las dos justificaciones—; y (3) </w:t>
            </w:r>
            <w:r>
              <w:rPr>
                <w:rFonts w:ascii="Cambria" w:cs="Cambria" w:eastAsia="Cambria" w:hAnsi="Cambria"/>
                <w:b/>
                <w:bCs/>
                <w:color w:val="2D2D2D"/>
                <w:sz w:val="19"/>
                <w:szCs w:val="19"/>
              </w:rPr>
              <w:t xml:space="preserve">cuál es el número clave y por qué responde la pregunta</w:t>
            </w:r>
            <w:r>
              <w:rPr>
                <w:rFonts w:ascii="Cambria" w:cs="Cambria" w:eastAsia="Cambria" w:hAnsi="Cambria"/>
                <w:color w:val="2D2D2D"/>
                <w:sz w:val="19"/>
                <w:szCs w:val="19"/>
              </w:rPr>
              <w:t xml:space="preserve"> —la pendiente ≈ 2/3: menor que 1 significa transmisión parcial. </w:t>
            </w:r>
            <w:r>
              <w:rPr>
                <w:rFonts w:ascii="Cambria" w:cs="Cambria" w:eastAsia="Cambria" w:hAnsi="Cambria"/>
                <w:b/>
                <w:bCs/>
                <w:color w:val="2D2D2D"/>
                <w:sz w:val="19"/>
                <w:szCs w:val="19"/>
              </w:rPr>
              <w:t xml:space="preserve">Para discutir en voz alta (2 min):</w:t>
            </w:r>
            <w:r>
              <w:rPr>
                <w:rFonts w:ascii="Cambria" w:cs="Cambria" w:eastAsia="Cambria" w:hAnsi="Cambria"/>
                <w:color w:val="2D2D2D"/>
                <w:sz w:val="19"/>
                <w:szCs w:val="19"/>
              </w:rPr>
              <w:t xml:space="preserve"> si Galton hubiera dispuesto de un computador y de la fórmula del OLS, ¿habría llegado a la misma conclusión? </w:t>
            </w:r>
            <w:r>
              <w:rPr>
                <w:rFonts w:ascii="Cambria" w:cs="Cambria" w:eastAsia="Cambria" w:hAnsi="Cambria"/>
                <w:i/>
                <w:iCs/>
                <w:color w:val="2D2D2D"/>
                <w:sz w:val="19"/>
                <w:szCs w:val="19"/>
              </w:rPr>
              <w:t xml:space="preserve">(Sí: 0,637 frente a 0,667 —cambia el método de ajuste, no la respuesta—; lo que no habría podido saltarse son sus dos comprobaciones previas: escala común y diferencia entre progenitores irrelevante.)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productos por escrito: (1) el «target» de la réplica —qué número se va a reproducir y de dónde procede (tabla siguiente)— y (2) </w:t>
            </w:r>
            <w:r>
              <w:rPr>
                <w:rFonts w:ascii="Cambria" w:cs="Cambria" w:eastAsia="Cambria" w:hAnsi="Cambria"/>
                <w:b/>
                <w:bCs/>
                <w:color w:val="2D2D2D"/>
                <w:sz w:val="19"/>
                <w:szCs w:val="19"/>
              </w:rPr>
              <w:t xml:space="preserve">la pregunta que Galton quería responder y la razón de al menos una de sus decisiones de método</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Pendiente β₁ (</w:t>
            </w:r>
            <w:r>
              <w:rPr>
                <w:rFonts w:ascii="Consolas" w:cs="Consolas" w:eastAsia="Consolas" w:hAnsi="Consolas"/>
                <w:b w:val="false"/>
                <w:bCs w:val="false"/>
                <w:color w:val="7A1526"/>
                <w:sz w:val="16"/>
                <w:szCs w:val="16"/>
              </w:rPr>
              <w:t xml:space="preserve">childHeight ~ midparentHeight</w:t>
            </w:r>
            <w:r>
              <w:rPr>
                <w:rFonts w:ascii="Calibri" w:cs="Calibri" w:eastAsia="Calibri" w:hAnsi="Calibri"/>
                <w:b w:val="false"/>
                <w:bCs w:val="false"/>
                <w:color w:val="2D2D2D"/>
                <w:sz w:val="18"/>
                <w:szCs w:val="18"/>
              </w:rPr>
              <w:t xml:space="preserve">, cruda) — «regresión hacia la media», β₁ &lt; 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0,6374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Intercepto β₀ (pulgadas) — ancla de la recta, sin sentido físico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22,636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Coeficiente de correlación r (Pearson)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0,3209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R² (en regresión simple = r²)</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0,103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Pendiente β₁ </w:t>
            </w:r>
            <w:r>
              <w:rPr>
                <w:rFonts w:ascii="Calibri" w:cs="Calibri" w:eastAsia="Calibri" w:hAnsi="Calibri"/>
                <w:b/>
                <w:bCs/>
                <w:color w:val="2D2D2D"/>
                <w:sz w:val="18"/>
                <w:szCs w:val="18"/>
              </w:rPr>
              <w:t xml:space="preserve">secundaria</w:t>
            </w:r>
            <w:r>
              <w:rPr>
                <w:rFonts w:ascii="Calibri" w:cs="Calibri" w:eastAsia="Calibri" w:hAnsi="Calibri"/>
                <w:b w:val="false"/>
                <w:bCs w:val="false"/>
                <w:color w:val="2D2D2D"/>
                <w:sz w:val="18"/>
                <w:szCs w:val="18"/>
              </w:rPr>
              <w:t xml:space="preserve"> (hijas ×1,08 — momento de enseñanza del género)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0,713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Qué preguntaba Galton, y por qué midió lo que midió</w:t>
            </w:r>
          </w:p>
          <w:p>
            <w:pPr>
              <w:spacing w:after="70" w:line="265"/>
            </w:pPr>
            <w:r>
              <w:rPr>
                <w:rFonts w:ascii="Cambria" w:cs="Cambria" w:eastAsia="Cambria" w:hAnsi="Cambria"/>
                <w:color w:val="3A3A3A"/>
                <w:sz w:val="18"/>
                <w:szCs w:val="18"/>
              </w:rPr>
              <w:t xml:space="preserve">Antes de descargar un solo dato conviene entender </w:t>
            </w:r>
            <w:r>
              <w:rPr>
                <w:rFonts w:ascii="Cambria" w:cs="Cambria" w:eastAsia="Cambria" w:hAnsi="Cambria"/>
                <w:b/>
                <w:bCs/>
                <w:color w:val="3A3A3A"/>
                <w:sz w:val="18"/>
                <w:szCs w:val="18"/>
              </w:rPr>
              <w:t xml:space="preserve">qué buscaba</w:t>
            </w:r>
            <w:r>
              <w:rPr>
                <w:rFonts w:ascii="Cambria" w:cs="Cambria" w:eastAsia="Cambria" w:hAnsi="Cambria"/>
                <w:color w:val="3A3A3A"/>
                <w:sz w:val="18"/>
                <w:szCs w:val="18"/>
              </w:rPr>
              <w:t xml:space="preserve"> el autor, porque de ahí se derivan todas sus decisiones. </w:t>
            </w:r>
            <w:r>
              <w:rPr>
                <w:rFonts w:ascii="Cambria" w:cs="Cambria" w:eastAsia="Cambria" w:hAnsi="Cambria"/>
                <w:i/>
                <w:iCs/>
                <w:color w:val="3A3A3A"/>
                <w:sz w:val="18"/>
                <w:szCs w:val="18"/>
              </w:rPr>
              <w:t xml:space="preserve">(Desarrollo completo, con las citas del original: la ficha de la sesión de réplica del paper, «Sección 0».)</w:t>
            </w:r>
          </w:p>
          <w:p>
            <w:pPr>
              <w:spacing w:after="70" w:line="265"/>
            </w:pPr>
            <w:r>
              <w:rPr>
                <w:rFonts w:ascii="Cambria" w:cs="Cambria" w:eastAsia="Cambria" w:hAnsi="Cambria"/>
                <w:b/>
                <w:bCs/>
                <w:color w:val="3A3A3A"/>
                <w:sz w:val="18"/>
                <w:szCs w:val="18"/>
              </w:rPr>
              <w:t xml:space="preserve">El objetivo no era inventar la regresión.</w:t>
            </w:r>
            <w:r>
              <w:rPr>
                <w:rFonts w:ascii="Cambria" w:cs="Cambria" w:eastAsia="Cambria" w:hAnsi="Cambria"/>
                <w:color w:val="3A3A3A"/>
                <w:sz w:val="18"/>
                <w:szCs w:val="18"/>
              </w:rPr>
              <w:t xml:space="preserve"> Galton lo escribe en la primera página del memoir: «My object is to place beyond doubt the existence of a simple and far-reaching law that governs the hereditary transmission of […] every one of those simple qualities which all possess» (p. 246). Su pregunta era biológica: </w:t>
            </w:r>
            <w:r>
              <w:rPr>
                <w:rFonts w:ascii="Cambria" w:cs="Cambria" w:eastAsia="Cambria" w:hAnsi="Cambria"/>
                <w:b/>
                <w:bCs/>
                <w:color w:val="3A3A3A"/>
                <w:sz w:val="18"/>
                <w:szCs w:val="18"/>
              </w:rPr>
              <w:t xml:space="preserve">¿existe una ley simple y cuantificable que diga cuánto se transmite un rasgo de una generación a la siguiente?</w:t>
            </w:r>
            <w:r>
              <w:rPr>
                <w:rFonts w:ascii="Cambria" w:cs="Cambria" w:eastAsia="Cambria" w:hAnsi="Cambria"/>
                <w:color w:val="3A3A3A"/>
                <w:sz w:val="18"/>
                <w:szCs w:val="18"/>
              </w:rPr>
              <w:t xml:space="preserve"> La respuesta importaba porque decide entre dos mundos: si la transmisión fuese íntegra, los extremos se perpetuarían y la dispersión de estaturas crecería sin freno; si es parcial, toda peculiaridad familiar se reabsorbe y la población permanece estable. La palabra «regresión» fue el </w:t>
            </w:r>
            <w:r>
              <w:rPr>
                <w:rFonts w:ascii="Cambria" w:cs="Cambria" w:eastAsia="Cambria" w:hAnsi="Cambria"/>
                <w:b/>
                <w:bCs/>
                <w:color w:val="3A3A3A"/>
                <w:sz w:val="18"/>
                <w:szCs w:val="18"/>
              </w:rPr>
              <w:t xml:space="preserve">hallazgo</w:t>
            </w:r>
            <w:r>
              <w:rPr>
                <w:rFonts w:ascii="Cambria" w:cs="Cambria" w:eastAsia="Cambria" w:hAnsi="Cambria"/>
                <w:color w:val="3A3A3A"/>
                <w:sz w:val="18"/>
                <w:szCs w:val="18"/>
              </w:rPr>
              <w:t xml:space="preserve">, no la meta.</w:t>
            </w:r>
          </w:p>
          <w:p>
            <w:pPr>
              <w:spacing w:after="70" w:line="265"/>
            </w:pPr>
            <w:r>
              <w:rPr>
                <w:rFonts w:ascii="Cambria" w:cs="Cambria" w:eastAsia="Cambria" w:hAnsi="Cambria"/>
                <w:b/>
                <w:bCs/>
                <w:color w:val="3A3A3A"/>
                <w:sz w:val="18"/>
                <w:szCs w:val="18"/>
              </w:rPr>
              <w:t xml:space="preserve">Por qué la estatura, y no otro rasgo.</w:t>
            </w:r>
            <w:r>
              <w:rPr>
                <w:rFonts w:ascii="Cambria" w:cs="Cambria" w:eastAsia="Cambria" w:hAnsi="Cambria"/>
                <w:color w:val="3A3A3A"/>
                <w:sz w:val="18"/>
                <w:szCs w:val="18"/>
              </w:rPr>
              <w:t xml:space="preserve"> Galton dedica una página entera (p. 249) a justificarlo: se mide con facilidad, permanece constante durante treinta y cinco años de vida adulta, depende poco de la crianza y apenas influye sobre la mortalidad. Y sobre todo, la estatura </w:t>
            </w:r>
            <w:r>
              <w:rPr>
                <w:rFonts w:ascii="Cambria" w:cs="Cambria" w:eastAsia="Cambria" w:hAnsi="Cambria"/>
                <w:b/>
                <w:bCs/>
                <w:color w:val="3A3A3A"/>
                <w:sz w:val="18"/>
                <w:szCs w:val="18"/>
              </w:rPr>
              <w:t xml:space="preserve">no es un rasgo simple</w:t>
            </w:r>
            <w:r>
              <w:rPr>
                <w:rFonts w:ascii="Cambria" w:cs="Cambria" w:eastAsia="Cambria" w:hAnsi="Cambria"/>
                <w:color w:val="3A3A3A"/>
                <w:sz w:val="18"/>
                <w:szCs w:val="18"/>
              </w:rPr>
              <w:t xml:space="preserve">: es la suma de más de cien partes del cuerpo, y por eso su distribución poblacional resulta «beautifully regular» —el argumento que hoy se llama teorema central del límite—. Eligió la variable </w:t>
            </w:r>
            <w:r>
              <w:rPr>
                <w:rFonts w:ascii="Cambria" w:cs="Cambria" w:eastAsia="Cambria" w:hAnsi="Cambria"/>
                <w:b/>
                <w:bCs/>
                <w:color w:val="3A3A3A"/>
                <w:sz w:val="18"/>
                <w:szCs w:val="18"/>
              </w:rPr>
              <w:t xml:space="preserve">cuya distribución sabía bien comportada</w:t>
            </w:r>
            <w:r>
              <w:rPr>
                <w:rFonts w:ascii="Cambria" w:cs="Cambria" w:eastAsia="Cambria" w:hAnsi="Cambria"/>
                <w:color w:val="3A3A3A"/>
                <w:sz w:val="18"/>
                <w:szCs w:val="18"/>
              </w:rPr>
              <w:t xml:space="preserve">, no la más interesante.</w:t>
            </w:r>
          </w:p>
          <w:p>
            <w:pPr>
              <w:spacing w:after="70" w:line="265"/>
            </w:pPr>
            <w:r>
              <w:rPr>
                <w:rFonts w:ascii="Cambria" w:cs="Cambria" w:eastAsia="Cambria" w:hAnsi="Cambria"/>
                <w:b/>
                <w:bCs/>
                <w:color w:val="3A3A3A"/>
                <w:sz w:val="18"/>
                <w:szCs w:val="18"/>
              </w:rPr>
              <w:t xml:space="preserve">Por qué la</w:t>
            </w:r>
            <w:r>
              <w:rPr>
                <w:rFonts w:ascii="Cambria" w:cs="Cambria" w:eastAsia="Cambria" w:hAnsi="Cambria"/>
                <w:color w:val="3A3A3A"/>
                <w:sz w:val="18"/>
                <w:szCs w:val="18"/>
              </w:rPr>
              <w:t xml:space="preserve"> </w:t>
            </w:r>
            <w:r>
              <w:rPr>
                <w:rFonts w:ascii="Cambria" w:cs="Cambria" w:eastAsia="Cambria" w:hAnsi="Cambria"/>
                <w:b/>
                <w:bCs/>
                <w:i/>
                <w:iCs/>
                <w:color w:val="3A3A3A"/>
                <w:sz w:val="18"/>
                <w:szCs w:val="18"/>
              </w:rPr>
              <w:t xml:space="preserve">mid-parent</w:t>
            </w:r>
            <w:r>
              <w:rPr>
                <w:rFonts w:ascii="Cambria" w:cs="Cambria" w:eastAsia="Cambria" w:hAnsi="Cambria"/>
                <w:b/>
                <w:bCs/>
                <w:color w:val="3A3A3A"/>
                <w:sz w:val="18"/>
                <w:szCs w:val="18"/>
              </w:rPr>
              <w:t xml:space="preserve">, y no el padre y la madre por separado.</w:t>
            </w:r>
            <w:r>
              <w:rPr>
                <w:rFonts w:ascii="Cambria" w:cs="Cambria" w:eastAsia="Cambria" w:hAnsi="Cambria"/>
                <w:color w:val="3A3A3A"/>
                <w:sz w:val="18"/>
                <w:szCs w:val="18"/>
              </w:rPr>
              <w:t xml:space="preserve"> Primero puso ambas estaturas en una escala común (la «transmutación»: ×1,08 sobre las femeninas), porque promediar un hombre con una mujer sin corregir la diferencia sistemática de sexo no significa nada. Después —y esto es lo importante— </w:t>
            </w:r>
            <w:r>
              <w:rPr>
                <w:rFonts w:ascii="Cambria" w:cs="Cambria" w:eastAsia="Cambria" w:hAnsi="Cambria"/>
                <w:b/>
                <w:bCs/>
                <w:color w:val="3A3A3A"/>
                <w:sz w:val="18"/>
                <w:szCs w:val="18"/>
              </w:rPr>
              <w:t xml:space="preserve">verificó que podía descartar el resto de la información</w:t>
            </w:r>
            <w:r>
              <w:rPr>
                <w:rFonts w:ascii="Cambria" w:cs="Cambria" w:eastAsia="Cambria" w:hAnsi="Cambria"/>
                <w:color w:val="3A3A3A"/>
                <w:sz w:val="18"/>
                <w:szCs w:val="18"/>
              </w:rPr>
              <w:t xml:space="preserve">: ordenó las familias por la diferencia de altura entre los progenitores y comprobó que esa diferencia no cambiaba la distribución de los hijos (Tabla II, p. 250). Solo entonces se quedó con el promedio. Comprobó el supuesto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apoyarse en él, que es precisamente lo que esta sesión enseña a hacer con los residuales.</w:t>
            </w:r>
          </w:p>
          <w:p>
            <w:pPr>
              <w:spacing w:after="70" w:line="265"/>
            </w:pPr>
            <w:r>
              <w:rPr>
                <w:rFonts w:ascii="Cambria" w:cs="Cambria" w:eastAsia="Cambria" w:hAnsi="Cambria"/>
                <w:b/>
                <w:bCs/>
                <w:color w:val="3A3A3A"/>
                <w:sz w:val="18"/>
                <w:szCs w:val="18"/>
              </w:rPr>
              <w:t xml:space="preserve">Por qué una tabla y una recta trazada gráficamente, y no una fórmula.</w:t>
            </w:r>
            <w:r>
              <w:rPr>
                <w:rFonts w:ascii="Cambria" w:cs="Cambria" w:eastAsia="Cambria" w:hAnsi="Cambria"/>
                <w:color w:val="3A3A3A"/>
                <w:sz w:val="18"/>
                <w:szCs w:val="18"/>
              </w:rPr>
              <w:t xml:space="preserve"> Porque la fórmula no existía: la correlación se formaliza una década después (Pearson, 1896) y los mínimos cuadrados se empleaban entonces para ajustar órbitas, no para relacionar dos rasgos de seres vivos. Galton tabuló las estaturas en una tabla de doble entrada, resumió cada fila con </w:t>
            </w:r>
            <w:r>
              <w:rPr>
                <w:rFonts w:ascii="Cambria" w:cs="Cambria" w:eastAsia="Cambria" w:hAnsi="Cambria"/>
                <w:b/>
                <w:bCs/>
                <w:color w:val="3A3A3A"/>
                <w:sz w:val="18"/>
                <w:szCs w:val="18"/>
              </w:rPr>
              <w:t xml:space="preserve">la mediana</w:t>
            </w:r>
            <w:r>
              <w:rPr>
                <w:rFonts w:ascii="Cambria" w:cs="Cambria" w:eastAsia="Cambria" w:hAnsi="Cambria"/>
                <w:color w:val="3A3A3A"/>
                <w:sz w:val="18"/>
                <w:szCs w:val="18"/>
              </w:rPr>
              <w:t xml:space="preserve"> —que se lee directamente de los conteos y resiste los errores de anotación, decisivo cuando todo se calcula manualmente— y trazó la recta sobre el papel. Su pendiente es el famoso 2/3.</w:t>
            </w:r>
          </w:p>
          <w:p>
            <w:pPr>
              <w:spacing w:after="70" w:line="265"/>
            </w:pPr>
            <w:r>
              <w:rPr>
                <w:rFonts w:ascii="Cambria" w:cs="Cambria" w:eastAsia="Cambria" w:hAnsi="Cambria"/>
                <w:b/>
                <w:bCs/>
                <w:color w:val="3A3A3A"/>
                <w:sz w:val="18"/>
                <w:szCs w:val="18"/>
              </w:rPr>
              <w:t xml:space="preserve">De ahí la diferencia que se verá en el Paso 4.</w:t>
            </w:r>
            <w:r>
              <w:rPr>
                <w:rFonts w:ascii="Cambria" w:cs="Cambria" w:eastAsia="Cambria" w:hAnsi="Cambria"/>
                <w:color w:val="3A3A3A"/>
                <w:sz w:val="18"/>
                <w:szCs w:val="18"/>
              </w:rPr>
              <w:t xml:space="preserve"> El laboratorio sustituye ese ajuste gráfico por un </w:t>
            </w:r>
            <w:r>
              <w:rPr>
                <w:rFonts w:ascii="Cambria" w:cs="Cambria" w:eastAsia="Cambria" w:hAnsi="Cambria"/>
                <w:b/>
                <w:bCs/>
                <w:color w:val="3A3A3A"/>
                <w:sz w:val="18"/>
                <w:szCs w:val="18"/>
              </w:rPr>
              <w:t xml:space="preserve">OLS sobre las filas individuales</w:t>
            </w:r>
            <w:r>
              <w:rPr>
                <w:rFonts w:ascii="Cambria" w:cs="Cambria" w:eastAsia="Cambria" w:hAnsi="Cambria"/>
                <w:color w:val="3A3A3A"/>
                <w:sz w:val="18"/>
                <w:szCs w:val="18"/>
              </w:rPr>
              <w:t xml:space="preserve">: por eso se obtiene 0,637 y no 0,667. La diferencia es de </w:t>
            </w:r>
            <w:r>
              <w:rPr>
                <w:rFonts w:ascii="Cambria" w:cs="Cambria" w:eastAsia="Cambria" w:hAnsi="Cambria"/>
                <w:b/>
                <w:bCs/>
                <w:color w:val="3A3A3A"/>
                <w:sz w:val="18"/>
                <w:szCs w:val="18"/>
              </w:rPr>
              <w:t xml:space="preserve">método de ajuste</w:t>
            </w:r>
            <w:r>
              <w:rPr>
                <w:rFonts w:ascii="Cambria" w:cs="Cambria" w:eastAsia="Cambria" w:hAnsi="Cambria"/>
                <w:color w:val="3A3A3A"/>
                <w:sz w:val="18"/>
                <w:szCs w:val="18"/>
              </w:rPr>
              <w:t xml:space="preserve">, no un error, y la conclusión que responde la pregunta de Galton —pendiente </w:t>
            </w:r>
            <w:r>
              <w:rPr>
                <w:rFonts w:ascii="Cambria" w:cs="Cambria" w:eastAsia="Cambria" w:hAnsi="Cambria"/>
                <w:b/>
                <w:bCs/>
                <w:color w:val="3A3A3A"/>
                <w:sz w:val="18"/>
                <w:szCs w:val="18"/>
              </w:rPr>
              <w:t xml:space="preserve">menor que 1</w:t>
            </w:r>
            <w:r>
              <w:rPr>
                <w:rFonts w:ascii="Cambria" w:cs="Cambria" w:eastAsia="Cambria" w:hAnsi="Cambria"/>
                <w:color w:val="3A3A3A"/>
                <w:sz w:val="18"/>
                <w:szCs w:val="18"/>
              </w:rPr>
              <w:t xml:space="preserve">— se reproduce intacta.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1   </w:t>
            </w:r>
            <w:r>
              <w:rPr>
                <w:rFonts w:ascii="Calibri" w:cs="Calibri" w:eastAsia="Calibri" w:hAnsi="Calibri"/>
                <w:b/>
                <w:bCs/>
                <w:color w:val="7A1526"/>
                <w:sz w:val="19"/>
                <w:szCs w:val="19"/>
              </w:rPr>
              <w:t xml:space="preserve">Descargar el dataset original</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GaltonFamilies.csv desde Rdatasets (paquete R HistData, dataset reconstruido por Hanley), con verificación de esquema y checksum SHA256; el enlace del sílabo de McGill está caído y el fallback documentado (Rdatasets) es la fuente principal, de modo que la réplica es reproducible. Verificar que el dataframe tiene </w:t>
            </w:r>
            <w:r>
              <w:rPr>
                <w:rFonts w:ascii="Cambria" w:cs="Cambria" w:eastAsia="Cambria" w:hAnsi="Cambria"/>
                <w:b/>
                <w:bCs/>
                <w:color w:val="2D2D2D"/>
                <w:sz w:val="19"/>
                <w:szCs w:val="19"/>
              </w:rPr>
              <w:t xml:space="preserve">934 filas y 9 columnas</w:t>
            </w:r>
            <w:r>
              <w:rPr>
                <w:rFonts w:ascii="Cambria" w:cs="Cambria" w:eastAsia="Cambria" w:hAnsi="Cambria"/>
                <w:color w:val="2D2D2D"/>
                <w:sz w:val="19"/>
                <w:szCs w:val="19"/>
              </w:rPr>
              <w:t xml:space="preserve"> (934 hijos de 205 familias; todas las alturas en </w:t>
            </w:r>
            <w:r>
              <w:rPr>
                <w:rFonts w:ascii="Cambria" w:cs="Cambria" w:eastAsia="Cambria" w:hAnsi="Cambria"/>
                <w:b/>
                <w:bCs/>
                <w:color w:val="2D2D2D"/>
                <w:sz w:val="19"/>
                <w:szCs w:val="19"/>
              </w:rPr>
              <w:t xml:space="preserve">pulgadas</w:t>
            </w:r>
            <w:r>
              <w:rPr>
                <w:rFonts w:ascii="Cambria" w:cs="Cambria" w:eastAsia="Cambria" w:hAnsi="Cambria"/>
                <w:color w:val="2D2D2D"/>
                <w:sz w:val="19"/>
                <w:szCs w:val="19"/>
              </w:rPr>
              <w:t xml:space="preserve">). El significado de cada columna está en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las relevantes para la réplica son: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—altura «mid-parent» de los padres, el </w:t>
            </w:r>
            <w:r>
              <w:rPr>
                <w:rFonts w:ascii="Cambria" w:cs="Cambria" w:eastAsia="Cambria" w:hAnsi="Cambria"/>
                <w:b/>
                <w:bCs/>
                <w:color w:val="2D2D2D"/>
                <w:sz w:val="19"/>
                <w:szCs w:val="19"/>
              </w:rPr>
              <w:t xml:space="preserve">predictor</w:t>
            </w:r>
            <w:r>
              <w:rPr>
                <w:rFonts w:ascii="Cambria" w:cs="Cambria" w:eastAsia="Cambria" w:hAnsi="Cambria"/>
                <w:color w:val="2D2D2D"/>
                <w:sz w:val="19"/>
                <w:szCs w:val="19"/>
              </w:rPr>
              <w:t xml:space="preserve"> (X)—,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—altura del hijo/a, la </w:t>
            </w:r>
            <w:r>
              <w:rPr>
                <w:rFonts w:ascii="Cambria" w:cs="Cambria" w:eastAsia="Cambria" w:hAnsi="Cambria"/>
                <w:b/>
                <w:bCs/>
                <w:color w:val="2D2D2D"/>
                <w:sz w:val="19"/>
                <w:szCs w:val="19"/>
              </w:rPr>
              <w:t xml:space="preserve">respuesta</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sin ajustar</w:t>
            </w:r>
            <w:r>
              <w:rPr>
                <w:rFonts w:ascii="Cambria" w:cs="Cambria" w:eastAsia="Cambria" w:hAnsi="Cambria"/>
                <w:color w:val="2D2D2D"/>
                <w:sz w:val="19"/>
                <w:szCs w:val="19"/>
              </w:rPr>
              <w:t xml:space="preserve"> por género— y </w:t>
            </w:r>
            <w:r>
              <w:rPr>
                <w:rFonts w:ascii="Consolas" w:cs="Consolas" w:eastAsia="Consolas" w:hAnsi="Consolas"/>
                <w:color w:val="7A1526"/>
                <w:sz w:val="17"/>
                <w:szCs w:val="17"/>
              </w:rPr>
              <w:t xml:space="preserve">gender</w:t>
            </w:r>
            <w:r>
              <w:rPr>
                <w:rFonts w:ascii="Cambria" w:cs="Cambria" w:eastAsia="Cambria" w:hAnsi="Cambria"/>
                <w:color w:val="2D2D2D"/>
                <w:sz w:val="19"/>
                <w:szCs w:val="19"/>
              </w:rPr>
              <w:t xml:space="preserve"> —sexo del hijo/a (male/female), la </w:t>
            </w:r>
            <w:r>
              <w:rPr>
                <w:rFonts w:ascii="Cambria" w:cs="Cambria" w:eastAsia="Cambria" w:hAnsi="Cambria"/>
                <w:b/>
                <w:bCs/>
                <w:color w:val="2D2D2D"/>
                <w:sz w:val="19"/>
                <w:szCs w:val="19"/>
              </w:rPr>
              <w:t xml:space="preserve">variable de diseño</w:t>
            </w:r>
            <w:r>
              <w:rPr>
                <w:rFonts w:ascii="Cambria" w:cs="Cambria" w:eastAsia="Cambria" w:hAnsi="Cambria"/>
                <w:color w:val="2D2D2D"/>
                <w:sz w:val="19"/>
                <w:szCs w:val="19"/>
              </w:rPr>
              <w:t xml:space="preserve"> que motiva la advertencia del paso 2.</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dataset GaltonFamilies cargado y verificado (934 filas × 9 columnas), con fecha DD/MM/YYYY; las tres columnas relevantes confirmadas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gender</w:t>
            </w:r>
            <w:r>
              <w:rPr>
                <w:rFonts w:ascii="Cambria" w:cs="Cambria" w:eastAsia="Cambria" w:hAnsi="Cambria"/>
                <w:color w:val="2D2D2D"/>
                <w:sz w:val="19"/>
                <w:szCs w:val="19"/>
              </w:rPr>
              <w:t xml:space="preserve">).</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2   </w:t>
            </w:r>
            <w:r>
              <w:rPr>
                <w:rFonts w:ascii="Calibri" w:cs="Calibri" w:eastAsia="Calibri" w:hAnsi="Calibri"/>
                <w:b/>
                <w:bCs/>
                <w:color w:val="7A1526"/>
                <w:sz w:val="19"/>
                <w:szCs w:val="19"/>
              </w:rPr>
              <w:t xml:space="preserve">Preparar: la mid-parent y la decisión sobre el género</w:t>
            </w:r>
          </w:p>
          <w:p>
            <w:pPr>
              <w:spacing w:line="265"/>
            </w:pPr>
            <w:r>
              <w:rPr>
                <w:rFonts w:ascii="Cambria" w:cs="Cambria" w:eastAsia="Cambria" w:hAnsi="Cambria"/>
                <w:color w:val="2D2D2D"/>
                <w:sz w:val="19"/>
                <w:szCs w:val="19"/>
              </w:rPr>
              <w:t xml:space="preserve">Hombres y mujeres tienen estaturas sistemáticamente distintas (~8 %); si se comparan directamente las alturas de hijos e hijas con las de sus padres, la diferencia de sexo contamina la relación. Galton lo resolvió con la </w:t>
            </w:r>
            <w:r>
              <w:rPr>
                <w:rFonts w:ascii="Cambria" w:cs="Cambria" w:eastAsia="Cambria" w:hAnsi="Cambria"/>
                <w:b/>
                <w:bCs/>
                <w:color w:val="2D2D2D"/>
                <w:sz w:val="19"/>
                <w:szCs w:val="19"/>
              </w:rPr>
              <w:t xml:space="preserve">«transmutación»</w:t>
            </w:r>
            <w:r>
              <w:rPr>
                <w:rFonts w:ascii="Cambria" w:cs="Cambria" w:eastAsia="Cambria" w:hAnsi="Cambria"/>
                <w:color w:val="2D2D2D"/>
                <w:sz w:val="19"/>
                <w:szCs w:val="19"/>
              </w:rPr>
              <w:t xml:space="preserve">: multiplicó por </w:t>
            </w:r>
            <w:r>
              <w:rPr>
                <w:rFonts w:ascii="Cambria" w:cs="Cambria" w:eastAsia="Cambria" w:hAnsi="Cambria"/>
                <w:b/>
                <w:bCs/>
                <w:color w:val="2D2D2D"/>
                <w:sz w:val="19"/>
                <w:szCs w:val="19"/>
              </w:rPr>
              <w:t xml:space="preserve">1,08</w:t>
            </w:r>
            <w:r>
              <w:rPr>
                <w:rFonts w:ascii="Cambria" w:cs="Cambria" w:eastAsia="Cambria" w:hAnsi="Cambria"/>
                <w:color w:val="2D2D2D"/>
                <w:sz w:val="19"/>
                <w:szCs w:val="19"/>
              </w:rPr>
              <w:t xml:space="preserve"> la altura de cada mujer para expresarla en «equivalente masculino». (1) </w:t>
            </w:r>
            <w:r>
              <w:rPr>
                <w:rFonts w:ascii="Cambria" w:cs="Cambria" w:eastAsia="Cambria" w:hAnsi="Cambria"/>
                <w:b/>
                <w:bCs/>
                <w:color w:val="2D2D2D"/>
                <w:sz w:val="19"/>
                <w:szCs w:val="19"/>
              </w:rPr>
              <w:t xml:space="preserve">Verificar la fórmula de la mid-parent</w:t>
            </w:r>
            <w:r>
              <w:rPr>
                <w:rFonts w:ascii="Cambria" w:cs="Cambria" w:eastAsia="Cambria" w:hAnsi="Cambria"/>
                <w:color w:val="2D2D2D"/>
                <w:sz w:val="19"/>
                <w:szCs w:val="19"/>
              </w:rPr>
              <w:t xml:space="preserve">: la columna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ya incorpora</w:t>
            </w:r>
            <w:r>
              <w:rPr>
                <w:rFonts w:ascii="Cambria" w:cs="Cambria" w:eastAsia="Cambria" w:hAnsi="Cambria"/>
                <w:color w:val="2D2D2D"/>
                <w:sz w:val="19"/>
                <w:szCs w:val="19"/>
              </w:rPr>
              <w:t xml:space="preserve"> el 1,08, pero </w:t>
            </w:r>
            <w:r>
              <w:rPr>
                <w:rFonts w:ascii="Cambria" w:cs="Cambria" w:eastAsia="Cambria" w:hAnsi="Cambria"/>
                <w:b/>
                <w:bCs/>
                <w:color w:val="2D2D2D"/>
                <w:sz w:val="19"/>
                <w:szCs w:val="19"/>
              </w:rPr>
              <w:t xml:space="preserve">solo del lado de los padres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 (father + 1,08×mother)/2—; comprobar por cálculo que max|((father + 1,08×mother)/2) −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 0 (verificado: diferencia máxima 0,000000 en las 934 filas). (2) </w:t>
            </w:r>
            <w:r>
              <w:rPr>
                <w:rFonts w:ascii="Cambria" w:cs="Cambria" w:eastAsia="Cambria" w:hAnsi="Cambria"/>
                <w:b/>
                <w:bCs/>
                <w:color w:val="2D2D2D"/>
                <w:sz w:val="19"/>
                <w:szCs w:val="19"/>
              </w:rPr>
              <w:t xml:space="preserve">Reconocer la asimetría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está </w:t>
            </w:r>
            <w:r>
              <w:rPr>
                <w:rFonts w:ascii="Cambria" w:cs="Cambria" w:eastAsia="Cambria" w:hAnsi="Cambria"/>
                <w:b/>
                <w:bCs/>
                <w:color w:val="2D2D2D"/>
                <w:sz w:val="19"/>
                <w:szCs w:val="19"/>
              </w:rPr>
              <w:t xml:space="preserve">cruda</w:t>
            </w:r>
            <w:r>
              <w:rPr>
                <w:rFonts w:ascii="Cambria" w:cs="Cambria" w:eastAsia="Cambria" w:hAnsi="Cambria"/>
                <w:color w:val="2D2D2D"/>
                <w:sz w:val="19"/>
                <w:szCs w:val="19"/>
              </w:rPr>
              <w:t xml:space="preserve">, mezcla hijos e hijas sin transmutar, así que existen </w:t>
            </w:r>
            <w:r>
              <w:rPr>
                <w:rFonts w:ascii="Cambria" w:cs="Cambria" w:eastAsia="Cambria" w:hAnsi="Cambria"/>
                <w:b/>
                <w:bCs/>
                <w:color w:val="2D2D2D"/>
                <w:sz w:val="19"/>
                <w:szCs w:val="19"/>
              </w:rPr>
              <w:t xml:space="preserve">dos regresiones legítimas</w:t>
            </w:r>
            <w:r>
              <w:rPr>
                <w:rFonts w:ascii="Cambria" w:cs="Cambria" w:eastAsia="Cambria" w:hAnsi="Cambria"/>
                <w:color w:val="2D2D2D"/>
                <w:sz w:val="19"/>
                <w:szCs w:val="19"/>
              </w:rPr>
              <w:t xml:space="preserve"> y hay que elegir con criterio explícito —</w:t>
            </w:r>
            <w:r>
              <w:rPr>
                <w:rFonts w:ascii="Cambria" w:cs="Cambria" w:eastAsia="Cambria" w:hAnsi="Cambria"/>
                <w:b/>
                <w:bCs/>
                <w:color w:val="2D2D2D"/>
                <w:sz w:val="19"/>
                <w:szCs w:val="19"/>
              </w:rPr>
              <w:t xml:space="preserve">réplica primaria</w:t>
            </w:r>
            <w:r>
              <w:rPr>
                <w:rFonts w:ascii="Cambria" w:cs="Cambria" w:eastAsia="Cambria" w:hAnsi="Cambria"/>
                <w:color w:val="2D2D2D"/>
                <w:sz w:val="19"/>
                <w:szCs w:val="19"/>
              </w:rPr>
              <w:t xml:space="preserve"> (por defecto):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cruda</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sobre las 934 filas, el reanálisis estándar de HistData, cuya pendiente (0,637) reproduce el «dos tercios» de Galton (al dejar la respuesta cruda, la </w:t>
            </w:r>
            <w:r>
              <w:rPr>
                <w:rFonts w:ascii="Cambria" w:cs="Cambria" w:eastAsia="Cambria" w:hAnsi="Cambria"/>
                <w:b/>
                <w:bCs/>
                <w:color w:val="2D2D2D"/>
                <w:sz w:val="19"/>
                <w:szCs w:val="19"/>
              </w:rPr>
              <w:t xml:space="preserve">correlación</w:t>
            </w:r>
            <w:r>
              <w:rPr>
                <w:rFonts w:ascii="Cambria" w:cs="Cambria" w:eastAsia="Cambria" w:hAnsi="Cambria"/>
                <w:color w:val="2D2D2D"/>
                <w:sz w:val="19"/>
                <w:szCs w:val="19"/>
              </w:rPr>
              <w:t xml:space="preserve"> cae a r ≈ 0,32 por la mezcla de géneros); </w:t>
            </w:r>
            <w:r>
              <w:rPr>
                <w:rFonts w:ascii="Cambria" w:cs="Cambria" w:eastAsia="Cambria" w:hAnsi="Cambria"/>
                <w:b/>
                <w:bCs/>
                <w:color w:val="2D2D2D"/>
                <w:sz w:val="19"/>
                <w:szCs w:val="19"/>
              </w:rPr>
              <w:t xml:space="preserve">réplica secundaria</w:t>
            </w:r>
            <w:r>
              <w:rPr>
                <w:rFonts w:ascii="Cambria" w:cs="Cambria" w:eastAsia="Cambria" w:hAnsi="Cambria"/>
                <w:color w:val="2D2D2D"/>
                <w:sz w:val="19"/>
                <w:szCs w:val="19"/>
              </w:rPr>
              <w:t xml:space="preserve"> (paso 4):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 1,08 en las mujeres, que sube r a </w:t>
            </w:r>
            <w:r>
              <w:rPr>
                <w:rFonts w:ascii="Cambria" w:cs="Cambria" w:eastAsia="Cambria" w:hAnsi="Cambria"/>
                <w:b/>
                <w:bCs/>
                <w:color w:val="2D2D2D"/>
                <w:sz w:val="19"/>
                <w:szCs w:val="19"/>
              </w:rPr>
              <w:t xml:space="preserve">0,497</w:t>
            </w:r>
            <w:r>
              <w:rPr>
                <w:rFonts w:ascii="Cambria" w:cs="Cambria" w:eastAsia="Cambria" w:hAnsi="Cambria"/>
                <w:color w:val="2D2D2D"/>
                <w:sz w:val="19"/>
                <w:szCs w:val="19"/>
              </w:rPr>
              <w:t xml:space="preserve"> y la pendiente a </w:t>
            </w:r>
            <w:r>
              <w:rPr>
                <w:rFonts w:ascii="Cambria" w:cs="Cambria" w:eastAsia="Cambria" w:hAnsi="Cambria"/>
                <w:b/>
                <w:bCs/>
                <w:color w:val="2D2D2D"/>
                <w:sz w:val="19"/>
                <w:szCs w:val="19"/>
              </w:rPr>
              <w:t xml:space="preserve">0,713</w:t>
            </w:r>
            <w:r>
              <w:rPr>
                <w:rFonts w:ascii="Cambria" w:cs="Cambria" w:eastAsia="Cambria" w:hAnsi="Cambria"/>
                <w:color w:val="2D2D2D"/>
                <w:sz w:val="19"/>
                <w:szCs w:val="19"/>
              </w:rPr>
              <w:t xml:space="preserve"> —el momento de enseñanza de por qué Galton transmutó </w:t>
            </w:r>
            <w:r>
              <w:rPr>
                <w:rFonts w:ascii="Cambria" w:cs="Cambria" w:eastAsia="Cambria" w:hAnsi="Cambria"/>
                <w:i/>
                <w:iCs/>
                <w:color w:val="2D2D2D"/>
                <w:sz w:val="19"/>
                <w:szCs w:val="19"/>
              </w:rPr>
              <w:t xml:space="preserve">(ese ≈ 0,50 se cita a menudo como «la cifra de Pearson»; es un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benchmark</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cuya fuente rastreable es la reconstrucción de Han, Ma y Zhu, arXiv 1508.02942, no un paper de la bibliografía del alumno).</w:t>
            </w:r>
            <w:r>
              <w:rPr>
                <w:rFonts w:ascii="Cambria" w:cs="Cambria" w:eastAsia="Cambria" w:hAnsi="Cambria"/>
                <w:color w:val="2D2D2D"/>
                <w:sz w:val="19"/>
                <w:szCs w:val="19"/>
              </w:rPr>
              <w:t xml:space="preserve"> (3) </w:t>
            </w:r>
            <w:r>
              <w:rPr>
                <w:rFonts w:ascii="Cambria" w:cs="Cambria" w:eastAsia="Cambria" w:hAnsi="Cambria"/>
                <w:b/>
                <w:bCs/>
                <w:color w:val="2D2D2D"/>
                <w:sz w:val="19"/>
                <w:szCs w:val="19"/>
              </w:rPr>
              <w:t xml:space="preserve">EDA breve</w:t>
            </w:r>
            <w:r>
              <w:rPr>
                <w:rFonts w:ascii="Cambria" w:cs="Cambria" w:eastAsia="Cambria" w:hAnsi="Cambria"/>
                <w:color w:val="2D2D2D"/>
                <w:sz w:val="19"/>
                <w:szCs w:val="19"/>
              </w:rPr>
              <w:t xml:space="preserve">: inspeccionar la distribución de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por </w:t>
            </w:r>
            <w:r>
              <w:rPr>
                <w:rFonts w:ascii="Consolas" w:cs="Consolas" w:eastAsia="Consolas" w:hAnsi="Consolas"/>
                <w:color w:val="7A1526"/>
                <w:sz w:val="17"/>
                <w:szCs w:val="17"/>
              </w:rPr>
              <w:t xml:space="preserve">gender</w:t>
            </w:r>
            <w:r>
              <w:rPr>
                <w:rFonts w:ascii="Cambria" w:cs="Cambria" w:eastAsia="Cambria" w:hAnsi="Cambria"/>
                <w:color w:val="2D2D2D"/>
                <w:sz w:val="19"/>
                <w:szCs w:val="19"/>
              </w:rPr>
              <w:t xml:space="preserve"> (boxplot/violín) y confirmar que no hay faltantes en las variables de análisis.</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confirmación numérica de la fórmula de la mid-parent y una decisión de modelado escrita —usar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cruda como réplica primaria— con una frase que justifique por qué la mid-parent ya está en escala «masculina» pero la respuesta no.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3   </w:t>
            </w:r>
            <w:r>
              <w:rPr>
                <w:rFonts w:ascii="Calibri" w:cs="Calibri" w:eastAsia="Calibri" w:hAnsi="Calibri"/>
                <w:b/>
                <w:bCs/>
                <w:color w:val="7A1526"/>
                <w:sz w:val="19"/>
                <w:szCs w:val="19"/>
              </w:rPr>
              <w:t xml:space="preserve">Ajustar el OLS primario</w:t>
            </w:r>
          </w:p>
          <w:p>
            <w:pPr>
              <w:spacing w:line="265"/>
            </w:pPr>
            <w:r>
              <w:rPr>
                <w:rFonts w:ascii="Cambria" w:cs="Cambria" w:eastAsia="Cambria" w:hAnsi="Cambria"/>
                <w:b/>
                <w:bCs/>
                <w:color w:val="2D2D2D"/>
                <w:sz w:val="19"/>
                <w:szCs w:val="19"/>
              </w:rPr>
              <w:t xml:space="preserve">Ajustar el modelo.</w:t>
            </w:r>
            <w:r>
              <w:rPr>
                <w:rFonts w:ascii="Cambria" w:cs="Cambria" w:eastAsia="Cambria" w:hAnsi="Cambria"/>
                <w:color w:val="2D2D2D"/>
                <w:sz w:val="19"/>
                <w:szCs w:val="19"/>
              </w:rPr>
              <w:t xml:space="preserve"> Con statsmodels: sm.OLS(</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sm.</w:t>
            </w:r>
            <w:r>
              <w:rPr>
                <w:rFonts w:ascii="Consolas" w:cs="Consolas" w:eastAsia="Consolas" w:hAnsi="Consolas"/>
                <w:color w:val="7A1526"/>
                <w:sz w:val="17"/>
                <w:szCs w:val="17"/>
              </w:rPr>
              <w:t xml:space="preserve">add_constant</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)).fit, que estima por mínimos cuadrados la recta ŷ = β̂₀ + β̂₁x (ŷ es la altura ajustada del hijo y x la mid-parent). No hay aleatoriedad: statsmodels y scikit-learn coinciden a 1e-6, así que el resultado es determinista. Leer la salida summary y </w:t>
            </w:r>
            <w:r>
              <w:rPr>
                <w:rFonts w:ascii="Cambria" w:cs="Cambria" w:eastAsia="Cambria" w:hAnsi="Cambria"/>
                <w:b/>
                <w:bCs/>
                <w:color w:val="2D2D2D"/>
                <w:sz w:val="19"/>
                <w:szCs w:val="19"/>
              </w:rPr>
              <w:t xml:space="preserve">registrar los números clave</w:t>
            </w:r>
            <w:r>
              <w:rPr>
                <w:rFonts w:ascii="Cambria" w:cs="Cambria" w:eastAsia="Cambria" w:hAnsi="Cambria"/>
                <w:color w:val="2D2D2D"/>
                <w:sz w:val="19"/>
                <w:szCs w:val="19"/>
              </w:rPr>
              <w:t xml:space="preserve"> (ver tabla de resultados más abajo). </w:t>
            </w:r>
            <w:r>
              <w:rPr>
                <w:rFonts w:ascii="Cambria" w:cs="Cambria" w:eastAsia="Cambria" w:hAnsi="Cambria"/>
                <w:b/>
                <w:bCs/>
                <w:color w:val="2D2D2D"/>
                <w:sz w:val="19"/>
                <w:szCs w:val="19"/>
              </w:rPr>
              <w:t xml:space="preserve">Leer con criterio.</w:t>
            </w:r>
            <w:r>
              <w:rPr>
                <w:rFonts w:ascii="Cambria" w:cs="Cambria" w:eastAsia="Cambria" w:hAnsi="Cambria"/>
                <w:color w:val="2D2D2D"/>
                <w:sz w:val="19"/>
                <w:szCs w:val="19"/>
              </w:rPr>
              <w:t xml:space="preserve"> Un R² bajo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invalida el modelo: confirma un hecho real —la herencia de estatura es débil a nivel individual— y es coherente con la regresión a la media. La nota Cond. No. de la salida es un falso positivo de escala (alturas ~70), no multicolinealidad: en regresión simple hay un solo predictor.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summary del modelo con β₀, β₁, SE, t, p, IC 95 %, R² y F transcritos en una fila de la tabla de resultados. </w:t>
            </w:r>
            <w:r>
              <w:rPr>
                <w:rFonts w:ascii="Cambria" w:cs="Cambria" w:eastAsia="Cambria" w:hAnsi="Cambria"/>
                <w:i/>
                <w:iCs/>
                <w:color w:val="2D2D2D"/>
                <w:sz w:val="19"/>
                <w:szCs w:val="19"/>
              </w:rPr>
              <w:t xml:space="preserve">(El contraste con Excel</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se hace aquí —la hoja </w:t>
            </w:r>
            <w:r>
              <w:rPr>
                <w:rFonts w:ascii="Consolas" w:cs="Consolas" w:eastAsia="Consolas" w:hAnsi="Consolas"/>
                <w:i/>
                <w:iCs/>
                <w:color w:val="7A1526"/>
                <w:sz w:val="17"/>
                <w:szCs w:val="17"/>
              </w:rPr>
              <w:t xml:space="preserve">plantillas/regresion_excel_configurada.xlsx</w:t>
            </w:r>
            <w:r>
              <w:rPr>
                <w:rFonts w:ascii="Cambria" w:cs="Cambria" w:eastAsia="Cambria" w:hAnsi="Cambria"/>
                <w:i/>
                <w:iCs/>
                <w:color w:val="2D2D2D"/>
                <w:sz w:val="19"/>
                <w:szCs w:val="19"/>
              </w:rPr>
              <w:t xml:space="preserve"> contiene TV y sales de</w:t>
            </w:r>
            <w:r>
              <w:rPr>
                <w:rFonts w:ascii="Cambria" w:cs="Cambria" w:eastAsia="Cambria" w:hAnsi="Cambria"/>
                <w:color w:val="2D2D2D"/>
                <w:sz w:val="19"/>
                <w:szCs w:val="19"/>
              </w:rPr>
              <w:t xml:space="preserve"> </w:t>
            </w:r>
            <w:r>
              <w:rPr>
                <w:rFonts w:ascii="Cambria" w:cs="Cambria" w:eastAsia="Cambria" w:hAnsi="Cambria"/>
                <w:b/>
                <w:bCs/>
                <w:i/>
                <w:iCs/>
                <w:color w:val="2D2D2D"/>
                <w:sz w:val="19"/>
                <w:szCs w:val="19"/>
              </w:rPr>
              <w:t xml:space="preserve">Advertising,</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no las estaturas de Galton—; ese contraste corresponde al</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paso 6.)</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4   </w:t>
            </w:r>
            <w:r>
              <w:rPr>
                <w:rFonts w:ascii="Calibri" w:cs="Calibri" w:eastAsia="Calibri" w:hAnsi="Calibri"/>
                <w:b/>
                <w:bCs/>
                <w:color w:val="7A1526"/>
                <w:sz w:val="19"/>
                <w:szCs w:val="19"/>
              </w:rPr>
              <w:t xml:space="preserve">Comparar con Galton y el ajuste de género</w:t>
            </w:r>
          </w:p>
          <w:p>
            <w:pPr>
              <w:spacing w:line="265"/>
            </w:pPr>
            <w:r>
              <w:rPr>
                <w:rFonts w:ascii="Cambria" w:cs="Cambria" w:eastAsia="Cambria" w:hAnsi="Cambria"/>
                <w:b/>
                <w:bCs/>
                <w:color w:val="2D2D2D"/>
                <w:sz w:val="19"/>
                <w:szCs w:val="19"/>
              </w:rPr>
              <w:t xml:space="preserve">Comparar con el paper.</w:t>
            </w:r>
            <w:r>
              <w:rPr>
                <w:rFonts w:ascii="Cambria" w:cs="Cambria" w:eastAsia="Cambria" w:hAnsi="Cambria"/>
                <w:color w:val="2D2D2D"/>
                <w:sz w:val="19"/>
                <w:szCs w:val="19"/>
              </w:rPr>
              <w:t xml:space="preserve"> Comparar la pendiente obtenida (</w:t>
            </w:r>
            <w:r>
              <w:rPr>
                <w:rFonts w:ascii="Cambria" w:cs="Cambria" w:eastAsia="Cambria" w:hAnsi="Cambria"/>
                <w:b/>
                <w:bCs/>
                <w:color w:val="2D2D2D"/>
                <w:sz w:val="19"/>
                <w:szCs w:val="19"/>
              </w:rPr>
              <w:t xml:space="preserve">0,637</w:t>
            </w:r>
            <w:r>
              <w:rPr>
                <w:rFonts w:ascii="Cambria" w:cs="Cambria" w:eastAsia="Cambria" w:hAnsi="Cambria"/>
                <w:color w:val="2D2D2D"/>
                <w:sz w:val="19"/>
                <w:szCs w:val="19"/>
              </w:rPr>
              <w:t xml:space="preserve">) con el «dos tercios» de Galton (0,667): cae dentro de la tolerancia de la tabla del paso 0 (±0,03) </w:t>
            </w:r>
            <w:r>
              <w:rPr>
                <w:rFonts w:ascii="Cambria" w:cs="Cambria" w:eastAsia="Cambria" w:hAnsi="Cambria"/>
                <w:i/>
                <w:iCs/>
                <w:color w:val="2D2D2D"/>
                <w:sz w:val="19"/>
                <w:szCs w:val="19"/>
              </w:rPr>
              <w:t xml:space="preserve">—los assert del cuaderno son más estrictos: la celda 31 exige |β₁ − 0,6374| &lt; 1e-3 y la celda 64, |β₁ − 0,6374| </w:t>
            </w:r>
            <w:r>
              <w:rPr>
                <w:rFonts w:ascii="Calibri" w:cs="Calibri" w:eastAsia="Calibri" w:hAnsi="Calibri"/>
                <w:i/>
                <w:iCs/>
                <w:color w:val="2D2D2D"/>
                <w:sz w:val="19"/>
                <w:szCs w:val="19"/>
              </w:rPr>
              <w:t xml:space="preserve">≤</w:t>
            </w:r>
            <w:r>
              <w:rPr>
                <w:rFonts w:ascii="Cambria" w:cs="Cambria" w:eastAsia="Cambria" w:hAnsi="Cambria"/>
                <w:i/>
                <w:iCs/>
                <w:color w:val="2D2D2D"/>
                <w:sz w:val="19"/>
                <w:szCs w:val="19"/>
              </w:rPr>
              <w:t xml:space="preserve"> 0,03—</w:t>
            </w:r>
            <w:r>
              <w:rPr>
                <w:rFonts w:ascii="Cambria" w:cs="Cambria" w:eastAsia="Cambria" w:hAnsi="Cambria"/>
                <w:color w:val="2D2D2D"/>
                <w:sz w:val="19"/>
                <w:szCs w:val="19"/>
              </w:rPr>
              <w:t xml:space="preserve">. La conclusión cualitativa —</w:t>
            </w:r>
            <w:r>
              <w:rPr>
                <w:rFonts w:ascii="Cambria" w:cs="Cambria" w:eastAsia="Cambria" w:hAnsi="Cambria"/>
                <w:b/>
                <w:bCs/>
                <w:color w:val="2D2D2D"/>
                <w:sz w:val="19"/>
                <w:szCs w:val="19"/>
              </w:rPr>
              <w:t xml:space="preserve">β₁ &lt; 1</w:t>
            </w:r>
            <w:r>
              <w:rPr>
                <w:rFonts w:ascii="Cambria" w:cs="Cambria" w:eastAsia="Cambria" w:hAnsi="Cambria"/>
                <w:color w:val="2D2D2D"/>
                <w:sz w:val="19"/>
                <w:szCs w:val="19"/>
              </w:rPr>
              <w:t xml:space="preserve">, «regresión hacia la media»— es idéntica a la de 1886; la pequeña diferencia numérica se explica por método: Galton usó datos </w:t>
            </w:r>
            <w:r>
              <w:rPr>
                <w:rFonts w:ascii="Cambria" w:cs="Cambria" w:eastAsia="Cambria" w:hAnsi="Cambria"/>
                <w:b/>
                <w:bCs/>
                <w:color w:val="2D2D2D"/>
                <w:sz w:val="19"/>
                <w:szCs w:val="19"/>
              </w:rPr>
              <w:t xml:space="preserve">tabulados/agrupados</w:t>
            </w:r>
            <w:r>
              <w:rPr>
                <w:rFonts w:ascii="Cambria" w:cs="Cambria" w:eastAsia="Cambria" w:hAnsi="Cambria"/>
                <w:color w:val="2D2D2D"/>
                <w:sz w:val="19"/>
                <w:szCs w:val="19"/>
              </w:rPr>
              <w:t xml:space="preserve"> y ajuste gráfico, mientras el OLS moderno trabaja sobre las filas individuales; no es un error. Estos son los valores que audita el material de referencia de la sesión. </w:t>
            </w:r>
            <w:r>
              <w:rPr>
                <w:rFonts w:ascii="Cambria" w:cs="Cambria" w:eastAsia="Cambria" w:hAnsi="Cambria"/>
                <w:b/>
                <w:bCs/>
                <w:color w:val="2D2D2D"/>
                <w:sz w:val="19"/>
                <w:szCs w:val="19"/>
              </w:rPr>
              <w:t xml:space="preserve">La réplica secundaria (el momento de enseñanza del género).</w:t>
            </w:r>
            <w:r>
              <w:rPr>
                <w:rFonts w:ascii="Cambria" w:cs="Cambria" w:eastAsia="Cambria" w:hAnsi="Cambria"/>
                <w:color w:val="2D2D2D"/>
                <w:sz w:val="19"/>
                <w:szCs w:val="19"/>
              </w:rPr>
              <w:t xml:space="preserve"> Re-ajustar después el modelo al aplicar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 1,08 a las mujeres (transmutación de Galton/Hanley también en la respuesta) y comparar los dos ajustes (tabla más abajo).</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tabla obtenido vs. Galton (dentro de tolerancia) y una explicación escrita de qué cambia al transmutar la respuesta (ver nota técnica 1.3).</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5   </w:t>
            </w:r>
            <w:r>
              <w:rPr>
                <w:rFonts w:ascii="Calibri" w:cs="Calibri" w:eastAsia="Calibri" w:hAnsi="Calibri"/>
                <w:b/>
                <w:bCs/>
                <w:color w:val="7A1526"/>
                <w:sz w:val="19"/>
                <w:szCs w:val="19"/>
              </w:rPr>
              <w:t xml:space="preserve">Interpretar la regresión hacia la media</w:t>
            </w:r>
          </w:p>
          <w:p>
            <w:pPr>
              <w:spacing w:line="265"/>
            </w:pPr>
            <w:r>
              <w:rPr>
                <w:rFonts w:ascii="Cambria" w:cs="Cambria" w:eastAsia="Cambria" w:hAnsi="Cambria"/>
                <w:b/>
                <w:bCs/>
                <w:color w:val="2D2D2D"/>
                <w:sz w:val="19"/>
                <w:szCs w:val="19"/>
              </w:rPr>
              <w:t xml:space="preserve">El caso numérico (en pulgadas crudas).</w:t>
            </w:r>
            <w:r>
              <w:rPr>
                <w:rFonts w:ascii="Cambria" w:cs="Cambria" w:eastAsia="Cambria" w:hAnsi="Cambria"/>
                <w:color w:val="2D2D2D"/>
                <w:sz w:val="19"/>
                <w:szCs w:val="19"/>
              </w:rPr>
              <w:t xml:space="preserve"> Con β₁ = 0,64, resolver el caso numérico: una mid-parent situada </w:t>
            </w:r>
            <w:r>
              <w:rPr>
                <w:rFonts w:ascii="Cambria" w:cs="Cambria" w:eastAsia="Cambria" w:hAnsi="Cambria"/>
                <w:b/>
                <w:bCs/>
                <w:color w:val="2D2D2D"/>
                <w:sz w:val="19"/>
                <w:szCs w:val="19"/>
              </w:rPr>
              <w:t xml:space="preserve">4 pulgadas por encima</w:t>
            </w:r>
            <w:r>
              <w:rPr>
                <w:rFonts w:ascii="Cambria" w:cs="Cambria" w:eastAsia="Cambria" w:hAnsi="Cambria"/>
                <w:color w:val="2D2D2D"/>
                <w:sz w:val="19"/>
                <w:szCs w:val="19"/>
              </w:rPr>
              <w:t xml:space="preserve"> de la media de padres predice un hijo solo </w:t>
            </w:r>
            <w:r>
              <w:rPr>
                <w:rFonts w:ascii="Cambria" w:cs="Cambria" w:eastAsia="Cambria" w:hAnsi="Cambria"/>
                <w:b/>
                <w:bCs/>
                <w:color w:val="2D2D2D"/>
                <w:sz w:val="19"/>
                <w:szCs w:val="19"/>
              </w:rPr>
              <w:t xml:space="preserve">+2,55 pulgadas por encima</w:t>
            </w:r>
            <w:r>
              <w:rPr>
                <w:rFonts w:ascii="Cambria" w:cs="Cambria" w:eastAsia="Cambria" w:hAnsi="Cambria"/>
                <w:color w:val="2D2D2D"/>
                <w:sz w:val="19"/>
                <w:szCs w:val="19"/>
              </w:rPr>
              <w:t xml:space="preserve"> de la media de hijos (0,64×4 ≈ 2,55) —en la escala cruda el hijo hereda ~2/3 de la ventaja (ver nota técnica 1.4 sobre por qué esa no es la medida limpia del fenómeno)—. Enunciar </w:t>
            </w:r>
            <w:r>
              <w:rPr>
                <w:rFonts w:ascii="Cambria" w:cs="Cambria" w:eastAsia="Cambria" w:hAnsi="Cambria"/>
                <w:b/>
                <w:bCs/>
                <w:color w:val="2D2D2D"/>
                <w:sz w:val="19"/>
                <w:szCs w:val="19"/>
              </w:rPr>
              <w:t xml:space="preserve">la lección conceptual</w:t>
            </w:r>
            <w:r>
              <w:rPr>
                <w:rFonts w:ascii="Cambria" w:cs="Cambria" w:eastAsia="Cambria" w:hAnsi="Cambria"/>
                <w:color w:val="2D2D2D"/>
                <w:sz w:val="19"/>
                <w:szCs w:val="19"/>
              </w:rPr>
              <w:t xml:space="preserve"> —la regresión a la media es un fenómeno estadístico, </w:t>
            </w:r>
            <w:r>
              <w:rPr>
                <w:rFonts w:ascii="Cambria" w:cs="Cambria" w:eastAsia="Cambria" w:hAnsi="Cambria"/>
                <w:b/>
                <w:bCs/>
                <w:color w:val="2D2D2D"/>
                <w:sz w:val="19"/>
                <w:szCs w:val="19"/>
              </w:rPr>
              <w:t xml:space="preserve">no causal</w:t>
            </w:r>
            <w:r>
              <w:rPr>
                <w:rFonts w:ascii="Cambria" w:cs="Cambria" w:eastAsia="Cambria" w:hAnsi="Cambria"/>
                <w:color w:val="2D2D2D"/>
                <w:sz w:val="19"/>
                <w:szCs w:val="19"/>
              </w:rPr>
              <w:t xml:space="preserve"> (definición en el glosario de la sesión, «Sección 12»)— y </w:t>
            </w:r>
            <w:r>
              <w:rPr>
                <w:rFonts w:ascii="Cambria" w:cs="Cambria" w:eastAsia="Cambria" w:hAnsi="Cambria"/>
                <w:b/>
                <w:bCs/>
                <w:color w:val="2D2D2D"/>
                <w:sz w:val="19"/>
                <w:szCs w:val="19"/>
              </w:rPr>
              <w:t xml:space="preserve">la lección de negocio</w:t>
            </w:r>
            <w:r>
              <w:rPr>
                <w:rFonts w:ascii="Cambria" w:cs="Cambria" w:eastAsia="Cambria" w:hAnsi="Cambria"/>
                <w:color w:val="2D2D2D"/>
                <w:sz w:val="19"/>
                <w:szCs w:val="19"/>
              </w:rPr>
              <w:t xml:space="preserve"> (nota técnica 1.5): un desempeño excepcional tiende a «empeorar» al medirlo de nuevo por simple reversión estadística, no por una intervención.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 caso numérico de regresión a la media resuelto (¿cuánto sube el hijo si la mid-parent está 6 pulgadas sobre la media?) y una frase de negocio sobre por qué no hay que «perseguir» el desempeño extremo.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Cuidado con una intuición errónea (mid-parent y transmutación)</w:t>
            </w:r>
          </w:p>
          <w:p>
            <w:pPr>
              <w:spacing w:after="70" w:line="265"/>
            </w:pPr>
            <w:r>
              <w:rPr>
                <w:rFonts w:ascii="Cambria" w:cs="Cambria" w:eastAsia="Cambria" w:hAnsi="Cambria"/>
                <w:color w:val="3A3A3A"/>
                <w:sz w:val="18"/>
                <w:szCs w:val="18"/>
              </w:rPr>
              <w:t xml:space="preserve">Para obtener ≈ 0,65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hace falta ajustar las hijas por 1,08; al contrario, transmutar la respuesta </w:t>
            </w:r>
            <w:r>
              <w:rPr>
                <w:rFonts w:ascii="Cambria" w:cs="Cambria" w:eastAsia="Cambria" w:hAnsi="Cambria"/>
                <w:b/>
                <w:bCs/>
                <w:color w:val="3A3A3A"/>
                <w:sz w:val="18"/>
                <w:szCs w:val="18"/>
              </w:rPr>
              <w:t xml:space="preserve">eleva</w:t>
            </w:r>
            <w:r>
              <w:rPr>
                <w:rFonts w:ascii="Cambria" w:cs="Cambria" w:eastAsia="Cambria" w:hAnsi="Cambria"/>
                <w:color w:val="3A3A3A"/>
                <w:sz w:val="18"/>
                <w:szCs w:val="18"/>
              </w:rPr>
              <w:t xml:space="preserve"> la pendiente a ≈ 0,71. El 1,08 que sí importa para la réplica primaria es el ya incorporado en </w:t>
            </w:r>
            <w:r>
              <w:rPr>
                <w:rFonts w:ascii="Consolas" w:cs="Consolas" w:eastAsia="Consolas" w:hAnsi="Consolas"/>
                <w:color w:val="7A1526"/>
                <w:sz w:val="16"/>
                <w:szCs w:val="16"/>
              </w:rPr>
              <w:t xml:space="preserve">midparentHeight</w:t>
            </w:r>
            <w:r>
              <w:rPr>
                <w:rFonts w:ascii="Cambria" w:cs="Cambria" w:eastAsia="Cambria" w:hAnsi="Cambria"/>
                <w:color w:val="3A3A3A"/>
                <w:sz w:val="18"/>
                <w:szCs w:val="18"/>
              </w:rPr>
              <w:t xml:space="preserve"> (lado de los padres). Ver la ficha de la sesión de réplica del paper, «Sección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Cantidad</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Lectura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β₁</w:t>
            </w:r>
            <w:r>
              <w:rPr>
                <w:rFonts w:ascii="Calibri" w:cs="Calibri" w:eastAsia="Calibri" w:hAnsi="Calibri"/>
                <w:b/>
                <w:bCs/>
                <w:color w:val="7A1526"/>
                <w:sz w:val="18"/>
                <w:szCs w:val="18"/>
              </w:rPr>
              <w:t xml:space="preserve"> (pendiente </w:t>
            </w:r>
            <w:r>
              <w:rPr>
                <w:rFonts w:ascii="Consolas" w:cs="Consolas" w:eastAsia="Consolas" w:hAnsi="Consolas"/>
                <w:b/>
                <w:bCs/>
                <w:color w:val="7A1526"/>
                <w:sz w:val="16"/>
                <w:szCs w:val="16"/>
              </w:rPr>
              <w:t xml:space="preserve">midparentHeight</w:t>
            </w:r>
            <w:r>
              <w:rPr>
                <w:rFonts w:ascii="Calibri" w:cs="Calibri" w:eastAsia="Calibri" w:hAnsi="Calibri"/>
                <w:b/>
                <w:bCs/>
                <w:color w:val="7A1526"/>
                <w:sz w:val="18"/>
                <w:szCs w:val="18"/>
              </w:rPr>
              <w:t xml:space="preserve">)</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0,6374</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Por cada pulgada de mid-parent, la altura esperada del hijo sube 0,64 pulgadas.</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β₀</w:t>
            </w:r>
            <w:r>
              <w:rPr>
                <w:rFonts w:ascii="Calibri" w:cs="Calibri" w:eastAsia="Calibri" w:hAnsi="Calibri"/>
                <w:b/>
                <w:bCs/>
                <w:color w:val="7A1526"/>
                <w:sz w:val="18"/>
                <w:szCs w:val="18"/>
              </w:rPr>
              <w:t xml:space="preserve"> (intercepto const)</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22,636</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Ancla de la recta; </w:t>
            </w:r>
            <w:r>
              <w:rPr>
                <w:rFonts w:ascii="Calibri" w:cs="Calibri" w:eastAsia="Calibri" w:hAnsi="Calibri"/>
                <w:b/>
                <w:bCs/>
                <w:color w:val="2D2D2D"/>
                <w:sz w:val="18"/>
                <w:szCs w:val="18"/>
              </w:rPr>
              <w:t xml:space="preserve">sin sentido físico</w:t>
            </w:r>
            <w:r>
              <w:rPr>
                <w:rFonts w:ascii="Calibri" w:cs="Calibri" w:eastAsia="Calibri" w:hAnsi="Calibri"/>
                <w:b w:val="false"/>
                <w:bCs w:val="false"/>
                <w:color w:val="2D2D2D"/>
                <w:sz w:val="18"/>
                <w:szCs w:val="18"/>
              </w:rPr>
              <w:t xml:space="preserve"> (nadie mide 0 pulgadas). No reportarlo como predicción.</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SE(β₁)</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0,0616</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Precisión de la pendiente.</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t(β₁)</w:t>
            </w:r>
            <w:r>
              <w:rPr>
                <w:rFonts w:ascii="Calibri" w:cs="Calibri" w:eastAsia="Calibri" w:hAnsi="Calibri"/>
                <w:b/>
                <w:bCs/>
                <w:color w:val="7A1526"/>
                <w:sz w:val="18"/>
                <w:szCs w:val="18"/>
              </w:rPr>
              <w:t xml:space="preserve"> — </w:t>
            </w:r>
            <w:r>
              <w:rPr>
                <w:rFonts w:ascii="Calibri" w:cs="Calibri" w:eastAsia="Calibri" w:hAnsi="Calibri"/>
                <w:b/>
                <w:bCs/>
                <w:color w:val="7A1526"/>
                <w:sz w:val="18"/>
                <w:szCs w:val="18"/>
              </w:rPr>
              <w:t xml:space="preserve">p(β₁)</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10,345 — ≈ 0,000 (8,05×10⁻²⁴)</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Se rechaza H₀: β₁ = 0; hay relación lineal.</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IC 95 % de β₁</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[0,516; 0,758]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No contiene 0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pendiente significativa.</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R²</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0,103</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La mid-parent explica ~10 % de la varianza de la altura del hijo (r ≈ 0,32; en simple R² = r²).</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F</w:t>
            </w:r>
            <w:r>
              <w:rPr>
                <w:rFonts w:ascii="Calibri" w:cs="Calibri" w:eastAsia="Calibri" w:hAnsi="Calibri"/>
                <w:b/>
                <w:bCs/>
                <w:color w:val="7A1526"/>
                <w:sz w:val="18"/>
                <w:szCs w:val="18"/>
              </w:rPr>
              <w:t xml:space="preserve"> — </w:t>
            </w:r>
            <w:r>
              <w:rPr>
                <w:rFonts w:ascii="Calibri" w:cs="Calibri" w:eastAsia="Calibri" w:hAnsi="Calibri"/>
                <w:b/>
                <w:bCs/>
                <w:color w:val="7A1526"/>
                <w:sz w:val="18"/>
                <w:szCs w:val="18"/>
              </w:rPr>
              <w:t xml:space="preserve">Prob(F)</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107,0 — 8,05×10⁻²⁴</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Utilidad global; en simple F = t².</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Ajuste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Pendiente β₁</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¿Qué muestra?</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Crudo, ambos sexos</w:t>
            </w:r>
            <w:r>
              <w:rPr>
                <w:rFonts w:ascii="Calibri" w:cs="Calibri" w:eastAsia="Calibri" w:hAnsi="Calibri"/>
                <w:b/>
                <w:bCs/>
                <w:color w:val="7A1526"/>
                <w:sz w:val="18"/>
                <w:szCs w:val="18"/>
              </w:rPr>
              <w:t xml:space="preserve"> (réplica primaria)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0,637</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Reproduce el 2/3 de Galton; r baja por la mezcla de sexos.</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Hijas ×1,08</w:t>
            </w:r>
            <w:r>
              <w:rPr>
                <w:rFonts w:ascii="Calibri" w:cs="Calibri" w:eastAsia="Calibri" w:hAnsi="Calibri"/>
                <w:b/>
                <w:bCs/>
                <w:color w:val="7A1526"/>
                <w:sz w:val="18"/>
                <w:szCs w:val="18"/>
              </w:rPr>
              <w:t xml:space="preserve"> (réplica secundaria)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0,713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0,247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Al homogeneizar el sexo, r sube a ≈ 0,50 (benchmark atribuido a Pearson) y la pendiente sube.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Por qué sube al transmutar</w:t>
            </w:r>
          </w:p>
          <w:p>
            <w:pPr>
              <w:spacing w:after="70" w:line="265"/>
            </w:pPr>
            <w:r>
              <w:rPr>
                <w:rFonts w:ascii="Cambria" w:cs="Cambria" w:eastAsia="Cambria" w:hAnsi="Cambria"/>
                <w:color w:val="3A3A3A"/>
                <w:sz w:val="18"/>
                <w:szCs w:val="18"/>
              </w:rPr>
              <w:t xml:space="preserve">Dejar la respuesta cruda mezcla dos poblaciones (hijos e hijas) desplazadas ~8 %, lo que infla la varianza del residual y baja la correlación; al poner a todos en la misma escala «masculina», la relación se ve más nítida (r ≈ 0,50) y la pendiente se acerca más a 1. Ambas lecturas son correctas: la primaria reproduce el número histórico de Galton; la secundaria explica por qué Galton transmutó. Ver la ficha de la sesión de réplica del paper, «Secciones 3–4».</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El caso numérico y la escala correcta de la regresión a la media</w:t>
            </w:r>
          </w:p>
          <w:p>
            <w:pPr>
              <w:spacing w:after="70" w:line="265"/>
            </w:pPr>
            <w:r>
              <w:rPr>
                <w:rFonts w:ascii="Cambria" w:cs="Cambria" w:eastAsia="Cambria" w:hAnsi="Cambria"/>
                <w:color w:val="3A3A3A"/>
                <w:sz w:val="18"/>
                <w:szCs w:val="18"/>
              </w:rPr>
              <w:t xml:space="preserve">Con β₁ = 0,64, una mid-parent situada </w:t>
            </w:r>
            <w:r>
              <w:rPr>
                <w:rFonts w:ascii="Cambria" w:cs="Cambria" w:eastAsia="Cambria" w:hAnsi="Cambria"/>
                <w:b/>
                <w:bCs/>
                <w:color w:val="3A3A3A"/>
                <w:sz w:val="18"/>
                <w:szCs w:val="18"/>
              </w:rPr>
              <w:t xml:space="preserve">4 pulgadas por encima</w:t>
            </w:r>
            <w:r>
              <w:rPr>
                <w:rFonts w:ascii="Cambria" w:cs="Cambria" w:eastAsia="Cambria" w:hAnsi="Cambria"/>
                <w:color w:val="3A3A3A"/>
                <w:sz w:val="18"/>
                <w:szCs w:val="18"/>
              </w:rPr>
              <w:t xml:space="preserve"> de la media de padres predice un hijo solo </w:t>
            </w:r>
            <w:r>
              <w:rPr>
                <w:rFonts w:ascii="Cambria" w:cs="Cambria" w:eastAsia="Cambria" w:hAnsi="Cambria"/>
                <w:b/>
                <w:bCs/>
                <w:color w:val="3A3A3A"/>
                <w:sz w:val="18"/>
                <w:szCs w:val="18"/>
              </w:rPr>
              <w:t xml:space="preserve">+2,55 pulgadas por encima</w:t>
            </w:r>
            <w:r>
              <w:rPr>
                <w:rFonts w:ascii="Cambria" w:cs="Cambria" w:eastAsia="Cambria" w:hAnsi="Cambria"/>
                <w:color w:val="3A3A3A"/>
                <w:sz w:val="18"/>
                <w:szCs w:val="18"/>
              </w:rPr>
              <w:t xml:space="preserve"> de la media de hijos (0,64×4 ≈ 2,55): en la escala cruda el hijo hereda ~2/3 de la ventaja. </w:t>
            </w:r>
            <w:r>
              <w:rPr>
                <w:rFonts w:ascii="Cambria" w:cs="Cambria" w:eastAsia="Cambria" w:hAnsi="Cambria"/>
                <w:b/>
                <w:bCs/>
                <w:color w:val="3A3A3A"/>
                <w:sz w:val="18"/>
                <w:szCs w:val="18"/>
              </w:rPr>
              <w:t xml:space="preserve">Cuidado con la escala:</w:t>
            </w:r>
            <w:r>
              <w:rPr>
                <w:rFonts w:ascii="Cambria" w:cs="Cambria" w:eastAsia="Cambria" w:hAnsi="Cambria"/>
                <w:color w:val="3A3A3A"/>
                <w:sz w:val="18"/>
                <w:szCs w:val="18"/>
              </w:rPr>
              <w:t xml:space="preserve"> ese 0,637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la medida limpia de la regresión a la media, porque mezcla la correlación con el factor de escala sy/sx —recuérdese β̂₁ = r·(sy/sx), y aquí sy ≈ 2·sx porque la mid-parent es un promedio de varianza comprimida—. La medida </w:t>
            </w:r>
            <w:r>
              <w:rPr>
                <w:rFonts w:ascii="Cambria" w:cs="Cambria" w:eastAsia="Cambria" w:hAnsi="Cambria"/>
                <w:b/>
                <w:bCs/>
                <w:color w:val="3A3A3A"/>
                <w:sz w:val="18"/>
                <w:szCs w:val="18"/>
              </w:rPr>
              <w:t xml:space="preserve">invariante de escala</w:t>
            </w:r>
            <w:r>
              <w:rPr>
                <w:rFonts w:ascii="Cambria" w:cs="Cambria" w:eastAsia="Cambria" w:hAnsi="Cambria"/>
                <w:color w:val="3A3A3A"/>
                <w:sz w:val="18"/>
                <w:szCs w:val="18"/>
              </w:rPr>
              <w:t xml:space="preserve"> —la que realmente define el fenómeno— es la </w:t>
            </w:r>
            <w:r>
              <w:rPr>
                <w:rFonts w:ascii="Cambria" w:cs="Cambria" w:eastAsia="Cambria" w:hAnsi="Cambria"/>
                <w:b/>
                <w:bCs/>
                <w:color w:val="3A3A3A"/>
                <w:sz w:val="18"/>
                <w:szCs w:val="18"/>
              </w:rPr>
              <w:t xml:space="preserve">pendiente estandarizada = r ≈ 0,32</w:t>
            </w:r>
            <w:r>
              <w:rPr>
                <w:rFonts w:ascii="Cambria" w:cs="Cambria" w:eastAsia="Cambria" w:hAnsi="Cambria"/>
                <w:color w:val="3A3A3A"/>
                <w:sz w:val="18"/>
                <w:szCs w:val="18"/>
              </w:rPr>
              <w:t xml:space="preserve">: medido en desviaciones estándar, el hijo retiene solo </w:t>
            </w:r>
            <w:r>
              <w:rPr>
                <w:rFonts w:ascii="Cambria" w:cs="Cambria" w:eastAsia="Cambria" w:hAnsi="Cambria"/>
                <w:b/>
                <w:bCs/>
                <w:color w:val="3A3A3A"/>
                <w:sz w:val="18"/>
                <w:szCs w:val="18"/>
              </w:rPr>
              <w:t xml:space="preserve">~1/3</w:t>
            </w:r>
            <w:r>
              <w:rPr>
                <w:rFonts w:ascii="Cambria" w:cs="Cambria" w:eastAsia="Cambria" w:hAnsi="Cambria"/>
                <w:color w:val="3A3A3A"/>
                <w:sz w:val="18"/>
                <w:szCs w:val="18"/>
              </w:rPr>
              <w:t xml:space="preserve"> de la ventaja, no 2/3. El extremo se </w:t>
            </w:r>
            <w:r>
              <w:rPr>
                <w:rFonts w:ascii="Cambria" w:cs="Cambria" w:eastAsia="Cambria" w:hAnsi="Cambria"/>
                <w:b/>
                <w:bCs/>
                <w:color w:val="3A3A3A"/>
                <w:sz w:val="18"/>
                <w:szCs w:val="18"/>
              </w:rPr>
              <w:t xml:space="preserve">atenúa</w:t>
            </w:r>
            <w:r>
              <w:rPr>
                <w:rFonts w:ascii="Cambria" w:cs="Cambria" w:eastAsia="Cambria" w:hAnsi="Cambria"/>
                <w:color w:val="3A3A3A"/>
                <w:sz w:val="18"/>
                <w:szCs w:val="18"/>
              </w:rPr>
              <w:t xml:space="preserve"> en ambas escalas; ese es el significado operativo de una pendiente estandarizada menor que 1 (ver paso 2, donde r cae a 0,32 por la mezcla de géneros).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La lección de negocio: el riesgo de perseguir el desempeño extremo</w:t>
            </w:r>
          </w:p>
          <w:p>
            <w:pPr>
              <w:spacing w:after="70" w:line="265"/>
            </w:pPr>
            <w:r>
              <w:rPr>
                <w:rFonts w:ascii="Cambria" w:cs="Cambria" w:eastAsia="Cambria" w:hAnsi="Cambria"/>
                <w:color w:val="3A3A3A"/>
                <w:sz w:val="18"/>
                <w:szCs w:val="18"/>
              </w:rPr>
              <w:t xml:space="preserve">La regresión a la media (definición en el glosario de la sesión, «Sección 12») es un fenómeno estadístico, </w:t>
            </w:r>
            <w:r>
              <w:rPr>
                <w:rFonts w:ascii="Cambria" w:cs="Cambria" w:eastAsia="Cambria" w:hAnsi="Cambria"/>
                <w:b/>
                <w:bCs/>
                <w:color w:val="3A3A3A"/>
                <w:sz w:val="18"/>
                <w:szCs w:val="18"/>
              </w:rPr>
              <w:t xml:space="preserve">no causal</w:t>
            </w:r>
            <w:r>
              <w:rPr>
                <w:rFonts w:ascii="Cambria" w:cs="Cambria" w:eastAsia="Cambria" w:hAnsi="Cambria"/>
                <w:color w:val="3A3A3A"/>
                <w:sz w:val="18"/>
                <w:szCs w:val="18"/>
              </w:rPr>
              <w:t xml:space="preserve">: cuando dos variables no están perfectamente correlacionadas, los valores extremos de una se asocian con valores menos extremos de la otra, por el simple azar presente en toda relación imperfecta. Es uno de los errores de interpretación más costosos en negocio: un desempeño excepcional —una tienda récord, un trimestre estelar, un fondo con retornos muy altos— tiende a «empeorar» al medirlo de nuevo, no por una intervención sino por reversión estadística. Atribuirlo a una campaña o a una política produce conclusiones falsas de causalidad. Casos actuales en las fuentes de actualidad de la sesión: la reversión a la media en mercados financieros (Nicola Wealth, 2026) y el riesgo de extrapolar múltiplos de crecimiento excepcionales (The Investor's Podcast, 2026).</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ADVERTISING (VENTAS ~ TV)</w:t>
      </w:r>
    </w:p>
    <w:p>
      <w:pPr>
        <w:keepNext/>
        <w:pBdr>
          <w:bottom w:val="single" w:color="E4002B" w:sz="14" w:space="8"/>
        </w:pBdr>
        <w:spacing w:after="140"/>
      </w:pPr>
      <w:r>
        <w:rPr>
          <w:rFonts w:ascii="Cambria" w:cs="Cambria" w:eastAsia="Cambria" w:hAnsi="Cambria"/>
          <w:i/>
          <w:iCs/>
          <w:color w:val="6E6E6E"/>
          <w:sz w:val="19"/>
          <w:szCs w:val="19"/>
        </w:rPr>
        <w:t xml:space="preserve">Paso 6 · viernes, capítulo 3.8 (sección 5 del cuaderno)</w:t>
      </w:r>
      <w:r>
        <w:rPr>
          <w:rFonts w:ascii="Cambria" w:cs="Cambria" w:eastAsia="Cambria" w:hAnsi="Cambria"/>
          <w:b/>
          <w:bCs/>
          <w:color w:val="7A1526"/>
          <w:sz w:val="19"/>
          <w:szCs w:val="19"/>
        </w:rPr>
        <w:t xml:space="preserve">   |   ~25 min de guion · 40 min de aula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6   </w:t>
            </w:r>
            <w:r>
              <w:rPr>
                <w:rFonts w:ascii="Calibri" w:cs="Calibri" w:eastAsia="Calibri" w:hAnsi="Calibri"/>
                <w:b/>
                <w:bCs/>
                <w:color w:val="7A1526"/>
                <w:sz w:val="19"/>
                <w:szCs w:val="19"/>
              </w:rPr>
              <w:t xml:space="preserve">Del paper al negocio: Advertising (ventas ~ TV)</w:t>
            </w:r>
          </w:p>
          <w:p>
            <w:pPr>
              <w:spacing w:line="265"/>
            </w:pPr>
            <w:r>
              <w:rPr>
                <w:rFonts w:ascii="Cambria" w:cs="Cambria" w:eastAsia="Cambria" w:hAnsi="Cambria"/>
                <w:color w:val="2D2D2D"/>
                <w:sz w:val="19"/>
                <w:szCs w:val="19"/>
              </w:rPr>
              <w:t xml:space="preserve">Se pasa de la réplica histórica a un caso de negocio con la misma técnica: </w:t>
            </w:r>
            <w:r>
              <w:rPr>
                <w:rFonts w:ascii="Cambria" w:cs="Cambria" w:eastAsia="Cambria" w:hAnsi="Cambria"/>
                <w:b/>
                <w:bCs/>
                <w:color w:val="2D2D2D"/>
                <w:sz w:val="19"/>
                <w:szCs w:val="19"/>
              </w:rPr>
              <w:t xml:space="preserve">OLS de un solo predictor</w:t>
            </w:r>
            <w:r>
              <w:rPr>
                <w:rFonts w:ascii="Cambria" w:cs="Cambria" w:eastAsia="Cambria" w:hAnsi="Cambria"/>
                <w:color w:val="2D2D2D"/>
                <w:sz w:val="19"/>
                <w:szCs w:val="19"/>
              </w:rPr>
              <w:t xml:space="preserve">. El dataset </w:t>
            </w:r>
            <w:r>
              <w:rPr>
                <w:rFonts w:ascii="Cambria" w:cs="Cambria" w:eastAsia="Cambria" w:hAnsi="Cambria"/>
                <w:b/>
                <w:bCs/>
                <w:color w:val="2D2D2D"/>
                <w:sz w:val="19"/>
                <w:szCs w:val="19"/>
              </w:rPr>
              <w:t xml:space="preserve">Advertising</w:t>
            </w:r>
            <w:r>
              <w:rPr>
                <w:rFonts w:ascii="Cambria" w:cs="Cambria" w:eastAsia="Cambria" w:hAnsi="Cambria"/>
                <w:color w:val="2D2D2D"/>
                <w:sz w:val="19"/>
                <w:szCs w:val="19"/>
              </w:rPr>
              <w:t xml:space="preserve"> (ISLR, cap. 3) registra la inversión publicitaria en tres canales —TV, radio y prensa, en miles de USD— y las </w:t>
            </w:r>
            <w:r>
              <w:rPr>
                <w:rFonts w:ascii="Cambria" w:cs="Cambria" w:eastAsia="Cambria" w:hAnsi="Cambria"/>
                <w:b/>
                <w:bCs/>
                <w:color w:val="2D2D2D"/>
                <w:sz w:val="19"/>
                <w:szCs w:val="19"/>
              </w:rPr>
              <w:t xml:space="preserve">ventas</w:t>
            </w:r>
            <w:r>
              <w:rPr>
                <w:rFonts w:ascii="Cambria" w:cs="Cambria" w:eastAsia="Cambria" w:hAnsi="Cambria"/>
                <w:color w:val="2D2D2D"/>
                <w:sz w:val="19"/>
                <w:szCs w:val="19"/>
              </w:rPr>
              <w:t xml:space="preserve"> (en miles de unidades) de un producto en </w:t>
            </w:r>
            <w:r>
              <w:rPr>
                <w:rFonts w:ascii="Cambria" w:cs="Cambria" w:eastAsia="Cambria" w:hAnsi="Cambria"/>
                <w:b/>
                <w:bCs/>
                <w:color w:val="2D2D2D"/>
                <w:sz w:val="19"/>
                <w:szCs w:val="19"/>
              </w:rPr>
              <w:t xml:space="preserve">200 mercados</w:t>
            </w:r>
            <w:r>
              <w:rPr>
                <w:rFonts w:ascii="Cambria" w:cs="Cambria" w:eastAsia="Cambria" w:hAnsi="Cambria"/>
                <w:color w:val="2D2D2D"/>
                <w:sz w:val="19"/>
                <w:szCs w:val="19"/>
              </w:rPr>
              <w:t xml:space="preserve">; es la versión de negocio del </w:t>
            </w:r>
            <w:r>
              <w:rPr>
                <w:rFonts w:ascii="Cambria" w:cs="Cambria" w:eastAsia="Cambria" w:hAnsi="Cambria"/>
                <w:i/>
                <w:iCs/>
                <w:color w:val="2D2D2D"/>
                <w:sz w:val="19"/>
                <w:szCs w:val="19"/>
              </w:rPr>
              <w:t xml:space="preserve">Marketing Mix Modeling</w:t>
            </w:r>
            <w:r>
              <w:rPr>
                <w:rFonts w:ascii="Cambria" w:cs="Cambria" w:eastAsia="Cambria" w:hAnsi="Cambria"/>
                <w:color w:val="2D2D2D"/>
                <w:sz w:val="19"/>
                <w:szCs w:val="19"/>
              </w:rPr>
              <w:t xml:space="preserve"> que sostiene decisiones reales de presupuesto de medios en 2025–2026 (las fuentes de actualidad de la sesión: Invoca, Measured, OWOX). Aplicar el ciclo completo del modelo simple: (1) </w:t>
            </w:r>
            <w:r>
              <w:rPr>
                <w:rFonts w:ascii="Cambria" w:cs="Cambria" w:eastAsia="Cambria" w:hAnsi="Cambria"/>
                <w:b/>
                <w:bCs/>
                <w:color w:val="2D2D2D"/>
                <w:sz w:val="19"/>
                <w:szCs w:val="19"/>
              </w:rPr>
              <w:t xml:space="preserve">cargar y elegir el canal</w:t>
            </w:r>
            <w:r>
              <w:rPr>
                <w:rFonts w:ascii="Cambria" w:cs="Cambria" w:eastAsia="Cambria" w:hAnsi="Cambria"/>
                <w:color w:val="2D2D2D"/>
                <w:sz w:val="19"/>
                <w:szCs w:val="19"/>
              </w:rPr>
              <w:t xml:space="preserve">: cargar Advertising.csv (200 filas × 5 columnas; usar </w:t>
            </w:r>
            <w:r>
              <w:rPr>
                <w:rFonts w:ascii="Consolas" w:cs="Consolas" w:eastAsia="Consolas" w:hAnsi="Consolas"/>
                <w:color w:val="7A1526"/>
                <w:sz w:val="17"/>
                <w:szCs w:val="17"/>
              </w:rPr>
              <w:t xml:space="preserve">index_col</w:t>
            </w:r>
            <w:r>
              <w:rPr>
                <w:rFonts w:ascii="Cambria" w:cs="Cambria" w:eastAsia="Cambria" w:hAnsi="Cambria"/>
                <w:color w:val="2D2D2D"/>
                <w:sz w:val="19"/>
                <w:szCs w:val="19"/>
              </w:rPr>
              <w:t xml:space="preserve">=0 para descartar el índice sin nombre) y ajustar </w:t>
            </w:r>
            <w:r>
              <w:rPr>
                <w:rFonts w:ascii="Consolas" w:cs="Consolas" w:eastAsia="Consolas" w:hAnsi="Consolas"/>
                <w:color w:val="7A1526"/>
                <w:sz w:val="17"/>
                <w:szCs w:val="17"/>
              </w:rPr>
              <w:t xml:space="preserve">sales ~ TV</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un solo predictor</w:t>
            </w:r>
            <w:r>
              <w:rPr>
                <w:rFonts w:ascii="Cambria" w:cs="Cambria" w:eastAsia="Cambria" w:hAnsi="Cambria"/>
                <w:color w:val="2D2D2D"/>
                <w:sz w:val="19"/>
                <w:szCs w:val="19"/>
              </w:rPr>
              <w:t xml:space="preserve">; la regresión múltiple con varios canales es de la S04 y está prohibida aquí—; (2) </w:t>
            </w:r>
            <w:r>
              <w:rPr>
                <w:rFonts w:ascii="Cambria" w:cs="Cambria" w:eastAsia="Cambria" w:hAnsi="Cambria"/>
                <w:b/>
                <w:bCs/>
                <w:color w:val="2D2D2D"/>
                <w:sz w:val="19"/>
                <w:szCs w:val="19"/>
              </w:rPr>
              <w:t xml:space="preserve">ajustar el OLS e interpretar β en unidades de negocio (drill 1)</w:t>
            </w:r>
            <w:r>
              <w:rPr>
                <w:rFonts w:ascii="Cambria" w:cs="Cambria" w:eastAsia="Cambria" w:hAnsi="Cambria"/>
                <w:color w:val="2D2D2D"/>
                <w:sz w:val="19"/>
                <w:szCs w:val="19"/>
              </w:rPr>
              <w:t xml:space="preserve">: reportar β₀ (ventas base sin inversión, si es plausible) y β₁ traducido a la lengua de la gerencia —«por cada 1 000 USD adicionales invertidos en TV, las ventas esperadas cambian en β₁ (miles de unidades)»—, además de R² y el p-valor de β₁; (3) </w:t>
            </w:r>
            <w:r>
              <w:rPr>
                <w:rFonts w:ascii="Cambria" w:cs="Cambria" w:eastAsia="Cambria" w:hAnsi="Cambria"/>
                <w:b/>
                <w:bCs/>
                <w:color w:val="2D2D2D"/>
                <w:sz w:val="19"/>
                <w:szCs w:val="19"/>
              </w:rPr>
              <w:t xml:space="preserve">diagnosticar los residuales (drill 3)</w:t>
            </w:r>
            <w:r>
              <w:rPr>
                <w:rFonts w:ascii="Cambria" w:cs="Cambria" w:eastAsia="Cambria" w:hAnsi="Cambria"/>
                <w:color w:val="2D2D2D"/>
                <w:sz w:val="19"/>
                <w:szCs w:val="19"/>
              </w:rPr>
              <w:t xml:space="preserve"> con la guía de residuales: residuales vs. ajustados (patrón curvo o abanico), Q-Q (normalidad) y escala-localización —si aparece un patrón curvo, la solución en S03 es </w:t>
            </w:r>
            <w:r>
              <w:rPr>
                <w:rFonts w:ascii="Cambria" w:cs="Cambria" w:eastAsia="Cambria" w:hAnsi="Cambria"/>
                <w:b/>
                <w:bCs/>
                <w:color w:val="2D2D2D"/>
                <w:sz w:val="19"/>
                <w:szCs w:val="19"/>
              </w:rPr>
              <w:t xml:space="preserve">transformar el predictor</w:t>
            </w:r>
            <w:r>
              <w:rPr>
                <w:rFonts w:ascii="Cambria" w:cs="Cambria" w:eastAsia="Cambria" w:hAnsi="Cambria"/>
                <w:color w:val="2D2D2D"/>
                <w:sz w:val="19"/>
                <w:szCs w:val="19"/>
              </w:rPr>
              <w:t xml:space="preserve"> (p. ej. log de la inversión), no cambiar de familia de modelo; el diagnóstico formal (Breusch-Pagan, VIF, robustos) es de la S04 y aquí solo se anticipa visualmente—; (4) </w:t>
            </w:r>
            <w:r>
              <w:rPr>
                <w:rFonts w:ascii="Cambria" w:cs="Cambria" w:eastAsia="Cambria" w:hAnsi="Cambria"/>
                <w:b/>
                <w:bCs/>
                <w:color w:val="2D2D2D"/>
                <w:sz w:val="19"/>
                <w:szCs w:val="19"/>
              </w:rPr>
              <w:t xml:space="preserve">distinguir el intervalo correcto (drill 2)</w:t>
            </w:r>
            <w:r>
              <w:rPr>
                <w:rFonts w:ascii="Cambria" w:cs="Cambria" w:eastAsia="Cambria" w:hAnsi="Cambria"/>
                <w:color w:val="2D2D2D"/>
                <w:sz w:val="19"/>
                <w:szCs w:val="19"/>
              </w:rPr>
              <w:t xml:space="preserve">: para un valor de inversión, calcular el </w:t>
            </w:r>
            <w:r>
              <w:rPr>
                <w:rFonts w:ascii="Cambria" w:cs="Cambria" w:eastAsia="Cambria" w:hAnsi="Cambria"/>
                <w:b/>
                <w:bCs/>
                <w:color w:val="2D2D2D"/>
                <w:sz w:val="19"/>
                <w:szCs w:val="19"/>
              </w:rPr>
              <w:t xml:space="preserve">IC de la media</w:t>
            </w:r>
            <w:r>
              <w:rPr>
                <w:rFonts w:ascii="Cambria" w:cs="Cambria" w:eastAsia="Cambria" w:hAnsi="Cambria"/>
                <w:color w:val="2D2D2D"/>
                <w:sz w:val="19"/>
                <w:szCs w:val="19"/>
              </w:rPr>
              <w:t xml:space="preserve"> (planeación agregada) y el </w:t>
            </w:r>
            <w:r>
              <w:rPr>
                <w:rFonts w:ascii="Cambria" w:cs="Cambria" w:eastAsia="Cambria" w:hAnsi="Cambria"/>
                <w:b/>
                <w:bCs/>
                <w:color w:val="2D2D2D"/>
                <w:sz w:val="19"/>
                <w:szCs w:val="19"/>
              </w:rPr>
              <w:t xml:space="preserve">intervalo de predicción</w:t>
            </w:r>
            <w:r>
              <w:rPr>
                <w:rFonts w:ascii="Cambria" w:cs="Cambria" w:eastAsia="Cambria" w:hAnsi="Cambria"/>
                <w:color w:val="2D2D2D"/>
                <w:sz w:val="19"/>
                <w:szCs w:val="19"/>
              </w:rPr>
              <w:t xml:space="preserve"> (compromiso con un mercado concreto, mucho más ancho) —reportar el estrecho cuando corresponde el ancho transmite falsa precisión—; (5) </w:t>
            </w:r>
            <w:r>
              <w:rPr>
                <w:rFonts w:ascii="Cambria" w:cs="Cambria" w:eastAsia="Cambria" w:hAnsi="Cambria"/>
                <w:b/>
                <w:bCs/>
                <w:color w:val="2D2D2D"/>
                <w:sz w:val="19"/>
                <w:szCs w:val="19"/>
              </w:rPr>
              <w:t xml:space="preserve">evaluar fuera de muestra</w:t>
            </w:r>
            <w:r>
              <w:rPr>
                <w:rFonts w:ascii="Cambria" w:cs="Cambria" w:eastAsia="Cambria" w:hAnsi="Cambria"/>
                <w:color w:val="2D2D2D"/>
                <w:sz w:val="19"/>
                <w:szCs w:val="19"/>
              </w:rPr>
              <w:t xml:space="preserve"> con una partición train/test 80/20 (</w:t>
            </w:r>
            <w:r>
              <w:rPr>
                <w:rFonts w:ascii="Cambria" w:cs="Cambria" w:eastAsia="Cambria" w:hAnsi="Cambria"/>
                <w:b/>
                <w:bCs/>
                <w:color w:val="2D2D2D"/>
                <w:sz w:val="19"/>
                <w:szCs w:val="19"/>
              </w:rPr>
              <w:t xml:space="preserve">semilla 42</w:t>
            </w:r>
            <w:r>
              <w:rPr>
                <w:rFonts w:ascii="Cambria" w:cs="Cambria" w:eastAsia="Cambria" w:hAnsi="Cambria"/>
                <w:color w:val="2D2D2D"/>
                <w:sz w:val="19"/>
                <w:szCs w:val="19"/>
              </w:rPr>
              <w:t xml:space="preserve">): ajustar en train y medir </w:t>
            </w:r>
            <w:r>
              <w:rPr>
                <w:rFonts w:ascii="Cambria" w:cs="Cambria" w:eastAsia="Cambria" w:hAnsi="Cambria"/>
                <w:b/>
                <w:bCs/>
                <w:color w:val="2D2D2D"/>
                <w:sz w:val="19"/>
                <w:szCs w:val="19"/>
              </w:rPr>
              <w:t xml:space="preserve">RMSE</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MAE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en los dos conjuntos</w:t>
            </w:r>
            <w:r>
              <w:rPr>
                <w:rFonts w:ascii="Cambria" w:cs="Cambria" w:eastAsia="Cambria" w:hAnsi="Cambria"/>
                <w:color w:val="2D2D2D"/>
                <w:sz w:val="19"/>
                <w:szCs w:val="19"/>
              </w:rPr>
              <w:t xml:space="preserve"> —train y test, como exige el criterio C4 del entregable— en miles de unidades (un modelo se valora por su error de prueba, no por su R² de entrenamiento; si train y test difieren mucho, hay sobreajuste); en la propia réplica de Galton este esquema dio RMSE test 3,26 / MAE test 2,79 / R² test 0,109 con pendiente de entrenamiento (0,644) cercana a la global (0,637): un modelo simple, estable y fiable (ver nota técnica 2.1 sobre cómo escribir este resultado sin tergiversarlo); y (6) </w:t>
            </w:r>
            <w:r>
              <w:rPr>
                <w:rFonts w:ascii="Cambria" w:cs="Cambria" w:eastAsia="Cambria" w:hAnsi="Cambria"/>
                <w:b/>
                <w:bCs/>
                <w:color w:val="2D2D2D"/>
                <w:sz w:val="19"/>
                <w:szCs w:val="19"/>
              </w:rPr>
              <w:t xml:space="preserve">recomendación gerencial</w:t>
            </w:r>
            <w:r>
              <w:rPr>
                <w:rFonts w:ascii="Cambria" w:cs="Cambria" w:eastAsia="Cambria" w:hAnsi="Cambria"/>
                <w:color w:val="2D2D2D"/>
                <w:sz w:val="19"/>
                <w:szCs w:val="19"/>
              </w:rPr>
              <w:t xml:space="preserve">: combinar β₁, su significancia, el diagnóstico de residuales y el error fuera de muestra en una decisión: ¿conviene invertir más en TV?, ¿con qué certeza?, ¿con qué error esperado por mercado?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 OLS simple de negocio ajustado, diagnosticado y evaluado fuera de muestra, con una recomendación gerencial documentada —el borrador del entregable de la sesión, redactado con la plantilla </w:t>
            </w:r>
            <w:r>
              <w:rPr>
                <w:rFonts w:ascii="Consolas" w:cs="Consolas" w:eastAsia="Consolas" w:hAnsi="Consolas"/>
                <w:color w:val="7A1526"/>
                <w:sz w:val="17"/>
                <w:szCs w:val="17"/>
              </w:rPr>
              <w:t xml:space="preserve">plantillas/reporte_regresion_gerencial.docx</w:t>
            </w:r>
            <w:r>
              <w:rPr>
                <w:rFonts w:ascii="Cambria" w:cs="Cambria" w:eastAsia="Cambria" w:hAnsi="Cambria"/>
                <w:color w:val="2D2D2D"/>
                <w:sz w:val="19"/>
                <w:szCs w:val="19"/>
              </w:rPr>
              <w:t xml:space="preserve">; la entrega es individual aunque el trabajo en clase se realice en parejas.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Cómo se escribe un resultado de train/test sin tergiversarlo</w:t>
            </w:r>
          </w:p>
          <w:p>
            <w:pPr>
              <w:spacing w:after="70" w:line="265"/>
            </w:pPr>
            <w:r>
              <w:rPr>
                <w:rFonts w:ascii="Cambria" w:cs="Cambria" w:eastAsia="Cambria" w:hAnsi="Cambria"/>
                <w:color w:val="3A3A3A"/>
                <w:sz w:val="18"/>
                <w:szCs w:val="18"/>
              </w:rPr>
              <w:t xml:space="preserve">Todos esos valores son </w:t>
            </w:r>
            <w:r>
              <w:rPr>
                <w:rFonts w:ascii="Cambria" w:cs="Cambria" w:eastAsia="Cambria" w:hAnsi="Cambria"/>
                <w:b/>
                <w:bCs/>
                <w:color w:val="3A3A3A"/>
                <w:sz w:val="18"/>
                <w:szCs w:val="18"/>
              </w:rPr>
              <w:t xml:space="preserve">dependientes de la partición</w:t>
            </w:r>
            <w:r>
              <w:rPr>
                <w:rFonts w:ascii="Cambria" w:cs="Cambria" w:eastAsia="Cambria" w:hAnsi="Cambria"/>
                <w:color w:val="3A3A3A"/>
                <w:sz w:val="18"/>
                <w:szCs w:val="18"/>
              </w:rPr>
              <w:t xml:space="preserve">. Repetido con 6 semillas (hoja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 del Excel de resultados), el RMSE test de </w:t>
            </w:r>
            <w:r>
              <w:rPr>
                <w:rFonts w:ascii="Cambria" w:cs="Cambria" w:eastAsia="Cambria" w:hAnsi="Cambria"/>
                <w:i/>
                <w:iCs/>
                <w:color w:val="3A3A3A"/>
                <w:sz w:val="18"/>
                <w:szCs w:val="18"/>
              </w:rPr>
              <w:t xml:space="preserve">Advertising</w:t>
            </w:r>
            <w:r>
              <w:rPr>
                <w:rFonts w:ascii="Cambria" w:cs="Cambria" w:eastAsia="Cambria" w:hAnsi="Cambria"/>
                <w:color w:val="3A3A3A"/>
                <w:sz w:val="18"/>
                <w:szCs w:val="18"/>
              </w:rPr>
              <w:t xml:space="preserve"> recorre </w:t>
            </w:r>
            <w:r>
              <w:rPr>
                <w:rFonts w:ascii="Cambria" w:cs="Cambria" w:eastAsia="Cambria" w:hAnsi="Cambria"/>
                <w:b/>
                <w:bCs/>
                <w:color w:val="3A3A3A"/>
                <w:sz w:val="18"/>
                <w:szCs w:val="18"/>
              </w:rPr>
              <w:t xml:space="preserve">2,94–3,30</w:t>
            </w:r>
            <w:r>
              <w:rPr>
                <w:rFonts w:ascii="Cambria" w:cs="Cambria" w:eastAsia="Cambria" w:hAnsi="Cambria"/>
                <w:color w:val="3A3A3A"/>
                <w:sz w:val="18"/>
                <w:szCs w:val="18"/>
              </w:rPr>
              <w:t xml:space="preserve"> y su R² test, </w:t>
            </w:r>
            <w:r>
              <w:rPr>
                <w:rFonts w:ascii="Cambria" w:cs="Cambria" w:eastAsia="Cambria" w:hAnsi="Cambria"/>
                <w:b/>
                <w:bCs/>
                <w:color w:val="3A3A3A"/>
                <w:sz w:val="18"/>
                <w:szCs w:val="18"/>
              </w:rPr>
              <w:t xml:space="preserve">0,415–0,678</w:t>
            </w:r>
            <w:r>
              <w:rPr>
                <w:rFonts w:ascii="Cambria" w:cs="Cambria" w:eastAsia="Cambria" w:hAnsi="Cambria"/>
                <w:color w:val="3A3A3A"/>
                <w:sz w:val="18"/>
                <w:szCs w:val="18"/>
              </w:rPr>
              <w:t xml:space="preserve">; en Galton la pendiente de entrenamiento recorre </w:t>
            </w:r>
            <w:r>
              <w:rPr>
                <w:rFonts w:ascii="Cambria" w:cs="Cambria" w:eastAsia="Cambria" w:hAnsi="Cambria"/>
                <w:b/>
                <w:bCs/>
                <w:color w:val="3A3A3A"/>
                <w:sz w:val="18"/>
                <w:szCs w:val="18"/>
              </w:rPr>
              <w:t xml:space="preserve">0,615–0,681</w:t>
            </w:r>
            <w:r>
              <w:rPr>
                <w:rFonts w:ascii="Cambria" w:cs="Cambria" w:eastAsia="Cambria" w:hAnsi="Cambria"/>
                <w:color w:val="3A3A3A"/>
                <w:sz w:val="18"/>
                <w:szCs w:val="18"/>
              </w:rPr>
              <w:t xml:space="preserve"> y el R² test, </w:t>
            </w:r>
            <w:r>
              <w:rPr>
                <w:rFonts w:ascii="Cambria" w:cs="Cambria" w:eastAsia="Cambria" w:hAnsi="Cambria"/>
                <w:b/>
                <w:bCs/>
                <w:color w:val="3A3A3A"/>
                <w:sz w:val="18"/>
                <w:szCs w:val="18"/>
              </w:rPr>
              <w:t xml:space="preserve">0,045–0,132</w:t>
            </w:r>
            <w:r>
              <w:rPr>
                <w:rFonts w:ascii="Cambria" w:cs="Cambria" w:eastAsia="Cambria" w:hAnsi="Cambria"/>
                <w:color w:val="3A3A3A"/>
                <w:sz w:val="18"/>
                <w:szCs w:val="18"/>
              </w:rPr>
              <w:t xml:space="preserve">. Lo que </w:t>
            </w:r>
            <w:r>
              <w:rPr>
                <w:rFonts w:ascii="Cambria" w:cs="Cambria" w:eastAsia="Cambria" w:hAnsi="Cambria"/>
                <w:b/>
                <w:bCs/>
                <w:color w:val="3A3A3A"/>
                <w:sz w:val="18"/>
                <w:szCs w:val="18"/>
              </w:rPr>
              <w:t xml:space="preserve">resiste</w:t>
            </w:r>
            <w:r>
              <w:rPr>
                <w:rFonts w:ascii="Cambria" w:cs="Cambria" w:eastAsia="Cambria" w:hAnsi="Cambria"/>
                <w:color w:val="3A3A3A"/>
                <w:sz w:val="18"/>
                <w:szCs w:val="18"/>
              </w:rPr>
              <w:t xml:space="preserve"> las 6 semillas es una sola afirmación: </w:t>
            </w:r>
            <w:r>
              <w:rPr>
                <w:rFonts w:ascii="Cambria" w:cs="Cambria" w:eastAsia="Cambria" w:hAnsi="Cambria"/>
                <w:b/>
                <w:bCs/>
                <w:color w:val="3A3A3A"/>
                <w:sz w:val="18"/>
                <w:szCs w:val="18"/>
              </w:rPr>
              <w:t xml:space="preserve">«RMSE de entrenamiento ≈ RMSE de prueba: no hay sobreajuste»</w:t>
            </w:r>
            <w:r>
              <w:rPr>
                <w:rFonts w:ascii="Cambria" w:cs="Cambria" w:eastAsia="Cambria" w:hAnsi="Cambria"/>
                <w:color w:val="3A3A3A"/>
                <w:sz w:val="18"/>
                <w:szCs w:val="18"/>
              </w:rPr>
              <w:t xml:space="preserve"> (brecha máxima 0,3745). Lo que </w:t>
            </w:r>
            <w:r>
              <w:rPr>
                <w:rFonts w:ascii="Cambria" w:cs="Cambria" w:eastAsia="Cambria" w:hAnsi="Cambria"/>
                <w:b/>
                <w:bCs/>
                <w:color w:val="3A3A3A"/>
                <w:sz w:val="18"/>
                <w:szCs w:val="18"/>
              </w:rPr>
              <w:t xml:space="preserve">NO resiste</w:t>
            </w:r>
            <w:r>
              <w:rPr>
                <w:rFonts w:ascii="Cambria" w:cs="Cambria" w:eastAsia="Cambria" w:hAnsi="Cambria"/>
                <w:color w:val="3A3A3A"/>
                <w:sz w:val="18"/>
                <w:szCs w:val="18"/>
              </w:rPr>
              <w:t xml:space="preserve"> —y por tanto no se escribe— es «el error de prueba es igual o </w:t>
            </w:r>
            <w:r>
              <w:rPr>
                <w:rFonts w:ascii="Cambria" w:cs="Cambria" w:eastAsia="Cambria" w:hAnsi="Cambria"/>
                <w:b/>
                <w:bCs/>
                <w:color w:val="3A3A3A"/>
                <w:sz w:val="18"/>
                <w:szCs w:val="18"/>
              </w:rPr>
              <w:t xml:space="preserve">mejor</w:t>
            </w:r>
            <w:r>
              <w:rPr>
                <w:rFonts w:ascii="Cambria" w:cs="Cambria" w:eastAsia="Cambria" w:hAnsi="Cambria"/>
                <w:color w:val="3A3A3A"/>
                <w:sz w:val="18"/>
                <w:szCs w:val="18"/>
              </w:rPr>
              <w:t xml:space="preserve"> que el de entrenamiento»: falla en 2 de 6 particiones. Regla de redacción del reporte: cada cifra puntual va con su etiqueta </w:t>
            </w:r>
            <w:r>
              <w:rPr>
                <w:rFonts w:ascii="Cambria" w:cs="Cambria" w:eastAsia="Cambria" w:hAnsi="Cambria"/>
                <w:b/>
                <w:bCs/>
                <w:color w:val="3A3A3A"/>
                <w:sz w:val="18"/>
                <w:szCs w:val="18"/>
              </w:rPr>
              <w:t xml:space="preserve">«(semilla 42)»</w:t>
            </w:r>
            <w:r>
              <w:rPr>
                <w:rFonts w:ascii="Cambria" w:cs="Cambria" w:eastAsia="Cambria" w:hAnsi="Cambria"/>
                <w:color w:val="3A3A3A"/>
                <w:sz w:val="18"/>
                <w:szCs w:val="18"/>
              </w:rPr>
              <w:t xml:space="preserve">, y la comparación train</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test se enuncia como «prácticamente iguales», nunca como una ventaja del test.</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Supuestos del modelo (fuente única)</w:t>
            </w:r>
          </w:p>
          <w:p>
            <w:pPr>
              <w:spacing w:after="70" w:line="265"/>
            </w:pPr>
            <w:r>
              <w:rPr>
                <w:rFonts w:ascii="Cambria" w:cs="Cambria" w:eastAsia="Cambria" w:hAnsi="Cambria"/>
                <w:color w:val="3A3A3A"/>
                <w:sz w:val="18"/>
                <w:szCs w:val="18"/>
              </w:rPr>
              <w:t xml:space="preserve">El diagnóstico de residuales de los puntos 3–5 verifica los supuestos de Gauss-Markov. En S03 se hace </w:t>
            </w:r>
            <w:r>
              <w:rPr>
                <w:rFonts w:ascii="Cambria" w:cs="Cambria" w:eastAsia="Cambria" w:hAnsi="Cambria"/>
                <w:b/>
                <w:bCs/>
                <w:color w:val="3A3A3A"/>
                <w:sz w:val="18"/>
                <w:szCs w:val="18"/>
              </w:rPr>
              <w:t xml:space="preserve">visualmente</w:t>
            </w:r>
            <w:r>
              <w:rPr>
                <w:rFonts w:ascii="Cambria" w:cs="Cambria" w:eastAsia="Cambria" w:hAnsi="Cambria"/>
                <w:color w:val="3A3A3A"/>
                <w:sz w:val="18"/>
                <w:szCs w:val="18"/>
              </w:rPr>
              <w:t xml:space="preserve"> y se corrige </w:t>
            </w:r>
            <w:r>
              <w:rPr>
                <w:rFonts w:ascii="Cambria" w:cs="Cambria" w:eastAsia="Cambria" w:hAnsi="Cambria"/>
                <w:b/>
                <w:bCs/>
                <w:color w:val="3A3A3A"/>
                <w:sz w:val="18"/>
                <w:szCs w:val="18"/>
              </w:rPr>
              <w:t xml:space="preserve">al transformar</w:t>
            </w:r>
            <w:r>
              <w:rPr>
                <w:rFonts w:ascii="Cambria" w:cs="Cambria" w:eastAsia="Cambria" w:hAnsi="Cambria"/>
                <w:color w:val="3A3A3A"/>
                <w:sz w:val="18"/>
                <w:szCs w:val="18"/>
              </w:rPr>
              <w:t xml:space="preserve"> X/Y: linealidad (residuales vs. ajustados en U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transformar el predictor), homocedasticidad (abanico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transformar Y), normalidad (Q-Q; con n grande el TCL basta), independencia (ver la nota técnica 2.3) e influencia/atípicos (residuales vs. leverage; análisis de sensibilidad con y sin el caso). Las pruebas formales (RESET de Ramsey, Breusch-Pagan, White) y los errores robustos se </w:t>
            </w:r>
            <w:r>
              <w:rPr>
                <w:rFonts w:ascii="Cambria" w:cs="Cambria" w:eastAsia="Cambria" w:hAnsi="Cambria"/>
                <w:b/>
                <w:bCs/>
                <w:color w:val="3A3A3A"/>
                <w:sz w:val="18"/>
                <w:szCs w:val="18"/>
              </w:rPr>
              <w:t xml:space="preserve">nombran con su umbral</w:t>
            </w:r>
            <w:r>
              <w:rPr>
                <w:rFonts w:ascii="Cambria" w:cs="Cambria" w:eastAsia="Cambria" w:hAnsi="Cambria"/>
                <w:color w:val="3A3A3A"/>
                <w:sz w:val="18"/>
                <w:szCs w:val="18"/>
              </w:rPr>
              <w:t xml:space="preserve"> pero se ejecutan en S04+. El tratamiento completo —qué es cada supuesto, cómo se identifica y cómo se corrige por qué método— está en la guía de supuestos de la sesión, con el recordatorio de un vistazo en </w:t>
            </w:r>
            <w:r>
              <w:rPr>
                <w:rFonts w:ascii="Consolas" w:cs="Consolas" w:eastAsia="Consolas" w:hAnsi="Consolas"/>
                <w:color w:val="7A1526"/>
                <w:sz w:val="16"/>
                <w:szCs w:val="16"/>
              </w:rPr>
              <w:t xml:space="preserve">plantillas/guia_residuales.docx</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Aviso sobre independencia y el Durbin-Watson de Galton (léase antes de reportarlo)</w:t>
            </w:r>
          </w:p>
          <w:p>
            <w:pPr>
              <w:spacing w:after="70" w:line="265"/>
            </w:pPr>
            <w:r>
              <w:rPr>
                <w:rFonts w:ascii="Cambria" w:cs="Cambria" w:eastAsia="Cambria" w:hAnsi="Cambria"/>
                <w:color w:val="3A3A3A"/>
                <w:sz w:val="18"/>
                <w:szCs w:val="18"/>
              </w:rPr>
              <w:t xml:space="preserve">El summary de la réplica imprime </w:t>
            </w:r>
            <w:r>
              <w:rPr>
                <w:rFonts w:ascii="Cambria" w:cs="Cambria" w:eastAsia="Cambria" w:hAnsi="Cambria"/>
                <w:b/>
                <w:bCs/>
                <w:color w:val="3A3A3A"/>
                <w:sz w:val="18"/>
                <w:szCs w:val="18"/>
              </w:rPr>
              <w:t xml:space="preserve">DW = 1,386</w:t>
            </w:r>
            <w:r>
              <w:rPr>
                <w:rFonts w:ascii="Cambria" w:cs="Cambria" w:eastAsia="Cambria" w:hAnsi="Cambria"/>
                <w:color w:val="3A3A3A"/>
                <w:sz w:val="18"/>
                <w:szCs w:val="18"/>
              </w:rPr>
              <w:t xml:space="preserve">, y sería un error escribir «hay autocorrelación». El CSV de Galton está </w:t>
            </w:r>
            <w:r>
              <w:rPr>
                <w:rFonts w:ascii="Cambria" w:cs="Cambria" w:eastAsia="Cambria" w:hAnsi="Cambria"/>
                <w:b/>
                <w:bCs/>
                <w:color w:val="3A3A3A"/>
                <w:sz w:val="18"/>
                <w:szCs w:val="18"/>
              </w:rPr>
              <w:t xml:space="preserve">ordenado por estatura paterna descendente</w:t>
            </w:r>
            <w:r>
              <w:rPr>
                <w:rFonts w:ascii="Cambria" w:cs="Cambria" w:eastAsia="Cambria" w:hAnsi="Cambria"/>
                <w:color w:val="3A3A3A"/>
                <w:sz w:val="18"/>
                <w:szCs w:val="18"/>
              </w:rPr>
              <w:t xml:space="preserve"> —corr(índice, father) = </w:t>
            </w:r>
            <w:r>
              <w:rPr>
                <w:rFonts w:ascii="Cambria" w:cs="Cambria" w:eastAsia="Cambria" w:hAnsi="Cambria"/>
                <w:b/>
                <w:bCs/>
                <w:color w:val="3A3A3A"/>
                <w:sz w:val="18"/>
                <w:szCs w:val="18"/>
              </w:rPr>
              <w:t xml:space="preserve">−0,952</w:t>
            </w:r>
            <w:r>
              <w:rPr>
                <w:rFonts w:ascii="Cambria" w:cs="Cambria" w:eastAsia="Cambria" w:hAnsi="Cambria"/>
                <w:color w:val="3A3A3A"/>
                <w:sz w:val="18"/>
                <w:szCs w:val="18"/>
              </w:rPr>
              <w:t xml:space="preserve">—, de modo que el DW, que compara cada residual con el anterior </w:t>
            </w:r>
            <w:r>
              <w:rPr>
                <w:rFonts w:ascii="Cambria" w:cs="Cambria" w:eastAsia="Cambria" w:hAnsi="Cambria"/>
                <w:i/>
                <w:iCs/>
                <w:color w:val="3A3A3A"/>
                <w:sz w:val="18"/>
                <w:szCs w:val="18"/>
              </w:rPr>
              <w:t xml:space="preserve">en el orden del archivo</w:t>
            </w:r>
            <w:r>
              <w:rPr>
                <w:rFonts w:ascii="Cambria" w:cs="Cambria" w:eastAsia="Cambria" w:hAnsi="Cambria"/>
                <w:color w:val="3A3A3A"/>
                <w:sz w:val="18"/>
                <w:szCs w:val="18"/>
              </w:rPr>
              <w:t xml:space="preserve">, mide residuales contra el </w:t>
            </w:r>
            <w:r>
              <w:rPr>
                <w:rFonts w:ascii="Cambria" w:cs="Cambria" w:eastAsia="Cambria" w:hAnsi="Cambria"/>
                <w:b/>
                <w:bCs/>
                <w:color w:val="3A3A3A"/>
                <w:sz w:val="18"/>
                <w:szCs w:val="18"/>
              </w:rPr>
              <w:t xml:space="preserve">predictor ordenado</w:t>
            </w:r>
            <w:r>
              <w:rPr>
                <w:rFonts w:ascii="Cambria" w:cs="Cambria" w:eastAsia="Cambria" w:hAnsi="Cambria"/>
                <w:color w:val="3A3A3A"/>
                <w:sz w:val="18"/>
                <w:szCs w:val="18"/>
              </w:rPr>
              <w:t xml:space="preserve">, no contra una secuencia temporal: al permutar las 934 filas al azar el DW sube a </w:t>
            </w:r>
            <w:r>
              <w:rPr>
                <w:rFonts w:ascii="Cambria" w:cs="Cambria" w:eastAsia="Cambria" w:hAnsi="Cambria"/>
                <w:b/>
                <w:bCs/>
                <w:color w:val="3A3A3A"/>
                <w:sz w:val="18"/>
                <w:szCs w:val="18"/>
              </w:rPr>
              <w:t xml:space="preserve">1,994</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orden_independencia</w:t>
            </w:r>
            <w:r>
              <w:rPr>
                <w:rFonts w:ascii="Cambria" w:cs="Cambria" w:eastAsia="Cambria" w:hAnsi="Cambria"/>
                <w:color w:val="3A3A3A"/>
                <w:sz w:val="18"/>
                <w:szCs w:val="18"/>
              </w:rPr>
              <w:t xml:space="preserve">). En consecuencia: (a) en Galton el DW </w:t>
            </w:r>
            <w:r>
              <w:rPr>
                <w:rFonts w:ascii="Cambria" w:cs="Cambria" w:eastAsia="Cambria" w:hAnsi="Cambria"/>
                <w:b/>
                <w:bCs/>
                <w:color w:val="3A3A3A"/>
                <w:sz w:val="18"/>
                <w:szCs w:val="18"/>
              </w:rPr>
              <w:t xml:space="preserve">no diagnostica autocorrelación</w:t>
            </w:r>
            <w:r>
              <w:rPr>
                <w:rFonts w:ascii="Cambria" w:cs="Cambria" w:eastAsia="Cambria" w:hAnsi="Cambria"/>
                <w:color w:val="3A3A3A"/>
                <w:sz w:val="18"/>
                <w:szCs w:val="18"/>
              </w:rPr>
              <w:t xml:space="preserve"> y no se reporta como tal; (b) el gráfico «residuales vs. orden» de esta réplica tiene en el eje X </w:t>
            </w:r>
            <w:r>
              <w:rPr>
                <w:rFonts w:ascii="Cambria" w:cs="Cambria" w:eastAsia="Cambria" w:hAnsi="Cambria"/>
                <w:b/>
                <w:bCs/>
                <w:color w:val="3A3A3A"/>
                <w:sz w:val="18"/>
                <w:szCs w:val="18"/>
              </w:rPr>
              <w:t xml:space="preserve">la X ordenada, no el tiempo</w:t>
            </w:r>
            <w:r>
              <w:rPr>
                <w:rFonts w:ascii="Cambria" w:cs="Cambria" w:eastAsia="Cambria" w:hAnsi="Cambria"/>
                <w:color w:val="3A3A3A"/>
                <w:sz w:val="18"/>
                <w:szCs w:val="18"/>
              </w:rPr>
              <w:t xml:space="preserve">, y así debe rotularse; (c) la dependencia que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existe en estos datos es </w:t>
            </w:r>
            <w:r>
              <w:rPr>
                <w:rFonts w:ascii="Cambria" w:cs="Cambria" w:eastAsia="Cambria" w:hAnsi="Cambria"/>
                <w:b/>
                <w:bCs/>
                <w:color w:val="3A3A3A"/>
                <w:sz w:val="18"/>
                <w:szCs w:val="18"/>
              </w:rPr>
              <w:t xml:space="preserve">intrafamiliar</w:t>
            </w:r>
            <w:r>
              <w:rPr>
                <w:rFonts w:ascii="Cambria" w:cs="Cambria" w:eastAsia="Cambria" w:hAnsi="Cambria"/>
                <w:color w:val="3A3A3A"/>
                <w:sz w:val="18"/>
                <w:szCs w:val="18"/>
              </w:rPr>
              <w:t xml:space="preserve"> —los 934 hijos vienen de 205 familias y los hermanos comparten mid-parent y entorno, con un </w:t>
            </w:r>
            <w:r>
              <w:rPr>
                <w:rFonts w:ascii="Cambria" w:cs="Cambria" w:eastAsia="Cambria" w:hAnsi="Cambria"/>
                <w:b/>
                <w:bCs/>
                <w:color w:val="3A3A3A"/>
                <w:sz w:val="18"/>
                <w:szCs w:val="18"/>
              </w:rPr>
              <w:t xml:space="preserve">ICC de 0,417</w:t>
            </w:r>
            <w:r>
              <w:rPr>
                <w:rFonts w:ascii="Cambria" w:cs="Cambria" w:eastAsia="Cambria" w:hAnsi="Cambria"/>
                <w:color w:val="3A3A3A"/>
                <w:sz w:val="18"/>
                <w:szCs w:val="18"/>
              </w:rPr>
              <w:t xml:space="preserve">—, y esa sí compromete la independencia entre observaciones, aunque su corrección (errores agrupados, modelos multinivel) quede fuera del alcance de S03. Contraste con el caso de negocio: en </w:t>
            </w:r>
            <w:r>
              <w:rPr>
                <w:rFonts w:ascii="Cambria" w:cs="Cambria" w:eastAsia="Cambria" w:hAnsi="Cambria"/>
                <w:i/>
                <w:iCs/>
                <w:color w:val="3A3A3A"/>
                <w:sz w:val="18"/>
                <w:szCs w:val="18"/>
              </w:rPr>
              <w:t xml:space="preserve">Advertising</w:t>
            </w:r>
            <w:r>
              <w:rPr>
                <w:rFonts w:ascii="Cambria" w:cs="Cambria" w:eastAsia="Cambria" w:hAnsi="Cambria"/>
                <w:color w:val="3A3A3A"/>
                <w:sz w:val="18"/>
                <w:szCs w:val="18"/>
              </w:rPr>
              <w:t xml:space="preserve"> los 200 mercados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son independientes (índice consecutivo, corr(índice, TV) = 0,018, </w:t>
            </w:r>
            <w:r>
              <w:rPr>
                <w:rFonts w:ascii="Cambria" w:cs="Cambria" w:eastAsia="Cambria" w:hAnsi="Cambria"/>
                <w:b/>
                <w:bCs/>
                <w:color w:val="3A3A3A"/>
                <w:sz w:val="18"/>
                <w:szCs w:val="18"/>
              </w:rPr>
              <w:t xml:space="preserve">DW = 1,935</w:t>
            </w:r>
            <w:r>
              <w:rPr>
                <w:rFonts w:ascii="Cambria" w:cs="Cambria" w:eastAsia="Cambria" w:hAnsi="Cambria"/>
                <w:color w:val="3A3A3A"/>
                <w:sz w:val="18"/>
                <w:szCs w:val="18"/>
              </w:rPr>
              <w:t xml:space="preserve">), y ahí el diagnóstico se lee sin reservas.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Convención Excel del curso</w:t>
            </w:r>
          </w:p>
          <w:p>
            <w:pPr>
              <w:spacing w:after="70" w:line="265"/>
            </w:pPr>
            <w:r>
              <w:rPr>
                <w:rFonts w:ascii="Cambria" w:cs="Cambria" w:eastAsia="Cambria" w:hAnsi="Cambria"/>
                <w:color w:val="3A3A3A"/>
                <w:sz w:val="18"/>
                <w:szCs w:val="18"/>
              </w:rPr>
              <w:t xml:space="preserve">Todos los resultados del análisis (β₀, β₁, SE, t, p, IC, R², RMSE/MAE </w:t>
            </w:r>
            <w:r>
              <w:rPr>
                <w:rFonts w:ascii="Cambria" w:cs="Cambria" w:eastAsia="Cambria" w:hAnsi="Cambria"/>
                <w:b/>
                <w:bCs/>
                <w:color w:val="3A3A3A"/>
                <w:sz w:val="18"/>
                <w:szCs w:val="18"/>
              </w:rPr>
              <w:t xml:space="preserve">de train y de test</w:t>
            </w:r>
            <w:r>
              <w:rPr>
                <w:rFonts w:ascii="Cambria" w:cs="Cambria" w:eastAsia="Cambria" w:hAnsi="Cambria"/>
                <w:color w:val="3A3A3A"/>
                <w:sz w:val="18"/>
                <w:szCs w:val="18"/>
              </w:rPr>
              <w:t xml:space="preserve">) se exportan a </w:t>
            </w:r>
            <w:r>
              <w:rPr>
                <w:rFonts w:ascii="Consolas" w:cs="Consolas" w:eastAsia="Consolas" w:hAnsi="Consolas"/>
                <w:color w:val="7A1526"/>
                <w:sz w:val="16"/>
                <w:szCs w:val="16"/>
              </w:rPr>
              <w:t xml:space="preserve">resultados/S03_resultados.xlsx</w:t>
            </w:r>
            <w:r>
              <w:rPr>
                <w:rFonts w:ascii="Cambria" w:cs="Cambria" w:eastAsia="Cambria" w:hAnsi="Cambria"/>
                <w:color w:val="3A3A3A"/>
                <w:sz w:val="18"/>
                <w:szCs w:val="18"/>
              </w:rPr>
              <w:t xml:space="preserve"> (sección 6 del cuaderno) y las gráficas de </w:t>
            </w:r>
            <w:r>
              <w:rPr>
                <w:rFonts w:ascii="Cambria" w:cs="Cambria" w:eastAsia="Cambria" w:hAnsi="Cambria"/>
                <w:b/>
                <w:bCs/>
                <w:color w:val="3A3A3A"/>
                <w:sz w:val="18"/>
                <w:szCs w:val="18"/>
              </w:rPr>
              <w:t xml:space="preserve">resultados</w:t>
            </w:r>
            <w:r>
              <w:rPr>
                <w:rFonts w:ascii="Cambria" w:cs="Cambria" w:eastAsia="Cambria" w:hAnsi="Cambria"/>
                <w:color w:val="3A3A3A"/>
                <w:sz w:val="18"/>
                <w:szCs w:val="18"/>
              </w:rPr>
              <w:t xml:space="preserve">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nunca desde objetos en memoria. Dos precisiones para que la convención se pueda auditar: (a) el libro de referencia tiene </w:t>
            </w:r>
            <w:r>
              <w:rPr>
                <w:rFonts w:ascii="Cambria" w:cs="Cambria" w:eastAsia="Cambria" w:hAnsi="Cambria"/>
                <w:b/>
                <w:bCs/>
                <w:color w:val="3A3A3A"/>
                <w:sz w:val="18"/>
                <w:szCs w:val="18"/>
              </w:rPr>
              <w:t xml:space="preserve">11 hojas</w:t>
            </w:r>
            <w:r>
              <w:rPr>
                <w:rFonts w:ascii="Cambria" w:cs="Cambria" w:eastAsia="Cambria" w:hAnsi="Cambria"/>
                <w:color w:val="3A3A3A"/>
                <w:sz w:val="18"/>
                <w:szCs w:val="18"/>
              </w:rPr>
              <w:t xml:space="preserve"> —las 6 de </w:t>
            </w:r>
            <w:r>
              <w:rPr>
                <w:rFonts w:ascii="Cambria" w:cs="Cambria" w:eastAsia="Cambria" w:hAnsi="Cambria"/>
                <w:b/>
                <w:bCs/>
                <w:color w:val="3A3A3A"/>
                <w:sz w:val="18"/>
                <w:szCs w:val="18"/>
              </w:rPr>
              <w:t xml:space="preserve">contrato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regresion_galton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inferencia_galton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traintest_galton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advertising_ols</w:t>
            </w:r>
            <w:r>
              <w:rPr>
                <w:rFonts w:ascii="Cambria" w:cs="Cambria" w:eastAsia="Cambria" w:hAnsi="Cambria"/>
                <w:color w:val="3A3A3A"/>
                <w:sz w:val="18"/>
                <w:szCs w:val="18"/>
              </w:rPr>
              <w:t xml:space="preserve">, anscombe, </w:t>
            </w:r>
            <w:r>
              <w:rPr>
                <w:rFonts w:ascii="Consolas" w:cs="Consolas" w:eastAsia="Consolas" w:hAnsi="Consolas"/>
                <w:color w:val="7A1526"/>
                <w:sz w:val="16"/>
                <w:szCs w:val="16"/>
              </w:rPr>
              <w:t xml:space="preserve">advertising_canales</w:t>
            </w:r>
            <w:r>
              <w:rPr>
                <w:rFonts w:ascii="Cambria" w:cs="Cambria" w:eastAsia="Cambria" w:hAnsi="Cambria"/>
                <w:color w:val="3A3A3A"/>
                <w:sz w:val="18"/>
                <w:szCs w:val="18"/>
              </w:rPr>
              <w:t xml:space="preserve">) y las 5 de </w:t>
            </w:r>
            <w:r>
              <w:rPr>
                <w:rFonts w:ascii="Cambria" w:cs="Cambria" w:eastAsia="Cambria" w:hAnsi="Cambria"/>
                <w:b/>
                <w:bCs/>
                <w:color w:val="3A3A3A"/>
                <w:sz w:val="18"/>
                <w:szCs w:val="18"/>
              </w:rPr>
              <w:t xml:space="preserve">registro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metricas_train_test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inferencia_advertising</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rendimiento_canales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orden_independencia</w:t>
            </w:r>
            <w:r>
              <w:rPr>
                <w:rFonts w:ascii="Cambria" w:cs="Cambria" w:eastAsia="Cambria" w:hAnsi="Cambria"/>
                <w:color w:val="3A3A3A"/>
                <w:sz w:val="18"/>
                <w:szCs w:val="18"/>
              </w:rPr>
              <w:t xml:space="preserve">), donde viven la inferencia completa de </w:t>
            </w:r>
            <w:r>
              <w:rPr>
                <w:rFonts w:ascii="Cambria" w:cs="Cambria" w:eastAsia="Cambria" w:hAnsi="Cambria"/>
                <w:i/>
                <w:iCs/>
                <w:color w:val="3A3A3A"/>
                <w:sz w:val="18"/>
                <w:szCs w:val="18"/>
              </w:rPr>
              <w:t xml:space="preserve">Advertising</w:t>
            </w:r>
            <w:r>
              <w:rPr>
                <w:rFonts w:ascii="Cambria" w:cs="Cambria" w:eastAsia="Cambria" w:hAnsi="Cambria"/>
                <w:color w:val="3A3A3A"/>
                <w:sz w:val="18"/>
                <w:szCs w:val="18"/>
              </w:rPr>
              <w:t xml:space="preserve">, las cuatro métricas de train y test, el rendimiento por canal, la estabilidad entre semillas y las pruebas de orden—; (b) «graficar al leer el Excel» aplica a </w:t>
            </w:r>
            <w:r>
              <w:rPr>
                <w:rFonts w:ascii="Cambria" w:cs="Cambria" w:eastAsia="Cambria" w:hAnsi="Cambria"/>
                <w:b/>
                <w:bCs/>
                <w:color w:val="3A3A3A"/>
                <w:sz w:val="18"/>
                <w:szCs w:val="18"/>
              </w:rPr>
              <w:t xml:space="preserve">las cifras del modelo</w:t>
            </w:r>
            <w:r>
              <w:rPr>
                <w:rFonts w:ascii="Cambria" w:cs="Cambria" w:eastAsia="Cambria" w:hAnsi="Cambria"/>
                <w:color w:val="3A3A3A"/>
                <w:sz w:val="18"/>
                <w:szCs w:val="18"/>
              </w:rPr>
              <w:t xml:space="preserve"> —los coeficientes de las rectas y las barras se leen con pd.</w:t>
            </w:r>
            <w:r>
              <w:rPr>
                <w:rFonts w:ascii="Consolas" w:cs="Consolas" w:eastAsia="Consolas" w:hAnsi="Consolas"/>
                <w:color w:val="7A1526"/>
                <w:sz w:val="16"/>
                <w:szCs w:val="16"/>
              </w:rPr>
              <w:t xml:space="preserve">read_excel</w:t>
            </w:r>
            <w:r>
              <w:rPr>
                <w:rFonts w:ascii="Cambria" w:cs="Cambria" w:eastAsia="Cambria" w:hAnsi="Cambria"/>
                <w:color w:val="3A3A3A"/>
                <w:sz w:val="18"/>
                <w:szCs w:val="18"/>
              </w:rPr>
              <w:t xml:space="preserve">—, mientras que las </w:t>
            </w:r>
            <w:r>
              <w:rPr>
                <w:rFonts w:ascii="Cambria" w:cs="Cambria" w:eastAsia="Cambria" w:hAnsi="Cambria"/>
                <w:b/>
                <w:bCs/>
                <w:color w:val="3A3A3A"/>
                <w:sz w:val="18"/>
                <w:szCs w:val="18"/>
              </w:rPr>
              <w:t xml:space="preserve">nubes de puntos</w:t>
            </w:r>
            <w:r>
              <w:rPr>
                <w:rFonts w:ascii="Cambria" w:cs="Cambria" w:eastAsia="Cambria" w:hAnsi="Cambria"/>
                <w:color w:val="3A3A3A"/>
                <w:sz w:val="18"/>
                <w:szCs w:val="18"/>
              </w:rPr>
              <w:t xml:space="preserve"> de fondo se trazan con los datos crudos, que no son resultados. Lo que nunca se admite es una cifra de resultado escrita manualmente en el gráfico.</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El paso 6 produce el borrador del </w:t>
      </w:r>
      <w:r>
        <w:rPr>
          <w:rFonts w:ascii="Cambria" w:cs="Cambria" w:eastAsia="Cambria" w:hAnsi="Cambria"/>
          <w:b/>
          <w:bCs/>
          <w:color w:val="2D2D2D"/>
          <w:sz w:val="20"/>
          <w:szCs w:val="20"/>
        </w:rPr>
        <w:t xml:space="preserve">entregable evaluable de la S03</w:t>
      </w:r>
      <w:r>
        <w:rPr>
          <w:rFonts w:ascii="Cambria" w:cs="Cambria" w:eastAsia="Cambria" w:hAnsi="Cambria"/>
          <w:color w:val="2D2D2D"/>
          <w:sz w:val="20"/>
          <w:szCs w:val="20"/>
        </w:rPr>
        <w:t xml:space="preserve">: ajustar e interpretar un OLS simple sobre </w:t>
      </w:r>
      <w:r>
        <w:rPr>
          <w:rFonts w:ascii="Cambria" w:cs="Cambria" w:eastAsia="Cambria" w:hAnsi="Cambria"/>
          <w:i/>
          <w:iCs/>
          <w:color w:val="2D2D2D"/>
          <w:sz w:val="20"/>
          <w:szCs w:val="20"/>
        </w:rPr>
        <w:t xml:space="preserve">Advertising</w:t>
      </w:r>
      <w:r>
        <w:rPr>
          <w:rFonts w:ascii="Cambria" w:cs="Cambria" w:eastAsia="Cambria" w:hAnsi="Cambria"/>
          <w:color w:val="2D2D2D"/>
          <w:sz w:val="20"/>
          <w:szCs w:val="20"/>
        </w:rPr>
        <w:t xml:space="preserve"> (ventas ~ un canal), reportar β₀/β₁ en unidades de negocio, R², diagnóstico de residuales y error fuera de muestra (train/test RMSE/MAE), con una </w:t>
      </w:r>
      <w:r>
        <w:rPr>
          <w:rFonts w:ascii="Cambria" w:cs="Cambria" w:eastAsia="Cambria" w:hAnsi="Cambria"/>
          <w:b/>
          <w:bCs/>
          <w:color w:val="2D2D2D"/>
          <w:sz w:val="20"/>
          <w:szCs w:val="20"/>
        </w:rPr>
        <w:t xml:space="preserve">recomendación gerencial</w:t>
      </w:r>
      <w:r>
        <w:rPr>
          <w:rFonts w:ascii="Cambria" w:cs="Cambria" w:eastAsia="Cambria" w:hAnsi="Cambria"/>
          <w:color w:val="2D2D2D"/>
          <w:sz w:val="20"/>
          <w:szCs w:val="20"/>
        </w:rPr>
        <w:t xml:space="preserve">.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y el reporte se estructura con la plantilla </w:t>
      </w:r>
      <w:r>
        <w:rPr>
          <w:rFonts w:ascii="Consolas" w:cs="Consolas" w:eastAsia="Consolas" w:hAnsi="Consolas"/>
          <w:color w:val="7A1526"/>
          <w:sz w:val="18"/>
          <w:szCs w:val="18"/>
        </w:rPr>
        <w:t xml:space="preserve">plantillas/reporte_regresion_gerencial.docx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(interpretar β₁ en unidades de negocio; distinguir IC de la media de intervalo de predicción sobre un mismo punto; diagnosticar un patrón curvo en los residuales y proponer solución)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dos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guia_proyecto.docx</w:t>
      </w:r>
      <w:r>
        <w:rPr>
          <w:rFonts w:ascii="Cambria" w:cs="Cambria" w:eastAsia="Cambria" w:hAnsi="Cambria"/>
          <w:color w:val="2D2D2D"/>
          <w:sz w:val="20"/>
          <w:szCs w:val="20"/>
        </w:rPr>
        <w:t xml:space="preserve">, carpeta Proyecto_Integrador/):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Modelado predictivo interpretable:</w:t>
            </w:r>
            <w:r>
              <w:rPr>
                <w:rFonts w:ascii="Cambria" w:cs="Cambria" w:eastAsia="Cambria" w:hAnsi="Cambria"/>
                <w:color w:val="2D2D2D"/>
                <w:sz w:val="19"/>
                <w:szCs w:val="19"/>
              </w:rPr>
              <w:t xml:space="preserve"> el OLS simple es el primer modelo del curso; ajustar, interpretar β en unidades de negocio y comunicar el resultado a una audiencia no técnica alimenta directamente la fase de </w:t>
            </w:r>
            <w:r>
              <w:rPr>
                <w:rFonts w:ascii="Cambria" w:cs="Cambria" w:eastAsia="Cambria" w:hAnsi="Cambria"/>
                <w:b/>
                <w:bCs/>
                <w:color w:val="2D2D2D"/>
                <w:sz w:val="19"/>
                <w:szCs w:val="19"/>
              </w:rPr>
              <w:t xml:space="preserve">modelado</w:t>
            </w:r>
            <w:r>
              <w:rPr>
                <w:rFonts w:ascii="Cambria" w:cs="Cambria" w:eastAsia="Cambria" w:hAnsi="Cambria"/>
                <w:color w:val="2D2D2D"/>
                <w:sz w:val="19"/>
                <w:szCs w:val="19"/>
              </w:rPr>
              <w:t xml:space="preserve"> del proyecto. La disciplina de traducir un coeficiente a una decisión (soles por sol invertido) es la que distingue un análisis útil de una tabla de números.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Validación fuera de muestra y honestidad del modelo:</w:t>
            </w:r>
            <w:r>
              <w:rPr>
                <w:rFonts w:ascii="Cambria" w:cs="Cambria" w:eastAsia="Cambria" w:hAnsi="Cambria"/>
                <w:color w:val="2D2D2D"/>
                <w:sz w:val="19"/>
                <w:szCs w:val="19"/>
              </w:rPr>
              <w:t xml:space="preserve"> la partición train/test y las métricas RMSE/MAE </w:t>
            </w:r>
            <w:r>
              <w:rPr>
                <w:rFonts w:ascii="Cambria" w:cs="Cambria" w:eastAsia="Cambria" w:hAnsi="Cambria"/>
                <w:b/>
                <w:bCs/>
                <w:color w:val="2D2D2D"/>
                <w:sz w:val="19"/>
                <w:szCs w:val="19"/>
              </w:rPr>
              <w:t xml:space="preserve">se introducen aquí</w:t>
            </w:r>
            <w:r>
              <w:rPr>
                <w:rFonts w:ascii="Cambria" w:cs="Cambria" w:eastAsia="Cambria" w:hAnsi="Cambria"/>
                <w:color w:val="2D2D2D"/>
                <w:sz w:val="19"/>
                <w:szCs w:val="19"/>
              </w:rPr>
              <w:t xml:space="preserve"> y se reutilizan en toda la segunda mitad del curso (S04–S14). Evaluar el error de prueba —no el R² de entrenamiento— es la defensa del proyecto contra decisiones basadas en un ajuste ilusorio; el análisis de residuales que se practica en el paso 6 anticipa el diagnóstico de supuestos de S04.</w:t>
            </w:r>
          </w:p>
        </w:tc>
      </w:tr>
    </w:tbl>
    <w:p>
      <w:pPr>
        <w:spacing w:after="220"/>
      </w:pPr>
    </w:p>
    <w:p>
      <w:pPr>
        <w:spacing w:line="270"/>
      </w:pPr>
      <w:r>
        <w:rPr>
          <w:rFonts w:ascii="Cambria" w:cs="Cambria" w:eastAsia="Cambria" w:hAnsi="Cambria"/>
          <w:color w:val="2D2D2D"/>
          <w:sz w:val="20"/>
          <w:szCs w:val="20"/>
        </w:rPr>
        <w:t xml:space="preserve">Desde la próxima sesión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Antes de dar el laboratorio por cerrado, verificar.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identificó por escrito el </w:t>
            </w:r>
            <w:r>
              <w:rPr>
                <w:rFonts w:ascii="Cambria" w:cs="Cambria" w:eastAsia="Cambria" w:hAnsi="Cambria"/>
                <w:b/>
                <w:bCs/>
                <w:color w:val="2D2D2D"/>
                <w:sz w:val="19"/>
                <w:szCs w:val="19"/>
              </w:rPr>
              <w:t xml:space="preserve">número del paper</w:t>
            </w:r>
            <w:r>
              <w:rPr>
                <w:rFonts w:ascii="Cambria" w:cs="Cambria" w:eastAsia="Cambria" w:hAnsi="Cambria"/>
                <w:color w:val="2D2D2D"/>
                <w:sz w:val="19"/>
                <w:szCs w:val="19"/>
              </w:rPr>
              <w:t xml:space="preserve"> de Galton (1886) que se iba a reproducir (pendiente ≈ 2/3, β₁ &lt; 1) y por qué importó (origen de la «regresión hacia la media»).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dataset GaltonFamilies se cargó y verificó (</w:t>
            </w:r>
            <w:r>
              <w:rPr>
                <w:rFonts w:ascii="Cambria" w:cs="Cambria" w:eastAsia="Cambria" w:hAnsi="Cambria"/>
                <w:b/>
                <w:bCs/>
                <w:color w:val="2D2D2D"/>
                <w:sz w:val="19"/>
                <w:szCs w:val="19"/>
              </w:rPr>
              <w:t xml:space="preserve">934 filas × 9 columnas</w:t>
            </w:r>
            <w:r>
              <w:rPr>
                <w:rFonts w:ascii="Cambria" w:cs="Cambria" w:eastAsia="Cambria" w:hAnsi="Cambria"/>
                <w:color w:val="2D2D2D"/>
                <w:sz w:val="19"/>
                <w:szCs w:val="19"/>
              </w:rPr>
              <w:t xml:space="preserve">), con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verificó por cálculo que </w:t>
            </w:r>
            <w:r>
              <w:rPr>
                <w:rFonts w:ascii="Consolas" w:cs="Consolas" w:eastAsia="Consolas" w:hAnsi="Consolas"/>
                <w:color w:val="7A1526"/>
                <w:sz w:val="17"/>
                <w:szCs w:val="17"/>
              </w:rPr>
              <w:t xml:space="preserve">midparentHeight</w:t>
            </w:r>
            <w:r>
              <w:rPr>
                <w:rFonts w:ascii="Cambria" w:cs="Cambria" w:eastAsia="Cambria" w:hAnsi="Cambria"/>
                <w:color w:val="2D2D2D"/>
                <w:sz w:val="19"/>
                <w:szCs w:val="19"/>
              </w:rPr>
              <w:t xml:space="preserve"> = (father + 1.08·mother)/2 (diferencia ≈ 0) y se reconoció que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está </w:t>
            </w:r>
            <w:r>
              <w:rPr>
                <w:rFonts w:ascii="Cambria" w:cs="Cambria" w:eastAsia="Cambria" w:hAnsi="Cambria"/>
                <w:b/>
                <w:bCs/>
                <w:color w:val="2D2D2D"/>
                <w:sz w:val="19"/>
                <w:szCs w:val="19"/>
              </w:rPr>
              <w:t xml:space="preserve">cruda</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dejó por escrito la </w:t>
            </w:r>
            <w:r>
              <w:rPr>
                <w:rFonts w:ascii="Cambria" w:cs="Cambria" w:eastAsia="Cambria" w:hAnsi="Cambria"/>
                <w:b/>
                <w:bCs/>
                <w:color w:val="2D2D2D"/>
                <w:sz w:val="19"/>
                <w:szCs w:val="19"/>
              </w:rPr>
              <w:t xml:space="preserve">decisión de modelado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childHeight</w:t>
            </w:r>
            <w:r>
              <w:rPr>
                <w:rFonts w:ascii="Cambria" w:cs="Cambria" w:eastAsia="Cambria" w:hAnsi="Cambria"/>
                <w:color w:val="2D2D2D"/>
                <w:sz w:val="19"/>
                <w:szCs w:val="19"/>
              </w:rPr>
              <w:t xml:space="preserve"> cruda como réplica primaria; transmutación como segundo momento.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OLS primario reprodujo el target dentro de tolerancia: </w:t>
            </w:r>
            <w:r>
              <w:rPr>
                <w:rFonts w:ascii="Cambria" w:cs="Cambria" w:eastAsia="Cambria" w:hAnsi="Cambria"/>
                <w:b/>
                <w:bCs/>
                <w:color w:val="2D2D2D"/>
                <w:sz w:val="19"/>
                <w:szCs w:val="19"/>
              </w:rPr>
              <w:t xml:space="preserve">β₁ ≈ 0,637</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β₀ ≈ 22,636</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 ≈ 0,321</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R² ≈ 0,103</w:t>
            </w:r>
            <w:r>
              <w:rPr>
                <w:rFonts w:ascii="Cambria" w:cs="Cambria" w:eastAsia="Cambria" w:hAnsi="Cambria"/>
                <w:color w:val="2D2D2D"/>
                <w:sz w:val="19"/>
                <w:szCs w:val="19"/>
              </w:rPr>
              <w:t xml:space="preserve">, con IC 95 % de β₁ que excluye 0.</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comparó β₁ con el </w:t>
            </w:r>
            <w:r>
              <w:rPr>
                <w:rFonts w:ascii="Cambria" w:cs="Cambria" w:eastAsia="Cambria" w:hAnsi="Cambria"/>
                <w:b/>
                <w:bCs/>
                <w:color w:val="2D2D2D"/>
                <w:sz w:val="19"/>
                <w:szCs w:val="19"/>
              </w:rPr>
              <w:t xml:space="preserve">2/3 de Galton</w:t>
            </w:r>
            <w:r>
              <w:rPr>
                <w:rFonts w:ascii="Cambria" w:cs="Cambria" w:eastAsia="Cambria" w:hAnsi="Cambria"/>
                <w:color w:val="2D2D2D"/>
                <w:sz w:val="19"/>
                <w:szCs w:val="19"/>
              </w:rPr>
              <w:t xml:space="preserve"> (0,667) y se explicó por qué difieren mínimamente (tabulación/gráfico vs. OLS de fila).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ejecutó la </w:t>
            </w:r>
            <w:r>
              <w:rPr>
                <w:rFonts w:ascii="Cambria" w:cs="Cambria" w:eastAsia="Cambria" w:hAnsi="Cambria"/>
                <w:b/>
                <w:bCs/>
                <w:color w:val="2D2D2D"/>
                <w:sz w:val="19"/>
                <w:szCs w:val="19"/>
              </w:rPr>
              <w:t xml:space="preserve">réplica secundaria</w:t>
            </w:r>
            <w:r>
              <w:rPr>
                <w:rFonts w:ascii="Cambria" w:cs="Cambria" w:eastAsia="Cambria" w:hAnsi="Cambria"/>
                <w:color w:val="2D2D2D"/>
                <w:sz w:val="19"/>
                <w:szCs w:val="19"/>
              </w:rPr>
              <w:t xml:space="preserve"> (hijas ×1,08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β₁ ≈ 0,713</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 ≈ 0,497</w:t>
            </w:r>
            <w:r>
              <w:rPr>
                <w:rFonts w:ascii="Cambria" w:cs="Cambria" w:eastAsia="Cambria" w:hAnsi="Cambria"/>
                <w:color w:val="2D2D2D"/>
                <w:sz w:val="19"/>
                <w:szCs w:val="19"/>
              </w:rPr>
              <w:t xml:space="preserve">) y se explicó por qué transmutar sube r y la pendiente.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resolvió un </w:t>
            </w:r>
            <w:r>
              <w:rPr>
                <w:rFonts w:ascii="Cambria" w:cs="Cambria" w:eastAsia="Cambria" w:hAnsi="Cambria"/>
                <w:b/>
                <w:bCs/>
                <w:color w:val="2D2D2D"/>
                <w:sz w:val="19"/>
                <w:szCs w:val="19"/>
              </w:rPr>
              <w:t xml:space="preserve">caso numérico de regresión a la media</w:t>
            </w:r>
            <w:r>
              <w:rPr>
                <w:rFonts w:ascii="Cambria" w:cs="Cambria" w:eastAsia="Cambria" w:hAnsi="Cambria"/>
                <w:color w:val="2D2D2D"/>
                <w:sz w:val="19"/>
                <w:szCs w:val="19"/>
              </w:rPr>
              <w:t xml:space="preserve"> y se enunció la lección de negocio (no perseguir el desempeño extremo).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En </w:t>
            </w:r>
            <w:r>
              <w:rPr>
                <w:rFonts w:ascii="Cambria" w:cs="Cambria" w:eastAsia="Cambria" w:hAnsi="Cambria"/>
                <w:i/>
                <w:iCs/>
                <w:color w:val="2D2D2D"/>
                <w:sz w:val="19"/>
                <w:szCs w:val="19"/>
              </w:rPr>
              <w:t xml:space="preserve">Advertising</w:t>
            </w:r>
            <w:r>
              <w:rPr>
                <w:rFonts w:ascii="Cambria" w:cs="Cambria" w:eastAsia="Cambria" w:hAnsi="Cambria"/>
                <w:color w:val="2D2D2D"/>
                <w:sz w:val="19"/>
                <w:szCs w:val="19"/>
              </w:rPr>
              <w:t xml:space="preserve"> se ajustó </w:t>
            </w:r>
            <w:r>
              <w:rPr>
                <w:rFonts w:ascii="Consolas" w:cs="Consolas" w:eastAsia="Consolas" w:hAnsi="Consolas"/>
                <w:color w:val="7A1526"/>
                <w:sz w:val="17"/>
                <w:szCs w:val="17"/>
              </w:rPr>
              <w:t xml:space="preserve">sales ~ TV</w:t>
            </w:r>
            <w:r>
              <w:rPr>
                <w:rFonts w:ascii="Cambria" w:cs="Cambria" w:eastAsia="Cambria" w:hAnsi="Cambria"/>
                <w:color w:val="2D2D2D"/>
                <w:sz w:val="19"/>
                <w:szCs w:val="19"/>
              </w:rPr>
              <w:t xml:space="preserve">, se </w:t>
            </w:r>
            <w:r>
              <w:rPr>
                <w:rFonts w:ascii="Cambria" w:cs="Cambria" w:eastAsia="Cambria" w:hAnsi="Cambria"/>
                <w:b/>
                <w:bCs/>
                <w:color w:val="2D2D2D"/>
                <w:sz w:val="19"/>
                <w:szCs w:val="19"/>
              </w:rPr>
              <w:t xml:space="preserve">interpretó β₁ en unidades de negocio</w:t>
            </w:r>
            <w:r>
              <w:rPr>
                <w:rFonts w:ascii="Cambria" w:cs="Cambria" w:eastAsia="Cambria" w:hAnsi="Cambria"/>
                <w:color w:val="2D2D2D"/>
                <w:sz w:val="19"/>
                <w:szCs w:val="19"/>
              </w:rPr>
              <w:t xml:space="preserve">, se diagnosticaron </w:t>
            </w:r>
            <w:r>
              <w:rPr>
                <w:rFonts w:ascii="Cambria" w:cs="Cambria" w:eastAsia="Cambria" w:hAnsi="Cambria"/>
                <w:b/>
                <w:bCs/>
                <w:color w:val="2D2D2D"/>
                <w:sz w:val="19"/>
                <w:szCs w:val="19"/>
              </w:rPr>
              <w:t xml:space="preserve">residuales</w:t>
            </w:r>
            <w:r>
              <w:rPr>
                <w:rFonts w:ascii="Cambria" w:cs="Cambria" w:eastAsia="Cambria" w:hAnsi="Cambria"/>
                <w:color w:val="2D2D2D"/>
                <w:sz w:val="19"/>
                <w:szCs w:val="19"/>
              </w:rPr>
              <w:t xml:space="preserve"> y se distinguió </w:t>
            </w:r>
            <w:r>
              <w:rPr>
                <w:rFonts w:ascii="Cambria" w:cs="Cambria" w:eastAsia="Cambria" w:hAnsi="Cambria"/>
                <w:b/>
                <w:bCs/>
                <w:color w:val="2D2D2D"/>
                <w:sz w:val="19"/>
                <w:szCs w:val="19"/>
              </w:rPr>
              <w:t xml:space="preserve">IC de la media vs. de predicción</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evaluó el modelo </w:t>
            </w:r>
            <w:r>
              <w:rPr>
                <w:rFonts w:ascii="Cambria" w:cs="Cambria" w:eastAsia="Cambria" w:hAnsi="Cambria"/>
                <w:b/>
                <w:bCs/>
                <w:color w:val="2D2D2D"/>
                <w:sz w:val="19"/>
                <w:szCs w:val="19"/>
              </w:rPr>
              <w:t xml:space="preserve">fuera de muestra</w:t>
            </w:r>
            <w:r>
              <w:rPr>
                <w:rFonts w:ascii="Cambria" w:cs="Cambria" w:eastAsia="Cambria" w:hAnsi="Cambria"/>
                <w:color w:val="2D2D2D"/>
                <w:sz w:val="19"/>
                <w:szCs w:val="19"/>
              </w:rPr>
              <w:t xml:space="preserve"> (train/test 80/20, </w:t>
            </w:r>
            <w:r>
              <w:rPr>
                <w:rFonts w:ascii="Cambria" w:cs="Cambria" w:eastAsia="Cambria" w:hAnsi="Cambria"/>
                <w:b/>
                <w:bCs/>
                <w:color w:val="2D2D2D"/>
                <w:sz w:val="19"/>
                <w:szCs w:val="19"/>
              </w:rPr>
              <w:t xml:space="preserve">semilla 42</w:t>
            </w:r>
            <w:r>
              <w:rPr>
                <w:rFonts w:ascii="Cambria" w:cs="Cambria" w:eastAsia="Cambria" w:hAnsi="Cambria"/>
                <w:color w:val="2D2D2D"/>
                <w:sz w:val="19"/>
                <w:szCs w:val="19"/>
              </w:rPr>
              <w:t xml:space="preserve">), y se reportaron </w:t>
            </w:r>
            <w:r>
              <w:rPr>
                <w:rFonts w:ascii="Cambria" w:cs="Cambria" w:eastAsia="Cambria" w:hAnsi="Cambria"/>
                <w:b/>
                <w:bCs/>
                <w:color w:val="2D2D2D"/>
                <w:sz w:val="19"/>
                <w:szCs w:val="19"/>
              </w:rPr>
              <w:t xml:space="preserve">RMSE y MAE de train y de test</w:t>
            </w:r>
            <w:r>
              <w:rPr>
                <w:rFonts w:ascii="Cambria" w:cs="Cambria" w:eastAsia="Cambria" w:hAnsi="Cambria"/>
                <w:color w:val="2D2D2D"/>
                <w:sz w:val="19"/>
                <w:szCs w:val="19"/>
              </w:rPr>
              <w:t xml:space="preserve">, con la comparación enunciada como «prácticamente iguales, sin sobreajuste» (no como «el test es mejor»); los resultados se exportaron a </w:t>
            </w:r>
            <w:r>
              <w:rPr>
                <w:rFonts w:ascii="Consolas" w:cs="Consolas" w:eastAsia="Consolas" w:hAnsi="Consolas"/>
                <w:color w:val="7A1526"/>
                <w:sz w:val="17"/>
                <w:szCs w:val="17"/>
              </w:rPr>
              <w:t xml:space="preserve">resultados/S03_resultados.xlsx</w:t>
            </w:r>
            <w:r>
              <w:rPr>
                <w:rFonts w:ascii="Cambria" w:cs="Cambria" w:eastAsia="Cambria" w:hAnsi="Cambria"/>
                <w:color w:val="2D2D2D"/>
                <w:sz w:val="19"/>
                <w:szCs w:val="19"/>
              </w:rPr>
              <w:t xml:space="preserve"> y la recomendación gerencial quedó redactada de forma individual.</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Si se comparó más de un canal, el </w:t>
            </w:r>
            <w:r>
              <w:rPr>
                <w:rFonts w:ascii="Cambria" w:cs="Cambria" w:eastAsia="Cambria" w:hAnsi="Cambria"/>
                <w:b/>
                <w:bCs/>
                <w:color w:val="2D2D2D"/>
                <w:sz w:val="19"/>
                <w:szCs w:val="19"/>
              </w:rPr>
              <w:t xml:space="preserve">superlativo declara su metro</w:t>
            </w:r>
            <w:r>
              <w:rPr>
                <w:rFonts w:ascii="Cambria" w:cs="Cambria" w:eastAsia="Cambria" w:hAnsi="Cambria"/>
                <w:color w:val="2D2D2D"/>
                <w:sz w:val="19"/>
                <w:szCs w:val="19"/>
              </w:rPr>
              <w:t xml:space="preserve">: TV destaca por </w:t>
            </w:r>
            <w:r>
              <w:rPr>
                <w:rFonts w:ascii="Cambria" w:cs="Cambria" w:eastAsia="Cambria" w:hAnsi="Cambria"/>
                <w:b/>
                <w:bCs/>
                <w:color w:val="2D2D2D"/>
                <w:sz w:val="19"/>
                <w:szCs w:val="19"/>
              </w:rPr>
              <w:t xml:space="preserve">ajuste</w:t>
            </w:r>
            <w:r>
              <w:rPr>
                <w:rFonts w:ascii="Cambria" w:cs="Cambria" w:eastAsia="Cambria" w:hAnsi="Cambria"/>
                <w:color w:val="2D2D2D"/>
                <w:sz w:val="19"/>
                <w:szCs w:val="19"/>
              </w:rPr>
              <w:t xml:space="preserve"> (R² 0,612) y radio por </w:t>
            </w:r>
            <w:r>
              <w:rPr>
                <w:rFonts w:ascii="Cambria" w:cs="Cambria" w:eastAsia="Cambria" w:hAnsi="Cambria"/>
                <w:b/>
                <w:bCs/>
                <w:color w:val="2D2D2D"/>
                <w:sz w:val="19"/>
                <w:szCs w:val="19"/>
              </w:rPr>
              <w:t xml:space="preserve">rendimiento marginal</w:t>
            </w:r>
            <w:r>
              <w:rPr>
                <w:rFonts w:ascii="Cambria" w:cs="Cambria" w:eastAsia="Cambria" w:hAnsi="Cambria"/>
                <w:color w:val="2D2D2D"/>
                <w:sz w:val="19"/>
                <w:szCs w:val="19"/>
              </w:rPr>
              <w:t xml:space="preserve"> (202,5 uds por 1 000 USD frente a 47,5; umbral 4,94 frente a 21,04 USD/unidad).</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verificaron los supuestos</w:t>
            </w:r>
            <w:r>
              <w:rPr>
                <w:rFonts w:ascii="Cambria" w:cs="Cambria" w:eastAsia="Cambria" w:hAnsi="Cambria"/>
                <w:color w:val="2D2D2D"/>
                <w:sz w:val="19"/>
                <w:szCs w:val="19"/>
              </w:rPr>
              <w:t xml:space="preserve"> pertinentes —linealidad, homocedasticidad, normalidad, independencia e influencia/atípicos— por el diagnóstico visual de residuales, con remisión a la guía de supuestos de la sesión como fuente única (y a </w:t>
            </w:r>
            <w:r>
              <w:rPr>
                <w:rFonts w:ascii="Consolas" w:cs="Consolas" w:eastAsia="Consolas" w:hAnsi="Consolas"/>
                <w:color w:val="7A1526"/>
                <w:sz w:val="17"/>
                <w:szCs w:val="17"/>
              </w:rPr>
              <w:t xml:space="preserve">plantillas/guia_residuales.docx</w:t>
            </w:r>
            <w:r>
              <w:rPr>
                <w:rFonts w:ascii="Cambria" w:cs="Cambria" w:eastAsia="Cambria" w:hAnsi="Cambria"/>
                <w:color w:val="2D2D2D"/>
                <w:sz w:val="19"/>
                <w:szCs w:val="19"/>
              </w:rPr>
              <w:t xml:space="preserve"> como recordatorio).</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S03: Replicar la «regresión hacia la media» de Galton (1886) y llevarla a un caso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S03</dc:title>
  <dc:creator>UPC</dc:creator>
  <dc:description>Replicar la «regresión hacia la media» de Galton (1886) y llevarla a un caso de negocio</dc:description>
  <cp:lastModifiedBy>Un-named</cp:lastModifiedBy>
  <cp:revision>1</cp:revision>
  <dcterms:created xsi:type="dcterms:W3CDTF">2026-09-11T14:13:47.298Z</dcterms:created>
  <dcterms:modified xsi:type="dcterms:W3CDTF">2026-09-11T14:13:47.299Z</dcterms:modified>
</cp:coreProperties>
</file>

<file path=docProps/custom.xml><?xml version="1.0" encoding="utf-8"?>
<Properties xmlns="http://schemas.openxmlformats.org/officeDocument/2006/custom-properties" xmlns:vt="http://schemas.openxmlformats.org/officeDocument/2006/docPropsVTypes"/>
</file>