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200"/>
        <w:ind w:left="113"/>
        <w:shd w:val="clear" w:color="auto" w:fill="E4002B"/>
        <w:pBdr>
          <w:top w:val="single" w:sz="18" w:space="6" w:color="E4002B"/>
          <w:bottom w:val="single" w:sz="18" w:space="6" w:color="E4002B"/>
          <w:left w:val="single" w:sz="18" w:space="6" w:color="E4002B"/>
          <w:right w:val="single" w:sz="18" w:space="6" w:color="E4002B"/>
        </w:pBdr>
      </w:pPr>
      <w:r>
        <w:rPr>
          <w:b/>
          <w:color w:val="FFFFFF"/>
          <w:sz w:val="40"/>
        </w:rPr>
        <w:t>Reporte de regresión para audiencia gerencial</w:t>
      </w:r>
    </w:p>
    <w:p>
      <w:pPr>
        <w:spacing w:before="80" w:after="160" w:line="288" w:lineRule="auto"/>
        <w:ind w:left="85" w:right="85"/>
        <w:shd w:val="clear" w:color="auto" w:fill="F4F4F4"/>
        <w:pBdr>
          <w:left w:val="single" w:sz="24" w:space="10" w:color="E4002B"/>
        </w:pBdr>
      </w:pPr>
      <w:r>
        <w:rPr>
          <w:color w:val="2D2D2D"/>
        </w:rPr>
        <w:t xml:space="preserve">Plantilla de trabajo de la Sesión S03 — Herramientas para la Ciencia de Datos (UPC). Traduce un modelo OLS simple (una respuesta, un predictor) al lenguaje de una decisión de negocio. Se completa con los resultados del cuaderno </w:t>
      </w:r>
      <w:r>
        <w:rPr>
          <w:rFonts w:ascii="Consolas" w:hAnsi="Consolas"/>
          <w:color w:val="2D2D2D"/>
          <w:sz w:val="19"/>
        </w:rPr>
        <w:t>notebook/S03_ols.ipynb</w:t>
      </w:r>
      <w:r>
        <w:rPr>
          <w:color w:val="2D2D2D"/>
        </w:rPr>
        <w:t xml:space="preserve"> y del archivo </w:t>
      </w:r>
      <w:r>
        <w:rPr>
          <w:rFonts w:ascii="Consolas" w:hAnsi="Consolas"/>
          <w:color w:val="2D2D2D"/>
          <w:sz w:val="19"/>
        </w:rPr>
        <w:t>resultados/S03_resultados.xlsx</w:t>
      </w:r>
      <w:r>
        <w:rPr>
          <w:color w:val="2D2D2D"/>
        </w:rPr>
        <w:t>. Una a dos páginas, sin jerga innecesaria. Español impersonal. Fechas DD/MM/YYYY, UTF-8.</w:t>
      </w:r>
    </w:p>
    <w:p>
      <w:pPr>
        <w:keepNext/>
        <w:spacing w:before="240" w:after="60"/>
        <w:pBdr>
          <w:bottom w:val="single" w:sz="6" w:space="2" w:color="E4002B"/>
        </w:pBdr>
      </w:pPr>
      <w:r>
        <w:rPr>
          <w:b/>
          <w:color w:val="E4002B"/>
          <w:sz w:val="30"/>
        </w:rPr>
        <w:t>Concepto</w:t>
      </w:r>
    </w:p>
    <w:p>
      <w:pPr>
        <w:jc w:val="both"/>
      </w:pPr>
      <w:r>
        <w:t xml:space="preserve">Un reporte de regresión gerencial convierte una recta ajustada por mínimos cuadrados en una </w:t>
      </w:r>
      <w:r>
        <w:rPr>
          <w:b/>
        </w:rPr>
        <w:t>regla accionable y medible</w:t>
      </w:r>
      <w:r>
        <w:t xml:space="preserve">: cuánto se mueve el resultado del negocio por cada unidad de la palanca que se controla. El modelo de regresión lineal simple postula una relación media lineal entre la respuesta </w:t>
      </w:r>
      <w:r>
        <w:rPr>
          <w:rFonts w:ascii="Consolas" w:hAnsi="Consolas"/>
          <w:color w:val="9B1B30"/>
          <w:sz w:val="19"/>
        </w:rPr>
        <w:t>Y</w:t>
      </w:r>
      <w:r>
        <w:t xml:space="preserve"> y un único predictor </w:t>
      </w:r>
      <w:r>
        <w:rPr>
          <w:rFonts w:ascii="Consolas" w:hAnsi="Consolas"/>
          <w:color w:val="9B1B30"/>
          <w:sz w:val="19"/>
        </w:rPr>
        <w:t>X</w:t>
      </w:r>
      <w:r>
        <w:t>,</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907"/>
        <w:gridCol w:w="7597"/>
        <w:gridCol w:w="907"/>
      </w:tblGrid>
      <w:tr>
        <w:tc>
          <w:tcPr>
            <w:tcW w:type="dxa" w:w="907"/>
            <w:tcMar>
              <w:top w:w="30" w:type="dxa"/>
              <w:bottom w:w="30" w:type="dxa"/>
              <w:start w:w="40" w:type="dxa"/>
              <w:end w:w="40" w:type="dxa"/>
            </w:tcMar>
            <w:vAlign w:val="center"/>
          </w:tcPr>
          <w:p/>
        </w:tc>
        <w:tc>
          <w:tcPr>
            <w:tcW w:type="dxa" w:w="7597"/>
            <w:tcMar>
              <w:top w:w="30" w:type="dxa"/>
              <w:bottom w:w="30" w:type="dxa"/>
              <w:start w:w="40" w:type="dxa"/>
              <w:end w:w="40" w:type="dxa"/>
            </w:tcMar>
            <w:vAlign w:val="center"/>
          </w:tcPr>
          <w:p>
            <w:pPr>
              <w:spacing w:after="0"/>
              <w:jc w:val="center"/>
            </w:pPr>
            <w:r>
              <w:drawing>
                <wp:inline xmlns:a="http://schemas.openxmlformats.org/drawingml/2006/main" xmlns:pic="http://schemas.openxmlformats.org/drawingml/2006/picture">
                  <wp:extent cx="1953490" cy="295101"/>
                  <wp:docPr id="1" name="Picture 1"/>
                  <wp:cNvGraphicFramePr>
                    <a:graphicFrameLocks noChangeAspect="1"/>
                  </wp:cNvGraphicFramePr>
                  <a:graphic>
                    <a:graphicData uri="http://schemas.openxmlformats.org/drawingml/2006/picture">
                      <pic:pic>
                        <pic:nvPicPr>
                          <pic:cNvPr id="0" name="eq_8b09ec2f45c4.png"/>
                          <pic:cNvPicPr/>
                        </pic:nvPicPr>
                        <pic:blipFill>
                          <a:blip r:embed="rId9"/>
                          <a:stretch>
                            <a:fillRect/>
                          </a:stretch>
                        </pic:blipFill>
                        <pic:spPr>
                          <a:xfrm>
                            <a:off x="0" y="0"/>
                            <a:ext cx="1953490" cy="295101"/>
                          </a:xfrm>
                          <a:prstGeom prst="rect"/>
                        </pic:spPr>
                      </pic:pic>
                    </a:graphicData>
                  </a:graphic>
                </wp:inline>
              </w:drawing>
            </w:r>
          </w:p>
        </w:tc>
        <w:tc>
          <w:tcPr>
            <w:tcW w:type="dxa" w:w="907"/>
            <w:tcMar>
              <w:top w:w="30" w:type="dxa"/>
              <w:bottom w:w="30" w:type="dxa"/>
              <w:start w:w="40" w:type="dxa"/>
              <w:end w:w="40" w:type="dxa"/>
            </w:tcMar>
            <w:vAlign w:val="center"/>
          </w:tcPr>
          <w:p>
            <w:pPr>
              <w:spacing w:after="0"/>
              <w:jc w:val="right"/>
            </w:pPr>
            <w:r>
              <w:rPr>
                <w:color w:val="2D2D2D"/>
                <w:sz w:val="21"/>
              </w:rPr>
              <w:t>(1)</w:t>
            </w:r>
          </w:p>
        </w:tc>
      </w:tr>
    </w:tbl>
    <w:p>
      <w:pPr>
        <w:spacing w:after="40"/>
      </w:pPr>
    </w:p>
    <w:p>
      <w:pPr>
        <w:jc w:val="both"/>
      </w:pPr>
      <w:r>
        <w:t xml:space="preserve">con un error aleatorio </w:t>
      </w:r>
      <w:r>
        <w:rPr>
          <w:rFonts w:ascii="Consolas" w:hAnsi="Consolas"/>
          <w:color w:val="9B1B30"/>
          <w:sz w:val="19"/>
        </w:rPr>
        <w:t>ε</w:t>
      </w:r>
      <w:r>
        <w:t xml:space="preserve">. El método de </w:t>
      </w:r>
      <w:r>
        <w:rPr>
          <w:b/>
        </w:rPr>
        <w:t>mínimos cuadrados ordinarios (OLS)</w:t>
      </w:r>
      <w:r>
        <w:t xml:space="preserve"> estima los coeficientes al elegir la recta ajustada </w:t>
      </w:r>
      <w:r>
        <w:drawing>
          <wp:inline xmlns:a="http://schemas.openxmlformats.org/drawingml/2006/main" xmlns:pic="http://schemas.openxmlformats.org/drawingml/2006/picture">
            <wp:extent cx="664768" cy="206692"/>
            <wp:docPr id="2" name="Picture 2"/>
            <wp:cNvGraphicFramePr>
              <a:graphicFrameLocks noChangeAspect="1"/>
            </wp:cNvGraphicFramePr>
            <a:graphic>
              <a:graphicData uri="http://schemas.openxmlformats.org/drawingml/2006/picture">
                <pic:pic>
                  <pic:nvPicPr>
                    <pic:cNvPr id="0" name="eq_8fad79891bca.png"/>
                    <pic:cNvPicPr/>
                  </pic:nvPicPr>
                  <pic:blipFill>
                    <a:blip r:embed="rId10"/>
                    <a:stretch>
                      <a:fillRect/>
                    </a:stretch>
                  </pic:blipFill>
                  <pic:spPr>
                    <a:xfrm>
                      <a:off x="0" y="0"/>
                      <a:ext cx="664768" cy="206692"/>
                    </a:xfrm>
                    <a:prstGeom prst="rect"/>
                  </pic:spPr>
                </pic:pic>
              </a:graphicData>
            </a:graphic>
          </wp:inline>
        </w:drawing>
      </w:r>
      <w:r>
        <w:t xml:space="preserve"> que </w:t>
      </w:r>
      <w:r>
        <w:rPr>
          <w:b/>
        </w:rPr>
        <w:t>minimiza la suma de residuales al cuadrado</w:t>
      </w:r>
      <w:r>
        <w:t xml:space="preserve"> </w:t>
      </w:r>
      <w:r>
        <w:drawing>
          <wp:inline xmlns:a="http://schemas.openxmlformats.org/drawingml/2006/main" xmlns:pic="http://schemas.openxmlformats.org/drawingml/2006/picture">
            <wp:extent cx="686133" cy="206692"/>
            <wp:docPr id="3" name="Picture 3"/>
            <wp:cNvGraphicFramePr>
              <a:graphicFrameLocks noChangeAspect="1"/>
            </wp:cNvGraphicFramePr>
            <a:graphic>
              <a:graphicData uri="http://schemas.openxmlformats.org/drawingml/2006/picture">
                <pic:pic>
                  <pic:nvPicPr>
                    <pic:cNvPr id="0" name="eq_463c5851ef5c.png"/>
                    <pic:cNvPicPr/>
                  </pic:nvPicPr>
                  <pic:blipFill>
                    <a:blip r:embed="rId11"/>
                    <a:stretch>
                      <a:fillRect/>
                    </a:stretch>
                  </pic:blipFill>
                  <pic:spPr>
                    <a:xfrm>
                      <a:off x="0" y="0"/>
                      <a:ext cx="686133" cy="206692"/>
                    </a:xfrm>
                    <a:prstGeom prst="rect"/>
                  </pic:spPr>
                </pic:pic>
              </a:graphicData>
            </a:graphic>
          </wp:inline>
        </w:drawing>
      </w:r>
      <w:r>
        <w:t xml:space="preserve">. El número central del reporte es la </w:t>
      </w:r>
      <w:r>
        <w:rPr>
          <w:b/>
        </w:rPr>
        <w:t>pendiente β₁</w:t>
      </w:r>
      <w:r>
        <w:t xml:space="preserve"> —el efecto por unidad, expresado en la moneda o las unidades del problema—, acompañado de tres lecturas que la gerencia necesita: si el efecto es </w:t>
      </w:r>
      <w:r>
        <w:rPr>
          <w:b/>
        </w:rPr>
        <w:t>real</w:t>
      </w:r>
      <w:r>
        <w:t xml:space="preserve"> (no azar muestral), </w:t>
      </w:r>
      <w:r>
        <w:rPr>
          <w:b/>
        </w:rPr>
        <w:t>cuánto explica</w:t>
      </w:r>
      <w:r>
        <w:t xml:space="preserve"> el modelo (R²) y </w:t>
      </w:r>
      <w:r>
        <w:rPr>
          <w:b/>
        </w:rPr>
        <w:t>cuánto se equivoca</w:t>
      </w:r>
      <w:r>
        <w:t xml:space="preserve"> al predecir datos nuevos (error fuera de muestra). El reporte se escribe para quien decide, no para quien modela: cada cifra técnica va traducida a una frase de negocio, y cada limitación se declara antes de que sustente una inversión.</w:t>
      </w:r>
    </w:p>
    <w:p>
      <w:pPr>
        <w:spacing w:before="40" w:after="40"/>
        <w:pBdr>
          <w:bottom w:val="single" w:sz="6" w:space="1" w:color="D9D9D9"/>
        </w:pBdr>
      </w:pPr>
    </w:p>
    <w:p>
      <w:pPr>
        <w:keepNext/>
        <w:spacing w:before="240" w:after="60"/>
        <w:pBdr>
          <w:bottom w:val="single" w:sz="6" w:space="2" w:color="E4002B"/>
        </w:pBdr>
      </w:pPr>
      <w:r>
        <w:rPr>
          <w:b/>
          <w:color w:val="E4002B"/>
          <w:sz w:val="30"/>
        </w:rPr>
        <w:t>Metadatos del reporte</w:t>
      </w:r>
    </w:p>
    <w:tbl>
      <w:tblPr>
        <w:tblStyle w:val="TableGrid"/>
        <w:tblW w:type="auto" w:w="0"/>
        <w:tblLayout w:type="autofit"/>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Pr>
      <w:tblGrid>
        <w:gridCol w:w="4873"/>
        <w:gridCol w:w="4873"/>
      </w:tblGrid>
      <w:tr>
        <w:tc>
          <w:tcPr>
            <w:tcW w:type="dxa" w:w="4873"/>
            <w:tcMar>
              <w:top w:w="60" w:type="dxa"/>
              <w:bottom w:w="60" w:type="dxa"/>
              <w:start w:w="110" w:type="dxa"/>
              <w:end w:w="110" w:type="dxa"/>
            </w:tcMar>
            <w:vAlign w:val="center"/>
            <w:shd w:val="clear" w:color="auto" w:fill="E4002B"/>
          </w:tcPr>
          <w:p>
            <w:pPr>
              <w:spacing w:after="0"/>
            </w:pPr>
            <w:r/>
            <w:r>
              <w:rPr>
                <w:b/>
                <w:color w:val="FFFFFF"/>
                <w:sz w:val="19"/>
              </w:rPr>
              <w:t>Campo</w:t>
            </w:r>
          </w:p>
        </w:tc>
        <w:tc>
          <w:tcPr>
            <w:tcW w:type="dxa" w:w="4873"/>
            <w:tcMar>
              <w:top w:w="60" w:type="dxa"/>
              <w:bottom w:w="60" w:type="dxa"/>
              <w:start w:w="110" w:type="dxa"/>
              <w:end w:w="110" w:type="dxa"/>
            </w:tcMar>
            <w:vAlign w:val="center"/>
            <w:shd w:val="clear" w:color="auto" w:fill="E4002B"/>
          </w:tcPr>
          <w:p>
            <w:pPr>
              <w:spacing w:after="0"/>
            </w:pPr>
            <w:r/>
            <w:r>
              <w:rPr>
                <w:b/>
                <w:color w:val="FFFFFF"/>
                <w:sz w:val="19"/>
              </w:rPr>
              <w:t>Valor a completar</w:t>
            </w:r>
          </w:p>
        </w:tc>
      </w:tr>
      <w:tr>
        <w:tc>
          <w:tcPr>
            <w:tcW w:type="dxa" w:w="4873"/>
            <w:tcMar>
              <w:top w:w="60" w:type="dxa"/>
              <w:bottom w:w="60" w:type="dxa"/>
              <w:start w:w="110" w:type="dxa"/>
              <w:end w:w="110" w:type="dxa"/>
            </w:tcMar>
            <w:vAlign w:val="center"/>
          </w:tcPr>
          <w:p>
            <w:pPr>
              <w:spacing w:after="0"/>
            </w:pPr>
            <w:r>
              <w:rPr>
                <w:sz w:val="19"/>
              </w:rPr>
            </w:r>
            <w:r>
              <w:rPr>
                <w:sz w:val="19"/>
              </w:rPr>
              <w:t>Analista</w:t>
            </w:r>
          </w:p>
        </w:tc>
        <w:tc>
          <w:tcPr>
            <w:tcW w:type="dxa" w:w="4873"/>
            <w:tcMar>
              <w:top w:w="60" w:type="dxa"/>
              <w:bottom w:w="60" w:type="dxa"/>
              <w:start w:w="110" w:type="dxa"/>
              <w:end w:w="110" w:type="dxa"/>
            </w:tcMar>
            <w:vAlign w:val="center"/>
          </w:tcPr>
          <w:p>
            <w:pPr>
              <w:spacing w:after="0"/>
            </w:pPr>
            <w:r>
              <w:rPr>
                <w:sz w:val="19"/>
              </w:rPr>
            </w:r>
          </w:p>
        </w:tc>
      </w:tr>
      <w:tr>
        <w:tc>
          <w:tcPr>
            <w:tcW w:type="dxa" w:w="4873"/>
            <w:tcMar>
              <w:top w:w="60" w:type="dxa"/>
              <w:bottom w:w="60" w:type="dxa"/>
              <w:start w:w="110" w:type="dxa"/>
              <w:end w:w="110" w:type="dxa"/>
            </w:tcMar>
            <w:vAlign w:val="center"/>
            <w:shd w:val="clear" w:color="auto" w:fill="FCEDEE"/>
          </w:tcPr>
          <w:p>
            <w:pPr>
              <w:spacing w:after="0"/>
            </w:pPr>
            <w:r>
              <w:rPr>
                <w:sz w:val="19"/>
              </w:rPr>
            </w:r>
            <w:r>
              <w:rPr>
                <w:sz w:val="19"/>
              </w:rPr>
              <w:t>Fecha del análisis (DD/MM/YYYY)</w:t>
            </w:r>
          </w:p>
        </w:tc>
        <w:tc>
          <w:tcPr>
            <w:tcW w:type="dxa" w:w="4873"/>
            <w:tcMar>
              <w:top w:w="60" w:type="dxa"/>
              <w:bottom w:w="60" w:type="dxa"/>
              <w:start w:w="110" w:type="dxa"/>
              <w:end w:w="110" w:type="dxa"/>
            </w:tcMar>
            <w:vAlign w:val="center"/>
            <w:shd w:val="clear" w:color="auto" w:fill="FCEDEE"/>
          </w:tcPr>
          <w:p>
            <w:pPr>
              <w:spacing w:after="0"/>
            </w:pPr>
            <w:r>
              <w:rPr>
                <w:sz w:val="19"/>
              </w:rPr>
            </w:r>
          </w:p>
        </w:tc>
      </w:tr>
      <w:tr>
        <w:tc>
          <w:tcPr>
            <w:tcW w:type="dxa" w:w="4873"/>
            <w:tcMar>
              <w:top w:w="60" w:type="dxa"/>
              <w:bottom w:w="60" w:type="dxa"/>
              <w:start w:w="110" w:type="dxa"/>
              <w:end w:w="110" w:type="dxa"/>
            </w:tcMar>
            <w:vAlign w:val="center"/>
          </w:tcPr>
          <w:p>
            <w:pPr>
              <w:spacing w:after="0"/>
            </w:pPr>
            <w:r>
              <w:rPr>
                <w:sz w:val="19"/>
              </w:rPr>
            </w:r>
            <w:r>
              <w:rPr>
                <w:sz w:val="19"/>
              </w:rPr>
              <w:t>Dataset / fuente</w:t>
            </w:r>
          </w:p>
        </w:tc>
        <w:tc>
          <w:tcPr>
            <w:tcW w:type="dxa" w:w="4873"/>
            <w:tcMar>
              <w:top w:w="60" w:type="dxa"/>
              <w:bottom w:w="60" w:type="dxa"/>
              <w:start w:w="110" w:type="dxa"/>
              <w:end w:w="110" w:type="dxa"/>
            </w:tcMar>
            <w:vAlign w:val="center"/>
          </w:tcPr>
          <w:p>
            <w:pPr>
              <w:spacing w:after="0"/>
            </w:pPr>
            <w:r>
              <w:rPr>
                <w:sz w:val="19"/>
              </w:rPr>
            </w:r>
          </w:p>
        </w:tc>
      </w:tr>
      <w:tr>
        <w:tc>
          <w:tcPr>
            <w:tcW w:type="dxa" w:w="4873"/>
            <w:tcMar>
              <w:top w:w="60" w:type="dxa"/>
              <w:bottom w:w="60" w:type="dxa"/>
              <w:start w:w="110" w:type="dxa"/>
              <w:end w:w="110" w:type="dxa"/>
            </w:tcMar>
            <w:vAlign w:val="center"/>
            <w:shd w:val="clear" w:color="auto" w:fill="FCEDEE"/>
          </w:tcPr>
          <w:p>
            <w:pPr>
              <w:spacing w:after="0"/>
            </w:pPr>
            <w:r>
              <w:rPr>
                <w:sz w:val="19"/>
              </w:rPr>
            </w:r>
            <w:r>
              <w:rPr>
                <w:sz w:val="19"/>
              </w:rPr>
              <w:t>Herramienta</w:t>
            </w:r>
          </w:p>
        </w:tc>
        <w:tc>
          <w:tcPr>
            <w:tcW w:type="dxa" w:w="4873"/>
            <w:tcMar>
              <w:top w:w="60" w:type="dxa"/>
              <w:bottom w:w="60" w:type="dxa"/>
              <w:start w:w="110" w:type="dxa"/>
              <w:end w:w="110" w:type="dxa"/>
            </w:tcMar>
            <w:vAlign w:val="center"/>
            <w:shd w:val="clear" w:color="auto" w:fill="FCEDEE"/>
          </w:tcPr>
          <w:p>
            <w:pPr>
              <w:spacing w:after="0"/>
            </w:pPr>
            <w:r>
              <w:rPr>
                <w:sz w:val="19"/>
              </w:rPr>
            </w:r>
            <w:r>
              <w:rPr>
                <w:sz w:val="19"/>
              </w:rPr>
              <w:t>Python (statsmodels / scikit-learn) — notebook/S03_ols.ipynb</w:t>
            </w:r>
          </w:p>
        </w:tc>
      </w:tr>
    </w:tbl>
    <w:p>
      <w:pPr>
        <w:spacing w:after="40"/>
      </w:pPr>
    </w:p>
    <w:p>
      <w:pPr>
        <w:keepNext/>
        <w:spacing w:before="240" w:after="60"/>
        <w:pBdr>
          <w:bottom w:val="single" w:sz="6" w:space="2" w:color="E4002B"/>
        </w:pBdr>
      </w:pPr>
      <w:r>
        <w:rPr>
          <w:b/>
          <w:color w:val="E4002B"/>
          <w:sz w:val="30"/>
        </w:rPr>
        <w:t>1. Pregunta de negocio</w:t>
      </w:r>
    </w:p>
    <w:p>
      <w:pPr>
        <w:jc w:val="both"/>
      </w:pPr>
      <w:r>
        <w:t xml:space="preserve">Enunciar en una frase la decisión que el modelo debe apoyar y las dos variables implicadas: qué resultado se quiere explicar o predecir (respuesta </w:t>
      </w:r>
      <w:r>
        <w:rPr>
          <w:rFonts w:ascii="Consolas" w:hAnsi="Consolas"/>
          <w:color w:val="9B1B30"/>
          <w:sz w:val="19"/>
        </w:rPr>
        <w:t>Y</w:t>
      </w:r>
      <w:r>
        <w:t xml:space="preserve">) y qué palanca se controla (predictor </w:t>
      </w:r>
      <w:r>
        <w:rPr>
          <w:rFonts w:ascii="Consolas" w:hAnsi="Consolas"/>
          <w:color w:val="9B1B30"/>
          <w:sz w:val="19"/>
        </w:rPr>
        <w:t>X</w:t>
      </w:r>
      <w:r>
        <w:t>).</w:t>
      </w:r>
    </w:p>
    <w:p>
      <w:pPr>
        <w:pStyle w:val="ListBullet"/>
        <w:spacing w:after="40"/>
      </w:pPr>
      <w:r>
        <w:t>Decisión que se busca apoyar:</w:t>
      </w:r>
    </w:p>
    <w:p>
      <w:pPr>
        <w:pStyle w:val="ListBullet"/>
        <w:spacing w:after="40"/>
      </w:pPr>
      <w:r>
        <w:t>Resultado a explicar/predecir (</w:t>
      </w:r>
      <w:r>
        <w:rPr>
          <w:rFonts w:ascii="Consolas" w:hAnsi="Consolas"/>
          <w:color w:val="9B1B30"/>
          <w:sz w:val="19"/>
        </w:rPr>
        <w:t>Y</w:t>
      </w:r>
      <w:r>
        <w:t>):</w:t>
      </w:r>
    </w:p>
    <w:p>
      <w:pPr>
        <w:pStyle w:val="ListBullet"/>
        <w:spacing w:after="40"/>
      </w:pPr>
      <w:r>
        <w:t>Palanca disponible (</w:t>
      </w:r>
      <w:r>
        <w:rPr>
          <w:rFonts w:ascii="Consolas" w:hAnsi="Consolas"/>
          <w:color w:val="9B1B30"/>
          <w:sz w:val="19"/>
        </w:rPr>
        <w:t>X</w:t>
      </w:r>
      <w:r>
        <w:t>):</w:t>
      </w:r>
    </w:p>
    <w:p>
      <w:pPr>
        <w:keepNext/>
        <w:spacing w:before="240" w:after="60"/>
        <w:pBdr>
          <w:bottom w:val="single" w:sz="6" w:space="2" w:color="E4002B"/>
        </w:pBdr>
      </w:pPr>
      <w:r>
        <w:rPr>
          <w:b/>
          <w:color w:val="E4002B"/>
          <w:sz w:val="30"/>
        </w:rPr>
        <w:t>2. Datos</w:t>
      </w:r>
    </w:p>
    <w:tbl>
      <w:tblPr>
        <w:tblStyle w:val="TableGrid"/>
        <w:tblW w:type="auto" w:w="0"/>
        <w:tblLayout w:type="autofit"/>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Pr>
      <w:tblGrid>
        <w:gridCol w:w="4873"/>
        <w:gridCol w:w="4873"/>
      </w:tblGrid>
      <w:tr>
        <w:tc>
          <w:tcPr>
            <w:tcW w:type="dxa" w:w="4873"/>
            <w:tcMar>
              <w:top w:w="60" w:type="dxa"/>
              <w:bottom w:w="60" w:type="dxa"/>
              <w:start w:w="110" w:type="dxa"/>
              <w:end w:w="110" w:type="dxa"/>
            </w:tcMar>
            <w:vAlign w:val="center"/>
            <w:shd w:val="clear" w:color="auto" w:fill="E4002B"/>
          </w:tcPr>
          <w:p>
            <w:pPr>
              <w:spacing w:after="0"/>
            </w:pPr>
            <w:r/>
            <w:r>
              <w:rPr>
                <w:b/>
                <w:color w:val="FFFFFF"/>
                <w:sz w:val="19"/>
              </w:rPr>
              <w:t>Elemento</w:t>
            </w:r>
          </w:p>
        </w:tc>
        <w:tc>
          <w:tcPr>
            <w:tcW w:type="dxa" w:w="4873"/>
            <w:tcMar>
              <w:top w:w="60" w:type="dxa"/>
              <w:bottom w:w="60" w:type="dxa"/>
              <w:start w:w="110" w:type="dxa"/>
              <w:end w:w="110" w:type="dxa"/>
            </w:tcMar>
            <w:vAlign w:val="center"/>
            <w:shd w:val="clear" w:color="auto" w:fill="E4002B"/>
          </w:tcPr>
          <w:p>
            <w:pPr>
              <w:spacing w:after="0"/>
            </w:pPr>
            <w:r/>
            <w:r>
              <w:rPr>
                <w:b/>
                <w:color w:val="FFFFFF"/>
                <w:sz w:val="19"/>
              </w:rPr>
              <w:t>Valor a completar</w:t>
            </w:r>
          </w:p>
        </w:tc>
      </w:tr>
      <w:tr>
        <w:tc>
          <w:tcPr>
            <w:tcW w:type="dxa" w:w="4873"/>
            <w:tcMar>
              <w:top w:w="60" w:type="dxa"/>
              <w:bottom w:w="60" w:type="dxa"/>
              <w:start w:w="110" w:type="dxa"/>
              <w:end w:w="110" w:type="dxa"/>
            </w:tcMar>
            <w:vAlign w:val="center"/>
          </w:tcPr>
          <w:p>
            <w:pPr>
              <w:spacing w:after="0"/>
            </w:pPr>
            <w:r>
              <w:rPr>
                <w:sz w:val="19"/>
              </w:rPr>
            </w:r>
            <w:r>
              <w:rPr>
                <w:sz w:val="19"/>
              </w:rPr>
              <w:t xml:space="preserve">Variable respuesta </w:t>
            </w:r>
            <w:r>
              <w:rPr>
                <w:rFonts w:ascii="Consolas" w:hAnsi="Consolas"/>
                <w:color w:val="9B1B30"/>
                <w:sz w:val="19"/>
              </w:rPr>
              <w:t>Y</w:t>
            </w:r>
            <w:r>
              <w:rPr>
                <w:sz w:val="19"/>
              </w:rPr>
              <w:t xml:space="preserve"> (nombre y unidad)</w:t>
            </w:r>
          </w:p>
        </w:tc>
        <w:tc>
          <w:tcPr>
            <w:tcW w:type="dxa" w:w="4873"/>
            <w:tcMar>
              <w:top w:w="60" w:type="dxa"/>
              <w:bottom w:w="60" w:type="dxa"/>
              <w:start w:w="110" w:type="dxa"/>
              <w:end w:w="110" w:type="dxa"/>
            </w:tcMar>
            <w:vAlign w:val="center"/>
          </w:tcPr>
          <w:p>
            <w:pPr>
              <w:spacing w:after="0"/>
            </w:pPr>
            <w:r>
              <w:rPr>
                <w:sz w:val="19"/>
              </w:rPr>
            </w:r>
          </w:p>
        </w:tc>
      </w:tr>
      <w:tr>
        <w:tc>
          <w:tcPr>
            <w:tcW w:type="dxa" w:w="4873"/>
            <w:tcMar>
              <w:top w:w="60" w:type="dxa"/>
              <w:bottom w:w="60" w:type="dxa"/>
              <w:start w:w="110" w:type="dxa"/>
              <w:end w:w="110" w:type="dxa"/>
            </w:tcMar>
            <w:vAlign w:val="center"/>
            <w:shd w:val="clear" w:color="auto" w:fill="FCEDEE"/>
          </w:tcPr>
          <w:p>
            <w:pPr>
              <w:spacing w:after="0"/>
            </w:pPr>
            <w:r>
              <w:rPr>
                <w:sz w:val="19"/>
              </w:rPr>
            </w:r>
            <w:r>
              <w:rPr>
                <w:sz w:val="19"/>
              </w:rPr>
              <w:t xml:space="preserve">Predictor </w:t>
            </w:r>
            <w:r>
              <w:rPr>
                <w:rFonts w:ascii="Consolas" w:hAnsi="Consolas"/>
                <w:color w:val="9B1B30"/>
                <w:sz w:val="19"/>
              </w:rPr>
              <w:t>X</w:t>
            </w:r>
            <w:r>
              <w:rPr>
                <w:sz w:val="19"/>
              </w:rPr>
              <w:t xml:space="preserve"> (nombre y unidad)</w:t>
            </w:r>
          </w:p>
        </w:tc>
        <w:tc>
          <w:tcPr>
            <w:tcW w:type="dxa" w:w="4873"/>
            <w:tcMar>
              <w:top w:w="60" w:type="dxa"/>
              <w:bottom w:w="60" w:type="dxa"/>
              <w:start w:w="110" w:type="dxa"/>
              <w:end w:w="110" w:type="dxa"/>
            </w:tcMar>
            <w:vAlign w:val="center"/>
            <w:shd w:val="clear" w:color="auto" w:fill="FCEDEE"/>
          </w:tcPr>
          <w:p>
            <w:pPr>
              <w:spacing w:after="0"/>
            </w:pPr>
            <w:r>
              <w:rPr>
                <w:sz w:val="19"/>
              </w:rPr>
            </w:r>
          </w:p>
        </w:tc>
      </w:tr>
      <w:tr>
        <w:tc>
          <w:tcPr>
            <w:tcW w:type="dxa" w:w="4873"/>
            <w:tcMar>
              <w:top w:w="60" w:type="dxa"/>
              <w:bottom w:w="60" w:type="dxa"/>
              <w:start w:w="110" w:type="dxa"/>
              <w:end w:w="110" w:type="dxa"/>
            </w:tcMar>
            <w:vAlign w:val="center"/>
          </w:tcPr>
          <w:p>
            <w:pPr>
              <w:spacing w:after="0"/>
            </w:pPr>
            <w:r>
              <w:rPr>
                <w:sz w:val="19"/>
              </w:rPr>
            </w:r>
            <w:r>
              <w:rPr>
                <w:sz w:val="19"/>
              </w:rPr>
              <w:t>Nº de observaciones (n)</w:t>
            </w:r>
          </w:p>
        </w:tc>
        <w:tc>
          <w:tcPr>
            <w:tcW w:type="dxa" w:w="4873"/>
            <w:tcMar>
              <w:top w:w="60" w:type="dxa"/>
              <w:bottom w:w="60" w:type="dxa"/>
              <w:start w:w="110" w:type="dxa"/>
              <w:end w:w="110" w:type="dxa"/>
            </w:tcMar>
            <w:vAlign w:val="center"/>
          </w:tcPr>
          <w:p>
            <w:pPr>
              <w:spacing w:after="0"/>
            </w:pPr>
            <w:r>
              <w:rPr>
                <w:sz w:val="19"/>
              </w:rPr>
            </w:r>
          </w:p>
        </w:tc>
      </w:tr>
      <w:tr>
        <w:tc>
          <w:tcPr>
            <w:tcW w:type="dxa" w:w="4873"/>
            <w:tcMar>
              <w:top w:w="60" w:type="dxa"/>
              <w:bottom w:w="60" w:type="dxa"/>
              <w:start w:w="110" w:type="dxa"/>
              <w:end w:w="110" w:type="dxa"/>
            </w:tcMar>
            <w:vAlign w:val="center"/>
            <w:shd w:val="clear" w:color="auto" w:fill="FCEDEE"/>
          </w:tcPr>
          <w:p>
            <w:pPr>
              <w:spacing w:after="0"/>
            </w:pPr>
            <w:r>
              <w:rPr>
                <w:sz w:val="19"/>
              </w:rPr>
            </w:r>
            <w:r>
              <w:rPr>
                <w:sz w:val="19"/>
              </w:rPr>
              <w:t>Periodo / cobertura</w:t>
            </w:r>
          </w:p>
        </w:tc>
        <w:tc>
          <w:tcPr>
            <w:tcW w:type="dxa" w:w="4873"/>
            <w:tcMar>
              <w:top w:w="60" w:type="dxa"/>
              <w:bottom w:w="60" w:type="dxa"/>
              <w:start w:w="110" w:type="dxa"/>
              <w:end w:w="110" w:type="dxa"/>
            </w:tcMar>
            <w:vAlign w:val="center"/>
            <w:shd w:val="clear" w:color="auto" w:fill="FCEDEE"/>
          </w:tcPr>
          <w:p>
            <w:pPr>
              <w:spacing w:after="0"/>
            </w:pPr>
            <w:r>
              <w:rPr>
                <w:sz w:val="19"/>
              </w:rPr>
            </w:r>
          </w:p>
        </w:tc>
      </w:tr>
      <w:tr>
        <w:tc>
          <w:tcPr>
            <w:tcW w:type="dxa" w:w="4873"/>
            <w:tcMar>
              <w:top w:w="60" w:type="dxa"/>
              <w:bottom w:w="60" w:type="dxa"/>
              <w:start w:w="110" w:type="dxa"/>
              <w:end w:w="110" w:type="dxa"/>
            </w:tcMar>
            <w:vAlign w:val="center"/>
          </w:tcPr>
          <w:p>
            <w:pPr>
              <w:spacing w:after="0"/>
            </w:pPr>
            <w:r>
              <w:rPr>
                <w:sz w:val="19"/>
              </w:rPr>
            </w:r>
            <w:r>
              <w:rPr>
                <w:sz w:val="19"/>
              </w:rPr>
              <w:t>Partición para validar</w:t>
            </w:r>
          </w:p>
        </w:tc>
        <w:tc>
          <w:tcPr>
            <w:tcW w:type="dxa" w:w="4873"/>
            <w:tcMar>
              <w:top w:w="60" w:type="dxa"/>
              <w:bottom w:w="60" w:type="dxa"/>
              <w:start w:w="110" w:type="dxa"/>
              <w:end w:w="110" w:type="dxa"/>
            </w:tcMar>
            <w:vAlign w:val="center"/>
          </w:tcPr>
          <w:p>
            <w:pPr>
              <w:spacing w:after="0"/>
            </w:pPr>
            <w:r>
              <w:rPr>
                <w:sz w:val="19"/>
              </w:rPr>
            </w:r>
            <w:r>
              <w:rPr>
                <w:sz w:val="19"/>
              </w:rPr>
              <w:t>train ___ % / test ___ % (semilla ___)</w:t>
            </w:r>
          </w:p>
        </w:tc>
      </w:tr>
    </w:tbl>
    <w:p>
      <w:pPr>
        <w:spacing w:after="40"/>
      </w:pPr>
    </w:p>
    <w:p>
      <w:pPr>
        <w:keepNext/>
        <w:spacing w:before="240" w:after="60"/>
        <w:pBdr>
          <w:bottom w:val="single" w:sz="6" w:space="2" w:color="E4002B"/>
        </w:pBdr>
      </w:pPr>
      <w:r>
        <w:rPr>
          <w:b/>
          <w:color w:val="E4002B"/>
          <w:sz w:val="30"/>
        </w:rPr>
        <w:t>3. El modelo en palabras</w:t>
      </w:r>
    </w:p>
    <w:p>
      <w:pPr>
        <w:jc w:val="both"/>
      </w:pPr>
      <w:r>
        <w:t xml:space="preserve">Completar la frase con los coeficientes estimados. Es la traducción directa de la recta ajustada del modelo (1). Los coeficientes no se eligen manualmente: OLS los resuelve en forma cerrada a partir de los datos —la pendiente como la covarianza de </w:t>
      </w:r>
      <w:r>
        <w:rPr>
          <w:rFonts w:ascii="Consolas" w:hAnsi="Consolas"/>
          <w:color w:val="9B1B30"/>
          <w:sz w:val="19"/>
        </w:rPr>
        <w:t>X</w:t>
      </w:r>
      <w:r>
        <w:t xml:space="preserve"> e </w:t>
      </w:r>
      <w:r>
        <w:rPr>
          <w:rFonts w:ascii="Consolas" w:hAnsi="Consolas"/>
          <w:color w:val="9B1B30"/>
          <w:sz w:val="19"/>
        </w:rPr>
        <w:t>Y</w:t>
      </w:r>
      <w:r>
        <w:t xml:space="preserve"> sobre la varianza de </w:t>
      </w:r>
      <w:r>
        <w:rPr>
          <w:rFonts w:ascii="Consolas" w:hAnsi="Consolas"/>
          <w:color w:val="9B1B30"/>
          <w:sz w:val="19"/>
        </w:rPr>
        <w:t>X</w:t>
      </w:r>
      <w:r>
        <w:t>, y el intercepto para que la recta pase por el promedio de ambos—,</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907"/>
        <w:gridCol w:w="7597"/>
        <w:gridCol w:w="907"/>
      </w:tblGrid>
      <w:tr>
        <w:tc>
          <w:tcPr>
            <w:tcW w:type="dxa" w:w="907"/>
            <w:tcMar>
              <w:top w:w="30" w:type="dxa"/>
              <w:bottom w:w="30" w:type="dxa"/>
              <w:start w:w="40" w:type="dxa"/>
              <w:end w:w="40" w:type="dxa"/>
            </w:tcMar>
            <w:vAlign w:val="center"/>
          </w:tcPr>
          <w:p/>
        </w:tc>
        <w:tc>
          <w:tcPr>
            <w:tcW w:type="dxa" w:w="7597"/>
            <w:tcMar>
              <w:top w:w="30" w:type="dxa"/>
              <w:bottom w:w="30" w:type="dxa"/>
              <w:start w:w="40" w:type="dxa"/>
              <w:end w:w="40" w:type="dxa"/>
            </w:tcMar>
            <w:vAlign w:val="center"/>
          </w:tcPr>
          <w:p>
            <w:pPr>
              <w:spacing w:after="0"/>
              <w:jc w:val="center"/>
            </w:pPr>
            <w:r>
              <w:drawing>
                <wp:inline xmlns:a="http://schemas.openxmlformats.org/drawingml/2006/main" xmlns:pic="http://schemas.openxmlformats.org/drawingml/2006/picture">
                  <wp:extent cx="2564476" cy="868680"/>
                  <wp:docPr id="4" name="Picture 4"/>
                  <wp:cNvGraphicFramePr>
                    <a:graphicFrameLocks noChangeAspect="1"/>
                  </wp:cNvGraphicFramePr>
                  <a:graphic>
                    <a:graphicData uri="http://schemas.openxmlformats.org/drawingml/2006/picture">
                      <pic:pic>
                        <pic:nvPicPr>
                          <pic:cNvPr id="0" name="eq_8cf3aaf9441e.png"/>
                          <pic:cNvPicPr/>
                        </pic:nvPicPr>
                        <pic:blipFill>
                          <a:blip r:embed="rId12"/>
                          <a:stretch>
                            <a:fillRect/>
                          </a:stretch>
                        </pic:blipFill>
                        <pic:spPr>
                          <a:xfrm>
                            <a:off x="0" y="0"/>
                            <a:ext cx="2564476" cy="868680"/>
                          </a:xfrm>
                          <a:prstGeom prst="rect"/>
                        </pic:spPr>
                      </pic:pic>
                    </a:graphicData>
                  </a:graphic>
                </wp:inline>
              </w:drawing>
            </w:r>
          </w:p>
        </w:tc>
        <w:tc>
          <w:tcPr>
            <w:tcW w:type="dxa" w:w="907"/>
            <w:tcMar>
              <w:top w:w="30" w:type="dxa"/>
              <w:bottom w:w="30" w:type="dxa"/>
              <w:start w:w="40" w:type="dxa"/>
              <w:end w:w="40" w:type="dxa"/>
            </w:tcMar>
            <w:vAlign w:val="center"/>
          </w:tcPr>
          <w:p>
            <w:pPr>
              <w:spacing w:after="0"/>
              <w:jc w:val="right"/>
            </w:pPr>
            <w:r>
              <w:rPr>
                <w:color w:val="2D2D2D"/>
                <w:sz w:val="21"/>
              </w:rPr>
              <w:t>(2)</w:t>
            </w:r>
          </w:p>
        </w:tc>
      </w:tr>
    </w:tbl>
    <w:p>
      <w:pPr>
        <w:spacing w:after="40"/>
      </w:pP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907"/>
        <w:gridCol w:w="7597"/>
        <w:gridCol w:w="907"/>
      </w:tblGrid>
      <w:tr>
        <w:tc>
          <w:tcPr>
            <w:tcW w:type="dxa" w:w="907"/>
            <w:tcMar>
              <w:top w:w="30" w:type="dxa"/>
              <w:bottom w:w="30" w:type="dxa"/>
              <w:start w:w="40" w:type="dxa"/>
              <w:end w:w="40" w:type="dxa"/>
            </w:tcMar>
            <w:vAlign w:val="center"/>
          </w:tcPr>
          <w:p/>
        </w:tc>
        <w:tc>
          <w:tcPr>
            <w:tcW w:type="dxa" w:w="7597"/>
            <w:tcMar>
              <w:top w:w="30" w:type="dxa"/>
              <w:bottom w:w="30" w:type="dxa"/>
              <w:start w:w="40" w:type="dxa"/>
              <w:end w:w="40" w:type="dxa"/>
            </w:tcMar>
            <w:vAlign w:val="center"/>
          </w:tcPr>
          <w:p>
            <w:pPr>
              <w:spacing w:after="0"/>
              <w:jc w:val="center"/>
            </w:pPr>
            <w:r>
              <w:drawing>
                <wp:inline xmlns:a="http://schemas.openxmlformats.org/drawingml/2006/main" xmlns:pic="http://schemas.openxmlformats.org/drawingml/2006/picture">
                  <wp:extent cx="1575261" cy="378229"/>
                  <wp:docPr id="5" name="Picture 5"/>
                  <wp:cNvGraphicFramePr>
                    <a:graphicFrameLocks noChangeAspect="1"/>
                  </wp:cNvGraphicFramePr>
                  <a:graphic>
                    <a:graphicData uri="http://schemas.openxmlformats.org/drawingml/2006/picture">
                      <pic:pic>
                        <pic:nvPicPr>
                          <pic:cNvPr id="0" name="eq_780d48998148.png"/>
                          <pic:cNvPicPr/>
                        </pic:nvPicPr>
                        <pic:blipFill>
                          <a:blip r:embed="rId13"/>
                          <a:stretch>
                            <a:fillRect/>
                          </a:stretch>
                        </pic:blipFill>
                        <pic:spPr>
                          <a:xfrm>
                            <a:off x="0" y="0"/>
                            <a:ext cx="1575261" cy="378229"/>
                          </a:xfrm>
                          <a:prstGeom prst="rect"/>
                        </pic:spPr>
                      </pic:pic>
                    </a:graphicData>
                  </a:graphic>
                </wp:inline>
              </w:drawing>
            </w:r>
          </w:p>
        </w:tc>
        <w:tc>
          <w:tcPr>
            <w:tcW w:type="dxa" w:w="907"/>
            <w:tcMar>
              <w:top w:w="30" w:type="dxa"/>
              <w:bottom w:w="30" w:type="dxa"/>
              <w:start w:w="40" w:type="dxa"/>
              <w:end w:w="40" w:type="dxa"/>
            </w:tcMar>
            <w:vAlign w:val="center"/>
          </w:tcPr>
          <w:p>
            <w:pPr>
              <w:spacing w:after="0"/>
              <w:jc w:val="right"/>
            </w:pPr>
            <w:r>
              <w:rPr>
                <w:color w:val="2D2D2D"/>
                <w:sz w:val="21"/>
              </w:rPr>
              <w:t>(3)</w:t>
            </w:r>
          </w:p>
        </w:tc>
      </w:tr>
    </w:tbl>
    <w:p>
      <w:pPr>
        <w:spacing w:after="40"/>
      </w:pPr>
    </w:p>
    <w:p>
      <w:pPr>
        <w:jc w:val="both"/>
      </w:pPr>
      <w:r>
        <w:t xml:space="preserve">donde </w:t>
      </w:r>
      <w:r>
        <w:drawing>
          <wp:inline xmlns:a="http://schemas.openxmlformats.org/drawingml/2006/main" xmlns:pic="http://schemas.openxmlformats.org/drawingml/2006/picture">
            <wp:extent cx="156801" cy="206692"/>
            <wp:docPr id="6" name="Picture 6"/>
            <wp:cNvGraphicFramePr>
              <a:graphicFrameLocks noChangeAspect="1"/>
            </wp:cNvGraphicFramePr>
            <a:graphic>
              <a:graphicData uri="http://schemas.openxmlformats.org/drawingml/2006/picture">
                <pic:pic>
                  <pic:nvPicPr>
                    <pic:cNvPr id="0" name="eq_611ca89127c4.png"/>
                    <pic:cNvPicPr/>
                  </pic:nvPicPr>
                  <pic:blipFill>
                    <a:blip r:embed="rId14"/>
                    <a:stretch>
                      <a:fillRect/>
                    </a:stretch>
                  </pic:blipFill>
                  <pic:spPr>
                    <a:xfrm>
                      <a:off x="0" y="0"/>
                      <a:ext cx="156801" cy="206692"/>
                    </a:xfrm>
                    <a:prstGeom prst="rect"/>
                  </pic:spPr>
                </pic:pic>
              </a:graphicData>
            </a:graphic>
          </wp:inline>
        </w:drawing>
      </w:r>
      <w:r>
        <w:t xml:space="preserve"> y </w:t>
      </w:r>
      <w:r>
        <w:drawing>
          <wp:inline xmlns:a="http://schemas.openxmlformats.org/drawingml/2006/main" xmlns:pic="http://schemas.openxmlformats.org/drawingml/2006/picture">
            <wp:extent cx="156801" cy="206692"/>
            <wp:docPr id="7" name="Picture 7"/>
            <wp:cNvGraphicFramePr>
              <a:graphicFrameLocks noChangeAspect="1"/>
            </wp:cNvGraphicFramePr>
            <a:graphic>
              <a:graphicData uri="http://schemas.openxmlformats.org/drawingml/2006/picture">
                <pic:pic>
                  <pic:nvPicPr>
                    <pic:cNvPr id="0" name="eq_9a74b34ef47a.png"/>
                    <pic:cNvPicPr/>
                  </pic:nvPicPr>
                  <pic:blipFill>
                    <a:blip r:embed="rId15"/>
                    <a:stretch>
                      <a:fillRect/>
                    </a:stretch>
                  </pic:blipFill>
                  <pic:spPr>
                    <a:xfrm>
                      <a:off x="0" y="0"/>
                      <a:ext cx="156801" cy="206692"/>
                    </a:xfrm>
                    <a:prstGeom prst="rect"/>
                  </pic:spPr>
                </pic:pic>
              </a:graphicData>
            </a:graphic>
          </wp:inline>
        </w:drawing>
      </w:r>
      <w:r>
        <w:t xml:space="preserve"> son las medias, </w:t>
      </w:r>
      <w:r>
        <w:drawing>
          <wp:inline xmlns:a="http://schemas.openxmlformats.org/drawingml/2006/main" xmlns:pic="http://schemas.openxmlformats.org/drawingml/2006/picture">
            <wp:extent cx="206692" cy="206692"/>
            <wp:docPr id="8" name="Picture 8"/>
            <wp:cNvGraphicFramePr>
              <a:graphicFrameLocks noChangeAspect="1"/>
            </wp:cNvGraphicFramePr>
            <a:graphic>
              <a:graphicData uri="http://schemas.openxmlformats.org/drawingml/2006/picture">
                <pic:pic>
                  <pic:nvPicPr>
                    <pic:cNvPr id="0" name="eq_90a5948588f7.png"/>
                    <pic:cNvPicPr/>
                  </pic:nvPicPr>
                  <pic:blipFill>
                    <a:blip r:embed="rId16"/>
                    <a:stretch>
                      <a:fillRect/>
                    </a:stretch>
                  </pic:blipFill>
                  <pic:spPr>
                    <a:xfrm>
                      <a:off x="0" y="0"/>
                      <a:ext cx="206692" cy="206692"/>
                    </a:xfrm>
                    <a:prstGeom prst="rect"/>
                  </pic:spPr>
                </pic:pic>
              </a:graphicData>
            </a:graphic>
          </wp:inline>
        </w:drawing>
      </w:r>
      <w:r>
        <w:t xml:space="preserve"> y </w:t>
      </w:r>
      <w:r>
        <w:drawing>
          <wp:inline xmlns:a="http://schemas.openxmlformats.org/drawingml/2006/main" xmlns:pic="http://schemas.openxmlformats.org/drawingml/2006/picture">
            <wp:extent cx="199803" cy="206692"/>
            <wp:docPr id="9" name="Picture 9"/>
            <wp:cNvGraphicFramePr>
              <a:graphicFrameLocks noChangeAspect="1"/>
            </wp:cNvGraphicFramePr>
            <a:graphic>
              <a:graphicData uri="http://schemas.openxmlformats.org/drawingml/2006/picture">
                <pic:pic>
                  <pic:nvPicPr>
                    <pic:cNvPr id="0" name="eq_861cd5f7e3be.png"/>
                    <pic:cNvPicPr/>
                  </pic:nvPicPr>
                  <pic:blipFill>
                    <a:blip r:embed="rId17"/>
                    <a:stretch>
                      <a:fillRect/>
                    </a:stretch>
                  </pic:blipFill>
                  <pic:spPr>
                    <a:xfrm>
                      <a:off x="0" y="0"/>
                      <a:ext cx="199803" cy="206692"/>
                    </a:xfrm>
                    <a:prstGeom prst="rect"/>
                  </pic:spPr>
                </pic:pic>
              </a:graphicData>
            </a:graphic>
          </wp:inline>
        </w:drawing>
      </w:r>
      <w:r>
        <w:t xml:space="preserve"> las desviaciones estándar y </w:t>
      </w:r>
      <w:r>
        <w:rPr>
          <w:rFonts w:ascii="Consolas" w:hAnsi="Consolas"/>
          <w:color w:val="9B1B30"/>
          <w:sz w:val="19"/>
        </w:rPr>
        <w:t>r</w:t>
      </w:r>
      <w:r>
        <w:t xml:space="preserve"> la correlación de Pearson. La forma </w:t>
      </w:r>
      <w:r>
        <w:drawing>
          <wp:inline xmlns:a="http://schemas.openxmlformats.org/drawingml/2006/main" xmlns:pic="http://schemas.openxmlformats.org/drawingml/2006/picture">
            <wp:extent cx="647635" cy="206692"/>
            <wp:docPr id="10" name="Picture 10"/>
            <wp:cNvGraphicFramePr>
              <a:graphicFrameLocks noChangeAspect="1"/>
            </wp:cNvGraphicFramePr>
            <a:graphic>
              <a:graphicData uri="http://schemas.openxmlformats.org/drawingml/2006/picture">
                <pic:pic>
                  <pic:nvPicPr>
                    <pic:cNvPr id="0" name="eq_0d569b1f13d7.png"/>
                    <pic:cNvPicPr/>
                  </pic:nvPicPr>
                  <pic:blipFill>
                    <a:blip r:embed="rId18"/>
                    <a:stretch>
                      <a:fillRect/>
                    </a:stretch>
                  </pic:blipFill>
                  <pic:spPr>
                    <a:xfrm>
                      <a:off x="0" y="0"/>
                      <a:ext cx="647635" cy="206692"/>
                    </a:xfrm>
                    <a:prstGeom prst="rect"/>
                  </pic:spPr>
                </pic:pic>
              </a:graphicData>
            </a:graphic>
          </wp:inline>
        </w:drawing>
      </w:r>
      <w:r>
        <w:t xml:space="preserve"> de (2) deja ver que la pendiente </w:t>
      </w:r>
      <w:r>
        <w:rPr>
          <w:b/>
        </w:rPr>
        <w:t>estandarizada</w:t>
      </w:r>
      <w:r>
        <w:t xml:space="preserve"> coincide con la correlación (base de la regresión a la media, «Sección 8»).</w:t>
      </w:r>
    </w:p>
    <w:p>
      <w:pPr>
        <w:pStyle w:val="ListBullet"/>
        <w:spacing w:after="40"/>
      </w:pPr>
      <w:r>
        <w:rPr>
          <w:b/>
        </w:rPr>
        <w:t>Regla del modelo:</w:t>
      </w:r>
      <w:r>
        <w:t xml:space="preserve"> "Por cada </w:t>
      </w:r>
      <w:r>
        <w:rPr>
          <w:b/>
        </w:rPr>
        <w:t>una unidad adicional</w:t>
      </w:r>
      <w:r>
        <w:t xml:space="preserve"> de _[X con su unidad]_, se espera que _[Y]_ cambie en promedio </w:t>
      </w:r>
      <w:r>
        <w:rPr>
          <w:b/>
        </w:rPr>
        <w:t>_[β₁]_</w:t>
      </w:r>
      <w:r>
        <w:t xml:space="preserve"> _[unidad de Y]_."</w:t>
      </w:r>
    </w:p>
    <w:p>
      <w:pPr>
        <w:pStyle w:val="ListBullet"/>
        <w:spacing w:after="40"/>
      </w:pPr>
      <w:r>
        <w:rPr>
          <w:b/>
        </w:rPr>
        <w:t>Sobre el punto de partida (β₀):</w:t>
      </w:r>
      <w:r>
        <w:t xml:space="preserve"> el intercepto de (3) vale ___ y solo debe leerse como valor de negocio si </w:t>
      </w:r>
      <w:r>
        <w:rPr>
          <w:rFonts w:ascii="Consolas" w:hAnsi="Consolas"/>
          <w:color w:val="9B1B30"/>
          <w:sz w:val="19"/>
        </w:rPr>
        <w:t>X = 0</w:t>
      </w:r>
      <w:r>
        <w:t xml:space="preserve"> es un escenario plausible y observado (por ejemplo, ventas base sin inversión). Si </w:t>
      </w:r>
      <w:r>
        <w:rPr>
          <w:rFonts w:ascii="Consolas" w:hAnsi="Consolas"/>
          <w:color w:val="9B1B30"/>
          <w:sz w:val="19"/>
        </w:rPr>
        <w:t>X = 0</w:t>
      </w:r>
      <w:r>
        <w:t xml:space="preserve"> cae fuera del rango de los datos, es únicamente el ancla matemática de la recta y </w:t>
      </w:r>
      <w:r>
        <w:rPr>
          <w:b/>
        </w:rPr>
        <w:t>no debe reportarse como una predicción</w:t>
      </w:r>
      <w:r>
        <w:t>.</w:t>
      </w:r>
    </w:p>
    <w:p>
      <w:pPr>
        <w:keepNext/>
        <w:spacing w:before="240" w:after="60"/>
        <w:pBdr>
          <w:bottom w:val="single" w:sz="6" w:space="2" w:color="E4002B"/>
        </w:pBdr>
      </w:pPr>
      <w:r>
        <w:rPr>
          <w:b/>
          <w:color w:val="E4002B"/>
          <w:sz w:val="30"/>
        </w:rPr>
        <w:t>4. Cuánto mueve la palanca — β₁ en unidades de negocio</w:t>
      </w:r>
    </w:p>
    <w:p>
      <w:pPr>
        <w:jc w:val="both"/>
      </w:pPr>
      <w:r>
        <w:t xml:space="preserve">El coeficiente β₁ es el número accionable: el efecto por unidad. Se reporta junto a su intervalo de confianza y a si es estadísticamente distinto de cero. La </w:t>
      </w:r>
      <w:r>
        <w:rPr>
          <w:b/>
        </w:rPr>
        <w:t>precisión</w:t>
      </w:r>
      <w:r>
        <w:t xml:space="preserve"> de la pendiente estimada se mide con su error estándar,</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907"/>
        <w:gridCol w:w="7597"/>
        <w:gridCol w:w="907"/>
      </w:tblGrid>
      <w:tr>
        <w:tc>
          <w:tcPr>
            <w:tcW w:type="dxa" w:w="907"/>
            <w:tcMar>
              <w:top w:w="30" w:type="dxa"/>
              <w:bottom w:w="30" w:type="dxa"/>
              <w:start w:w="40" w:type="dxa"/>
              <w:end w:w="40" w:type="dxa"/>
            </w:tcMar>
            <w:vAlign w:val="center"/>
          </w:tcPr>
          <w:p/>
        </w:tc>
        <w:tc>
          <w:tcPr>
            <w:tcW w:type="dxa" w:w="7597"/>
            <w:tcMar>
              <w:top w:w="30" w:type="dxa"/>
              <w:bottom w:w="30" w:type="dxa"/>
              <w:start w:w="40" w:type="dxa"/>
              <w:end w:w="40" w:type="dxa"/>
            </w:tcMar>
            <w:vAlign w:val="center"/>
          </w:tcPr>
          <w:p>
            <w:pPr>
              <w:spacing w:after="0"/>
              <w:jc w:val="center"/>
            </w:pPr>
            <w:r>
              <w:drawing>
                <wp:inline xmlns:a="http://schemas.openxmlformats.org/drawingml/2006/main" xmlns:pic="http://schemas.openxmlformats.org/drawingml/2006/picture">
                  <wp:extent cx="4351712" cy="810490"/>
                  <wp:docPr id="11" name="Picture 11"/>
                  <wp:cNvGraphicFramePr>
                    <a:graphicFrameLocks noChangeAspect="1"/>
                  </wp:cNvGraphicFramePr>
                  <a:graphic>
                    <a:graphicData uri="http://schemas.openxmlformats.org/drawingml/2006/picture">
                      <pic:pic>
                        <pic:nvPicPr>
                          <pic:cNvPr id="0" name="eq_1c0ea659552c.png"/>
                          <pic:cNvPicPr/>
                        </pic:nvPicPr>
                        <pic:blipFill>
                          <a:blip r:embed="rId19"/>
                          <a:stretch>
                            <a:fillRect/>
                          </a:stretch>
                        </pic:blipFill>
                        <pic:spPr>
                          <a:xfrm>
                            <a:off x="0" y="0"/>
                            <a:ext cx="4351712" cy="810490"/>
                          </a:xfrm>
                          <a:prstGeom prst="rect"/>
                        </pic:spPr>
                      </pic:pic>
                    </a:graphicData>
                  </a:graphic>
                </wp:inline>
              </w:drawing>
            </w:r>
          </w:p>
        </w:tc>
        <w:tc>
          <w:tcPr>
            <w:tcW w:type="dxa" w:w="907"/>
            <w:tcMar>
              <w:top w:w="30" w:type="dxa"/>
              <w:bottom w:w="30" w:type="dxa"/>
              <w:start w:w="40" w:type="dxa"/>
              <w:end w:w="40" w:type="dxa"/>
            </w:tcMar>
            <w:vAlign w:val="center"/>
          </w:tcPr>
          <w:p>
            <w:pPr>
              <w:spacing w:after="0"/>
              <w:jc w:val="right"/>
            </w:pPr>
            <w:r>
              <w:rPr>
                <w:color w:val="2D2D2D"/>
                <w:sz w:val="21"/>
              </w:rPr>
              <w:t>(4)</w:t>
            </w:r>
          </w:p>
        </w:tc>
      </w:tr>
    </w:tbl>
    <w:p>
      <w:pPr>
        <w:spacing w:after="40"/>
      </w:pPr>
    </w:p>
    <w:p>
      <w:pPr>
        <w:jc w:val="both"/>
      </w:pPr>
      <w:r>
        <w:t xml:space="preserve">que es menor cuanto </w:t>
      </w:r>
      <w:r>
        <w:rPr>
          <w:b/>
        </w:rPr>
        <w:t>menos disperso</w:t>
      </w:r>
      <w:r>
        <w:t xml:space="preserve"> es el error y </w:t>
      </w:r>
      <w:r>
        <w:rPr>
          <w:b/>
        </w:rPr>
        <w:t>más varía</w:t>
      </w:r>
      <w:r>
        <w:t xml:space="preserve"> el predictor. Para decidir si el efecto es real, el </w:t>
      </w:r>
      <w:r>
        <w:rPr>
          <w:b/>
        </w:rPr>
        <w:t>estadístico t</w:t>
      </w:r>
      <w:r>
        <w:t xml:space="preserve"> contrasta la hipótesis nula </w:t>
      </w:r>
      <w:r>
        <w:rPr>
          <w:rFonts w:ascii="Consolas" w:hAnsi="Consolas"/>
          <w:color w:val="9B1B30"/>
          <w:sz w:val="19"/>
        </w:rPr>
        <w:t>H₀: β₁ = 0</w:t>
      </w:r>
      <w:r>
        <w:t xml:space="preserve"> (sin relación lineal),</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907"/>
        <w:gridCol w:w="7597"/>
        <w:gridCol w:w="907"/>
      </w:tblGrid>
      <w:tr>
        <w:tc>
          <w:tcPr>
            <w:tcW w:type="dxa" w:w="907"/>
            <w:tcMar>
              <w:top w:w="30" w:type="dxa"/>
              <w:bottom w:w="30" w:type="dxa"/>
              <w:start w:w="40" w:type="dxa"/>
              <w:end w:w="40" w:type="dxa"/>
            </w:tcMar>
            <w:vAlign w:val="center"/>
          </w:tcPr>
          <w:p/>
        </w:tc>
        <w:tc>
          <w:tcPr>
            <w:tcW w:type="dxa" w:w="7597"/>
            <w:tcMar>
              <w:top w:w="30" w:type="dxa"/>
              <w:bottom w:w="30" w:type="dxa"/>
              <w:start w:w="40" w:type="dxa"/>
              <w:end w:w="40" w:type="dxa"/>
            </w:tcMar>
            <w:vAlign w:val="center"/>
          </w:tcPr>
          <w:p>
            <w:pPr>
              <w:spacing w:after="0"/>
              <w:jc w:val="center"/>
            </w:pPr>
            <w:r>
              <w:drawing>
                <wp:inline xmlns:a="http://schemas.openxmlformats.org/drawingml/2006/main" xmlns:pic="http://schemas.openxmlformats.org/drawingml/2006/picture">
                  <wp:extent cx="1184563" cy="523701"/>
                  <wp:docPr id="12" name="Picture 12"/>
                  <wp:cNvGraphicFramePr>
                    <a:graphicFrameLocks noChangeAspect="1"/>
                  </wp:cNvGraphicFramePr>
                  <a:graphic>
                    <a:graphicData uri="http://schemas.openxmlformats.org/drawingml/2006/picture">
                      <pic:pic>
                        <pic:nvPicPr>
                          <pic:cNvPr id="0" name="eq_5036e2496902.png"/>
                          <pic:cNvPicPr/>
                        </pic:nvPicPr>
                        <pic:blipFill>
                          <a:blip r:embed="rId20"/>
                          <a:stretch>
                            <a:fillRect/>
                          </a:stretch>
                        </pic:blipFill>
                        <pic:spPr>
                          <a:xfrm>
                            <a:off x="0" y="0"/>
                            <a:ext cx="1184563" cy="523701"/>
                          </a:xfrm>
                          <a:prstGeom prst="rect"/>
                        </pic:spPr>
                      </pic:pic>
                    </a:graphicData>
                  </a:graphic>
                </wp:inline>
              </w:drawing>
            </w:r>
          </w:p>
        </w:tc>
        <w:tc>
          <w:tcPr>
            <w:tcW w:type="dxa" w:w="907"/>
            <w:tcMar>
              <w:top w:w="30" w:type="dxa"/>
              <w:bottom w:w="30" w:type="dxa"/>
              <w:start w:w="40" w:type="dxa"/>
              <w:end w:w="40" w:type="dxa"/>
            </w:tcMar>
            <w:vAlign w:val="center"/>
          </w:tcPr>
          <w:p>
            <w:pPr>
              <w:spacing w:after="0"/>
              <w:jc w:val="right"/>
            </w:pPr>
            <w:r>
              <w:rPr>
                <w:color w:val="2D2D2D"/>
                <w:sz w:val="21"/>
              </w:rPr>
              <w:t>(5)</w:t>
            </w:r>
          </w:p>
        </w:tc>
      </w:tr>
    </w:tbl>
    <w:p>
      <w:pPr>
        <w:spacing w:after="40"/>
      </w:pPr>
    </w:p>
    <w:p>
      <w:pPr>
        <w:jc w:val="both"/>
      </w:pPr>
      <w:r>
        <w:t xml:space="preserve">y su p-valor mide qué tan improbable sería una pendiente así de grande si la verdadera fuera cero. El </w:t>
      </w:r>
      <w:r>
        <w:rPr>
          <w:b/>
        </w:rPr>
        <w:t>intervalo de confianza</w:t>
      </w:r>
      <w:r>
        <w:t xml:space="preserve"> al 95 % da el rango creíble del efecto real,</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907"/>
        <w:gridCol w:w="7597"/>
        <w:gridCol w:w="907"/>
      </w:tblGrid>
      <w:tr>
        <w:tc>
          <w:tcPr>
            <w:tcW w:type="dxa" w:w="907"/>
            <w:tcMar>
              <w:top w:w="30" w:type="dxa"/>
              <w:bottom w:w="30" w:type="dxa"/>
              <w:start w:w="40" w:type="dxa"/>
              <w:end w:w="40" w:type="dxa"/>
            </w:tcMar>
            <w:vAlign w:val="center"/>
          </w:tcPr>
          <w:p/>
        </w:tc>
        <w:tc>
          <w:tcPr>
            <w:tcW w:type="dxa" w:w="7597"/>
            <w:tcMar>
              <w:top w:w="30" w:type="dxa"/>
              <w:bottom w:w="30" w:type="dxa"/>
              <w:start w:w="40" w:type="dxa"/>
              <w:end w:w="40" w:type="dxa"/>
            </w:tcMar>
            <w:vAlign w:val="center"/>
          </w:tcPr>
          <w:p>
            <w:pPr>
              <w:spacing w:after="0"/>
              <w:jc w:val="center"/>
            </w:pPr>
            <w:r>
              <w:drawing>
                <wp:inline xmlns:a="http://schemas.openxmlformats.org/drawingml/2006/main" xmlns:pic="http://schemas.openxmlformats.org/drawingml/2006/picture">
                  <wp:extent cx="2655916" cy="374072"/>
                  <wp:docPr id="13" name="Picture 13"/>
                  <wp:cNvGraphicFramePr>
                    <a:graphicFrameLocks noChangeAspect="1"/>
                  </wp:cNvGraphicFramePr>
                  <a:graphic>
                    <a:graphicData uri="http://schemas.openxmlformats.org/drawingml/2006/picture">
                      <pic:pic>
                        <pic:nvPicPr>
                          <pic:cNvPr id="0" name="eq_ba688b4d2be1.png"/>
                          <pic:cNvPicPr/>
                        </pic:nvPicPr>
                        <pic:blipFill>
                          <a:blip r:embed="rId21"/>
                          <a:stretch>
                            <a:fillRect/>
                          </a:stretch>
                        </pic:blipFill>
                        <pic:spPr>
                          <a:xfrm>
                            <a:off x="0" y="0"/>
                            <a:ext cx="2655916" cy="374072"/>
                          </a:xfrm>
                          <a:prstGeom prst="rect"/>
                        </pic:spPr>
                      </pic:pic>
                    </a:graphicData>
                  </a:graphic>
                </wp:inline>
              </w:drawing>
            </w:r>
          </w:p>
        </w:tc>
        <w:tc>
          <w:tcPr>
            <w:tcW w:type="dxa" w:w="907"/>
            <w:tcMar>
              <w:top w:w="30" w:type="dxa"/>
              <w:bottom w:w="30" w:type="dxa"/>
              <w:start w:w="40" w:type="dxa"/>
              <w:end w:w="40" w:type="dxa"/>
            </w:tcMar>
            <w:vAlign w:val="center"/>
          </w:tcPr>
          <w:p>
            <w:pPr>
              <w:spacing w:after="0"/>
              <w:jc w:val="right"/>
            </w:pPr>
            <w:r>
              <w:rPr>
                <w:color w:val="2D2D2D"/>
                <w:sz w:val="21"/>
              </w:rPr>
              <w:t>(6)</w:t>
            </w:r>
          </w:p>
        </w:tc>
      </w:tr>
    </w:tbl>
    <w:p>
      <w:pPr>
        <w:spacing w:after="40"/>
      </w:pPr>
    </w:p>
    <w:p>
      <w:pPr>
        <w:jc w:val="both"/>
      </w:pPr>
      <w:r>
        <w:t xml:space="preserve">con </w:t>
      </w:r>
      <w:r>
        <w:drawing>
          <wp:inline xmlns:a="http://schemas.openxmlformats.org/drawingml/2006/main" xmlns:pic="http://schemas.openxmlformats.org/drawingml/2006/picture">
            <wp:extent cx="730549" cy="206692"/>
            <wp:docPr id="14" name="Picture 14"/>
            <wp:cNvGraphicFramePr>
              <a:graphicFrameLocks noChangeAspect="1"/>
            </wp:cNvGraphicFramePr>
            <a:graphic>
              <a:graphicData uri="http://schemas.openxmlformats.org/drawingml/2006/picture">
                <pic:pic>
                  <pic:nvPicPr>
                    <pic:cNvPr id="0" name="eq_c5e6194d4140.png"/>
                    <pic:cNvPicPr/>
                  </pic:nvPicPr>
                  <pic:blipFill>
                    <a:blip r:embed="rId22"/>
                    <a:stretch>
                      <a:fillRect/>
                    </a:stretch>
                  </pic:blipFill>
                  <pic:spPr>
                    <a:xfrm>
                      <a:off x="0" y="0"/>
                      <a:ext cx="730549" cy="206692"/>
                    </a:xfrm>
                    <a:prstGeom prst="rect"/>
                  </pic:spPr>
                </pic:pic>
              </a:graphicData>
            </a:graphic>
          </wp:inline>
        </w:drawing>
      </w:r>
      <w:r>
        <w:t xml:space="preserve"> el valor crítico de la distribución </w:t>
      </w:r>
      <w:r>
        <w:rPr>
          <w:rFonts w:ascii="Consolas" w:hAnsi="Consolas"/>
          <w:color w:val="9B1B30"/>
          <w:sz w:val="19"/>
        </w:rPr>
        <w:t>t</w:t>
      </w:r>
      <w:r>
        <w:t xml:space="preserve"> con </w:t>
      </w:r>
      <w:r>
        <w:rPr>
          <w:rFonts w:ascii="Consolas" w:hAnsi="Consolas"/>
          <w:color w:val="9B1B30"/>
          <w:sz w:val="19"/>
        </w:rPr>
        <w:t>n − 2</w:t>
      </w:r>
      <w:r>
        <w:t xml:space="preserve"> grados de libertad. Si el intervalo (6) </w:t>
      </w:r>
      <w:r>
        <w:rPr>
          <w:b/>
        </w:rPr>
        <w:t>excluye el 0</w:t>
      </w:r>
      <w:r>
        <w:t xml:space="preserve">, el efecto es significativo (equivale a </w:t>
      </w:r>
      <w:r>
        <w:rPr>
          <w:rFonts w:ascii="Consolas" w:hAnsi="Consolas"/>
          <w:color w:val="9B1B30"/>
          <w:sz w:val="19"/>
        </w:rPr>
        <w:t>p &lt; 0,05</w:t>
      </w:r>
      <w:r>
        <w:t xml:space="preserve"> en (5)).</w:t>
      </w:r>
    </w:p>
    <w:tbl>
      <w:tblPr>
        <w:tblStyle w:val="TableGrid"/>
        <w:tblW w:type="auto" w:w="0"/>
        <w:tblLayout w:type="autofit"/>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Pr>
      <w:tblGrid>
        <w:gridCol w:w="3249"/>
        <w:gridCol w:w="3249"/>
        <w:gridCol w:w="3249"/>
      </w:tblGrid>
      <w:tr>
        <w:tc>
          <w:tcPr>
            <w:tcW w:type="dxa" w:w="3249"/>
            <w:tcMar>
              <w:top w:w="60" w:type="dxa"/>
              <w:bottom w:w="60" w:type="dxa"/>
              <w:start w:w="110" w:type="dxa"/>
              <w:end w:w="110" w:type="dxa"/>
            </w:tcMar>
            <w:vAlign w:val="center"/>
            <w:shd w:val="clear" w:color="auto" w:fill="E4002B"/>
          </w:tcPr>
          <w:p>
            <w:pPr>
              <w:spacing w:after="0"/>
            </w:pPr>
            <w:r/>
            <w:r>
              <w:rPr>
                <w:b/>
                <w:color w:val="FFFFFF"/>
                <w:sz w:val="19"/>
              </w:rPr>
              <w:t>Métrica</w:t>
            </w:r>
          </w:p>
        </w:tc>
        <w:tc>
          <w:tcPr>
            <w:tcW w:type="dxa" w:w="3249"/>
            <w:tcMar>
              <w:top w:w="60" w:type="dxa"/>
              <w:bottom w:w="60" w:type="dxa"/>
              <w:start w:w="110" w:type="dxa"/>
              <w:end w:w="110" w:type="dxa"/>
            </w:tcMar>
            <w:vAlign w:val="center"/>
            <w:shd w:val="clear" w:color="auto" w:fill="E4002B"/>
          </w:tcPr>
          <w:p>
            <w:pPr>
              <w:spacing w:after="0"/>
            </w:pPr>
            <w:r/>
            <w:r>
              <w:rPr>
                <w:b/>
                <w:color w:val="FFFFFF"/>
                <w:sz w:val="19"/>
              </w:rPr>
              <w:t>Valor a completar</w:t>
            </w:r>
          </w:p>
        </w:tc>
        <w:tc>
          <w:tcPr>
            <w:tcW w:type="dxa" w:w="3249"/>
            <w:tcMar>
              <w:top w:w="60" w:type="dxa"/>
              <w:bottom w:w="60" w:type="dxa"/>
              <w:start w:w="110" w:type="dxa"/>
              <w:end w:w="110" w:type="dxa"/>
            </w:tcMar>
            <w:vAlign w:val="center"/>
            <w:shd w:val="clear" w:color="auto" w:fill="E4002B"/>
          </w:tcPr>
          <w:p>
            <w:pPr>
              <w:spacing w:after="0"/>
            </w:pPr>
            <w:r/>
            <w:r>
              <w:rPr>
                <w:b/>
                <w:color w:val="FFFFFF"/>
                <w:sz w:val="19"/>
              </w:rPr>
              <w:t>Lectura de negocio</w:t>
            </w:r>
          </w:p>
        </w:tc>
      </w:tr>
      <w:tr>
        <w:tc>
          <w:tcPr>
            <w:tcW w:type="dxa" w:w="3249"/>
            <w:tcMar>
              <w:top w:w="60" w:type="dxa"/>
              <w:bottom w:w="60" w:type="dxa"/>
              <w:start w:w="110" w:type="dxa"/>
              <w:end w:w="110" w:type="dxa"/>
            </w:tcMar>
            <w:vAlign w:val="center"/>
          </w:tcPr>
          <w:p>
            <w:pPr>
              <w:spacing w:after="0"/>
            </w:pPr>
            <w:r>
              <w:rPr>
                <w:sz w:val="19"/>
              </w:rPr>
            </w:r>
            <w:r>
              <w:rPr>
                <w:sz w:val="19"/>
              </w:rPr>
              <w:t>Pendiente β₁ estimada</w:t>
            </w:r>
          </w:p>
        </w:tc>
        <w:tc>
          <w:tcPr>
            <w:tcW w:type="dxa" w:w="3249"/>
            <w:tcMar>
              <w:top w:w="60" w:type="dxa"/>
              <w:bottom w:w="60" w:type="dxa"/>
              <w:start w:w="110" w:type="dxa"/>
              <w:end w:w="110" w:type="dxa"/>
            </w:tcMar>
            <w:vAlign w:val="center"/>
          </w:tcPr>
          <w:p>
            <w:pPr>
              <w:spacing w:after="0"/>
            </w:pPr>
            <w:r>
              <w:rPr>
                <w:sz w:val="19"/>
              </w:rPr>
            </w:r>
          </w:p>
        </w:tc>
        <w:tc>
          <w:tcPr>
            <w:tcW w:type="dxa" w:w="3249"/>
            <w:tcMar>
              <w:top w:w="60" w:type="dxa"/>
              <w:bottom w:w="60" w:type="dxa"/>
              <w:start w:w="110" w:type="dxa"/>
              <w:end w:w="110" w:type="dxa"/>
            </w:tcMar>
            <w:vAlign w:val="center"/>
          </w:tcPr>
          <w:p>
            <w:pPr>
              <w:spacing w:after="0"/>
            </w:pPr>
            <w:r>
              <w:rPr>
                <w:sz w:val="19"/>
              </w:rPr>
            </w:r>
            <w:r>
              <w:rPr>
                <w:sz w:val="19"/>
              </w:rPr>
              <w:t xml:space="preserve">Efecto por cada unidad de </w:t>
            </w:r>
            <w:r>
              <w:rPr>
                <w:rFonts w:ascii="Consolas" w:hAnsi="Consolas"/>
                <w:color w:val="9B1B30"/>
                <w:sz w:val="19"/>
              </w:rPr>
              <w:t>X</w:t>
            </w:r>
          </w:p>
        </w:tc>
      </w:tr>
      <w:tr>
        <w:tc>
          <w:tcPr>
            <w:tcW w:type="dxa" w:w="3249"/>
            <w:tcMar>
              <w:top w:w="60" w:type="dxa"/>
              <w:bottom w:w="60" w:type="dxa"/>
              <w:start w:w="110" w:type="dxa"/>
              <w:end w:w="110" w:type="dxa"/>
            </w:tcMar>
            <w:vAlign w:val="center"/>
            <w:shd w:val="clear" w:color="auto" w:fill="FCEDEE"/>
          </w:tcPr>
          <w:p>
            <w:pPr>
              <w:spacing w:after="0"/>
            </w:pPr>
            <w:r>
              <w:rPr>
                <w:sz w:val="19"/>
              </w:rPr>
            </w:r>
            <w:r>
              <w:rPr>
                <w:sz w:val="19"/>
              </w:rPr>
              <w:t>Unidad de negocio de β₁</w:t>
            </w:r>
          </w:p>
        </w:tc>
        <w:tc>
          <w:tcPr>
            <w:tcW w:type="dxa" w:w="3249"/>
            <w:tcMar>
              <w:top w:w="60" w:type="dxa"/>
              <w:bottom w:w="60" w:type="dxa"/>
              <w:start w:w="110" w:type="dxa"/>
              <w:end w:w="110" w:type="dxa"/>
            </w:tcMar>
            <w:vAlign w:val="center"/>
            <w:shd w:val="clear" w:color="auto" w:fill="FCEDEE"/>
          </w:tcPr>
          <w:p>
            <w:pPr>
              <w:spacing w:after="0"/>
            </w:pPr>
            <w:r>
              <w:rPr>
                <w:sz w:val="19"/>
              </w:rPr>
            </w:r>
          </w:p>
        </w:tc>
        <w:tc>
          <w:tcPr>
            <w:tcW w:type="dxa" w:w="3249"/>
            <w:tcMar>
              <w:top w:w="60" w:type="dxa"/>
              <w:bottom w:w="60" w:type="dxa"/>
              <w:start w:w="110" w:type="dxa"/>
              <w:end w:w="110" w:type="dxa"/>
            </w:tcMar>
            <w:vAlign w:val="center"/>
            <w:shd w:val="clear" w:color="auto" w:fill="FCEDEE"/>
          </w:tcPr>
          <w:p>
            <w:pPr>
              <w:spacing w:after="0"/>
            </w:pPr>
            <w:r>
              <w:rPr>
                <w:sz w:val="19"/>
              </w:rPr>
            </w:r>
            <w:r>
              <w:rPr>
                <w:sz w:val="19"/>
              </w:rPr>
              <w:t>por ejemplo, "unidades de venta por cada mil USD invertidos"</w:t>
            </w:r>
          </w:p>
        </w:tc>
      </w:tr>
      <w:tr>
        <w:tc>
          <w:tcPr>
            <w:tcW w:type="dxa" w:w="3249"/>
            <w:tcMar>
              <w:top w:w="60" w:type="dxa"/>
              <w:bottom w:w="60" w:type="dxa"/>
              <w:start w:w="110" w:type="dxa"/>
              <w:end w:w="110" w:type="dxa"/>
            </w:tcMar>
            <w:vAlign w:val="center"/>
          </w:tcPr>
          <w:p>
            <w:pPr>
              <w:spacing w:after="0"/>
            </w:pPr>
            <w:r>
              <w:rPr>
                <w:sz w:val="19"/>
              </w:rPr>
            </w:r>
            <w:r>
              <w:rPr>
                <w:sz w:val="19"/>
              </w:rPr>
              <w:t>Error estándar SE(β₁)</w:t>
            </w:r>
          </w:p>
        </w:tc>
        <w:tc>
          <w:tcPr>
            <w:tcW w:type="dxa" w:w="3249"/>
            <w:tcMar>
              <w:top w:w="60" w:type="dxa"/>
              <w:bottom w:w="60" w:type="dxa"/>
              <w:start w:w="110" w:type="dxa"/>
              <w:end w:w="110" w:type="dxa"/>
            </w:tcMar>
            <w:vAlign w:val="center"/>
          </w:tcPr>
          <w:p>
            <w:pPr>
              <w:spacing w:after="0"/>
            </w:pPr>
            <w:r>
              <w:rPr>
                <w:sz w:val="19"/>
              </w:rPr>
            </w:r>
          </w:p>
        </w:tc>
        <w:tc>
          <w:tcPr>
            <w:tcW w:type="dxa" w:w="3249"/>
            <w:tcMar>
              <w:top w:w="60" w:type="dxa"/>
              <w:bottom w:w="60" w:type="dxa"/>
              <w:start w:w="110" w:type="dxa"/>
              <w:end w:w="110" w:type="dxa"/>
            </w:tcMar>
            <w:vAlign w:val="center"/>
          </w:tcPr>
          <w:p>
            <w:pPr>
              <w:spacing w:after="0"/>
            </w:pPr>
            <w:r>
              <w:rPr>
                <w:sz w:val="19"/>
              </w:rPr>
            </w:r>
            <w:r>
              <w:rPr>
                <w:sz w:val="19"/>
              </w:rPr>
              <w:t>Precisión de la pendiente (4)</w:t>
            </w:r>
          </w:p>
        </w:tc>
      </w:tr>
      <w:tr>
        <w:tc>
          <w:tcPr>
            <w:tcW w:type="dxa" w:w="3249"/>
            <w:tcMar>
              <w:top w:w="60" w:type="dxa"/>
              <w:bottom w:w="60" w:type="dxa"/>
              <w:start w:w="110" w:type="dxa"/>
              <w:end w:w="110" w:type="dxa"/>
            </w:tcMar>
            <w:vAlign w:val="center"/>
            <w:shd w:val="clear" w:color="auto" w:fill="FCEDEE"/>
          </w:tcPr>
          <w:p>
            <w:pPr>
              <w:spacing w:after="0"/>
            </w:pPr>
            <w:r>
              <w:rPr>
                <w:sz w:val="19"/>
              </w:rPr>
            </w:r>
            <w:r>
              <w:rPr>
                <w:sz w:val="19"/>
              </w:rPr>
              <w:t>Estadístico t y p-valor</w:t>
            </w:r>
          </w:p>
        </w:tc>
        <w:tc>
          <w:tcPr>
            <w:tcW w:type="dxa" w:w="3249"/>
            <w:tcMar>
              <w:top w:w="60" w:type="dxa"/>
              <w:bottom w:w="60" w:type="dxa"/>
              <w:start w:w="110" w:type="dxa"/>
              <w:end w:w="110" w:type="dxa"/>
            </w:tcMar>
            <w:vAlign w:val="center"/>
            <w:shd w:val="clear" w:color="auto" w:fill="FCEDEE"/>
          </w:tcPr>
          <w:p>
            <w:pPr>
              <w:spacing w:after="0"/>
            </w:pPr>
            <w:r>
              <w:rPr>
                <w:sz w:val="19"/>
              </w:rPr>
            </w:r>
          </w:p>
        </w:tc>
        <w:tc>
          <w:tcPr>
            <w:tcW w:type="dxa" w:w="3249"/>
            <w:tcMar>
              <w:top w:w="60" w:type="dxa"/>
              <w:bottom w:w="60" w:type="dxa"/>
              <w:start w:w="110" w:type="dxa"/>
              <w:end w:w="110" w:type="dxa"/>
            </w:tcMar>
            <w:vAlign w:val="center"/>
            <w:shd w:val="clear" w:color="auto" w:fill="FCEDEE"/>
          </w:tcPr>
          <w:p>
            <w:pPr>
              <w:spacing w:after="0"/>
            </w:pPr>
            <w:r>
              <w:rPr>
                <w:sz w:val="19"/>
              </w:rPr>
            </w:r>
            <w:r>
              <w:rPr>
                <w:sz w:val="19"/>
              </w:rPr>
              <w:t>Contraste de H₀: β₁ = 0, ecuación (5)</w:t>
            </w:r>
          </w:p>
        </w:tc>
      </w:tr>
      <w:tr>
        <w:tc>
          <w:tcPr>
            <w:tcW w:type="dxa" w:w="3249"/>
            <w:tcMar>
              <w:top w:w="60" w:type="dxa"/>
              <w:bottom w:w="60" w:type="dxa"/>
              <w:start w:w="110" w:type="dxa"/>
              <w:end w:w="110" w:type="dxa"/>
            </w:tcMar>
            <w:vAlign w:val="center"/>
          </w:tcPr>
          <w:p>
            <w:pPr>
              <w:spacing w:after="0"/>
            </w:pPr>
            <w:r>
              <w:rPr>
                <w:sz w:val="19"/>
              </w:rPr>
            </w:r>
            <w:r>
              <w:rPr>
                <w:sz w:val="19"/>
              </w:rPr>
              <w:t>Intervalo de confianza 95 % de β₁</w:t>
            </w:r>
          </w:p>
        </w:tc>
        <w:tc>
          <w:tcPr>
            <w:tcW w:type="dxa" w:w="3249"/>
            <w:tcMar>
              <w:top w:w="60" w:type="dxa"/>
              <w:bottom w:w="60" w:type="dxa"/>
              <w:start w:w="110" w:type="dxa"/>
              <w:end w:w="110" w:type="dxa"/>
            </w:tcMar>
            <w:vAlign w:val="center"/>
          </w:tcPr>
          <w:p>
            <w:pPr>
              <w:spacing w:after="0"/>
            </w:pPr>
            <w:r>
              <w:rPr>
                <w:sz w:val="19"/>
              </w:rPr>
            </w:r>
            <w:r>
              <w:rPr>
                <w:sz w:val="19"/>
              </w:rPr>
              <w:t>[; ]</w:t>
            </w:r>
          </w:p>
        </w:tc>
        <w:tc>
          <w:tcPr>
            <w:tcW w:type="dxa" w:w="3249"/>
            <w:tcMar>
              <w:top w:w="60" w:type="dxa"/>
              <w:bottom w:w="60" w:type="dxa"/>
              <w:start w:w="110" w:type="dxa"/>
              <w:end w:w="110" w:type="dxa"/>
            </w:tcMar>
            <w:vAlign w:val="center"/>
          </w:tcPr>
          <w:p>
            <w:pPr>
              <w:spacing w:after="0"/>
            </w:pPr>
            <w:r>
              <w:rPr>
                <w:sz w:val="19"/>
              </w:rPr>
            </w:r>
            <w:r>
              <w:rPr>
                <w:sz w:val="19"/>
              </w:rPr>
              <w:t>Rango creíble del efecto real (6)</w:t>
            </w:r>
          </w:p>
        </w:tc>
      </w:tr>
      <w:tr>
        <w:tc>
          <w:tcPr>
            <w:tcW w:type="dxa" w:w="3249"/>
            <w:tcMar>
              <w:top w:w="60" w:type="dxa"/>
              <w:bottom w:w="60" w:type="dxa"/>
              <w:start w:w="110" w:type="dxa"/>
              <w:end w:w="110" w:type="dxa"/>
            </w:tcMar>
            <w:vAlign w:val="center"/>
            <w:shd w:val="clear" w:color="auto" w:fill="FCEDEE"/>
          </w:tcPr>
          <w:p>
            <w:pPr>
              <w:spacing w:after="0"/>
            </w:pPr>
            <w:r>
              <w:rPr>
                <w:sz w:val="19"/>
              </w:rPr>
            </w:r>
            <w:r>
              <w:rPr>
                <w:sz w:val="19"/>
              </w:rPr>
              <w:t>¿Excluye el 0 el intervalo? (p &lt; 0,05)</w:t>
            </w:r>
          </w:p>
        </w:tc>
        <w:tc>
          <w:tcPr>
            <w:tcW w:type="dxa" w:w="3249"/>
            <w:tcMar>
              <w:top w:w="60" w:type="dxa"/>
              <w:bottom w:w="60" w:type="dxa"/>
              <w:start w:w="110" w:type="dxa"/>
              <w:end w:w="110" w:type="dxa"/>
            </w:tcMar>
            <w:vAlign w:val="center"/>
            <w:shd w:val="clear" w:color="auto" w:fill="FCEDEE"/>
          </w:tcPr>
          <w:p>
            <w:pPr>
              <w:spacing w:after="0"/>
            </w:pPr>
            <w:r>
              <w:rPr>
                <w:sz w:val="19"/>
              </w:rPr>
            </w:r>
            <w:r>
              <w:rPr>
                <w:sz w:val="19"/>
              </w:rPr>
              <w:t>Sí / No</w:t>
            </w:r>
          </w:p>
        </w:tc>
        <w:tc>
          <w:tcPr>
            <w:tcW w:type="dxa" w:w="3249"/>
            <w:tcMar>
              <w:top w:w="60" w:type="dxa"/>
              <w:bottom w:w="60" w:type="dxa"/>
              <w:start w:w="110" w:type="dxa"/>
              <w:end w:w="110" w:type="dxa"/>
            </w:tcMar>
            <w:vAlign w:val="center"/>
            <w:shd w:val="clear" w:color="auto" w:fill="FCEDEE"/>
          </w:tcPr>
          <w:p>
            <w:pPr>
              <w:spacing w:after="0"/>
            </w:pPr>
            <w:r>
              <w:rPr>
                <w:sz w:val="19"/>
              </w:rPr>
            </w:r>
            <w:r>
              <w:rPr>
                <w:sz w:val="19"/>
              </w:rPr>
              <w:t>Si excluye el 0, el efecto es real, no casualidad muestral</w:t>
            </w:r>
          </w:p>
        </w:tc>
      </w:tr>
    </w:tbl>
    <w:p>
      <w:pPr>
        <w:spacing w:after="40"/>
      </w:pPr>
    </w:p>
    <w:p>
      <w:pPr>
        <w:spacing w:before="80" w:after="160" w:line="288" w:lineRule="auto"/>
        <w:ind w:left="85" w:right="85"/>
        <w:shd w:val="clear" w:color="auto" w:fill="F4F4F4"/>
        <w:pBdr>
          <w:left w:val="single" w:sz="24" w:space="10" w:color="E4002B"/>
        </w:pBdr>
      </w:pPr>
      <w:r>
        <w:rPr>
          <w:b/>
          <w:color w:val="2D2D2D"/>
        </w:rPr>
        <w:t>Advertencia de lectura.</w:t>
      </w:r>
      <w:r>
        <w:rPr>
          <w:color w:val="2D2D2D"/>
        </w:rPr>
        <w:t xml:space="preserve"> Significativo no es lo mismo que importante: con muestras grandes, efectos triviales resultan "significativos". Se lee β₁ </w:t>
      </w:r>
      <w:r>
        <w:rPr>
          <w:b/>
          <w:color w:val="2D2D2D"/>
        </w:rPr>
        <w:t>junto a</w:t>
      </w:r>
      <w:r>
        <w:rPr>
          <w:color w:val="2D2D2D"/>
        </w:rPr>
        <w:t xml:space="preserve"> su tamaño y sus unidades, no solo el p-valor.</w:t>
      </w:r>
    </w:p>
    <w:p>
      <w:pPr>
        <w:spacing w:before="80" w:after="160" w:line="288" w:lineRule="auto"/>
        <w:ind w:left="85" w:right="85"/>
        <w:shd w:val="clear" w:color="auto" w:fill="F4F4F4"/>
        <w:pBdr>
          <w:left w:val="single" w:sz="24" w:space="10" w:color="E4002B"/>
        </w:pBdr>
      </w:pPr>
      <w:r>
        <w:rPr>
          <w:b/>
          <w:color w:val="2D2D2D"/>
        </w:rPr>
        <w:t>Cierre en dinero (opcional pero recomendado).</w:t>
      </w:r>
      <w:r>
        <w:rPr>
          <w:color w:val="2D2D2D"/>
        </w:rPr>
        <w:t xml:space="preserve"> Cuando </w:t>
      </w:r>
      <w:r>
        <w:rPr>
          <w:rFonts w:ascii="Consolas" w:hAnsi="Consolas"/>
          <w:color w:val="2D2D2D"/>
          <w:sz w:val="19"/>
        </w:rPr>
        <w:t>Y</w:t>
      </w:r>
      <w:r>
        <w:rPr>
          <w:color w:val="2D2D2D"/>
        </w:rPr>
        <w:t xml:space="preserve"> está en unidades físicas (no en moneda), el «so what» gerencial se cierra al traducir β₁ a un </w:t>
      </w:r>
      <w:r>
        <w:rPr>
          <w:b/>
          <w:color w:val="2D2D2D"/>
        </w:rPr>
        <w:t>umbral de rentabilidad</w:t>
      </w:r>
      <w:r>
        <w:rPr>
          <w:color w:val="2D2D2D"/>
        </w:rPr>
        <w:t xml:space="preserve">: el margen de contribución por unidad a partir del cual la palanca cubre su costo. Si </w:t>
      </w:r>
      <w:r>
        <w:rPr>
          <w:rFonts w:ascii="Consolas" w:hAnsi="Consolas"/>
          <w:color w:val="2D2D2D"/>
          <w:sz w:val="19"/>
        </w:rPr>
        <w:t>X</w:t>
      </w:r>
      <w:r>
        <w:rPr>
          <w:color w:val="2D2D2D"/>
        </w:rPr>
        <w:t xml:space="preserve"> se mide en 1 000 USD e </w:t>
      </w:r>
      <w:r>
        <w:rPr>
          <w:rFonts w:ascii="Consolas" w:hAnsi="Consolas"/>
          <w:color w:val="2D2D2D"/>
          <w:sz w:val="19"/>
        </w:rPr>
        <w:t>Y</w:t>
      </w:r>
      <w:r>
        <w:rPr>
          <w:color w:val="2D2D2D"/>
        </w:rPr>
        <w:t xml:space="preserve"> en unidades, cada 1 000 USD invertidos rinden </w:t>
      </w:r>
      <w:r>
        <w:rPr>
          <w:rFonts w:ascii="Consolas" w:hAnsi="Consolas"/>
          <w:color w:val="2D2D2D"/>
          <w:sz w:val="19"/>
        </w:rPr>
        <w:t>β₁ × 1 000</w:t>
      </w:r>
      <w:r>
        <w:rPr>
          <w:color w:val="2D2D2D"/>
        </w:rPr>
        <w:t xml:space="preserve"> unidades, de modo que el canal es rentable cuando el margen por unidad supera </w:t>
      </w:r>
      <w:r>
        <w:rPr>
          <w:rFonts w:ascii="Consolas" w:hAnsi="Consolas"/>
          <w:color w:val="2D2D2D"/>
          <w:sz w:val="19"/>
        </w:rPr>
        <w:t>1 000 / (β₁ × 1 000)</w:t>
      </w:r>
      <w:r>
        <w:rPr>
          <w:color w:val="2D2D2D"/>
        </w:rPr>
        <w:t xml:space="preserve"> USD/unidad. Por ejemplo, con β₁ = 47,5 unidades por cada 1 000 USD, el umbral es 1 000 / 47,5 ≈ </w:t>
      </w:r>
      <w:r>
        <w:rPr>
          <w:b/>
          <w:color w:val="2D2D2D"/>
        </w:rPr>
        <w:t>21,05 USD/unidad</w:t>
      </w:r>
      <w:r>
        <w:rPr>
          <w:color w:val="2D2D2D"/>
        </w:rPr>
        <w:t xml:space="preserve"> (con la pendiente sin redondear, 21,04). </w:t>
      </w:r>
      <w:r>
        <w:rPr>
          <w:b/>
          <w:color w:val="2D2D2D"/>
        </w:rPr>
        <w:t>Este umbral es el metro con el que se comparan canales o palancas alternativas</w:t>
      </w:r>
      <w:r>
        <w:rPr>
          <w:color w:val="2D2D2D"/>
        </w:rPr>
        <w:t xml:space="preserve">: resulta preferible el que exige el margen más bajo. Si el reporte afirma que una palanca «rinde más» que otra, debe decir </w:t>
      </w:r>
      <w:r>
        <w:rPr>
          <w:b/>
          <w:color w:val="2D2D2D"/>
        </w:rPr>
        <w:t>con qué criterio</w:t>
      </w:r>
      <w:r>
        <w:rPr>
          <w:color w:val="2D2D2D"/>
        </w:rPr>
        <w:t xml:space="preserve"> lo mide —umbral/efecto marginal, o bondad de ajuste (R²)—, porque el ranking puede invertirse entre ambas.</w:t>
      </w:r>
    </w:p>
    <w:p>
      <w:pPr>
        <w:keepNext/>
        <w:spacing w:before="240" w:after="60"/>
        <w:pBdr>
          <w:bottom w:val="single" w:sz="6" w:space="2" w:color="E4002B"/>
        </w:pBdr>
      </w:pPr>
      <w:r>
        <w:rPr>
          <w:b/>
          <w:color w:val="E4002B"/>
          <w:sz w:val="30"/>
        </w:rPr>
        <w:t>5. Cuánto explica el modelo — R²</w:t>
      </w:r>
    </w:p>
    <w:p>
      <w:pPr>
        <w:jc w:val="both"/>
      </w:pPr>
      <w:r>
        <w:t xml:space="preserve">El coeficiente de determinación mide qué fracción de la variación total de </w:t>
      </w:r>
      <w:r>
        <w:rPr>
          <w:rFonts w:ascii="Consolas" w:hAnsi="Consolas"/>
          <w:color w:val="9B1B30"/>
          <w:sz w:val="19"/>
        </w:rPr>
        <w:t>Y</w:t>
      </w:r>
      <w:r>
        <w:t xml:space="preserve"> explica el modelo, al comparar el error del ajuste (SSE) con la variación total (SST):</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907"/>
        <w:gridCol w:w="7597"/>
        <w:gridCol w:w="907"/>
      </w:tblGrid>
      <w:tr>
        <w:tc>
          <w:tcPr>
            <w:tcW w:type="dxa" w:w="907"/>
            <w:tcMar>
              <w:top w:w="30" w:type="dxa"/>
              <w:bottom w:w="30" w:type="dxa"/>
              <w:start w:w="40" w:type="dxa"/>
              <w:end w:w="40" w:type="dxa"/>
            </w:tcMar>
            <w:vAlign w:val="center"/>
          </w:tcPr>
          <w:p/>
        </w:tc>
        <w:tc>
          <w:tcPr>
            <w:tcW w:type="dxa" w:w="7597"/>
            <w:tcMar>
              <w:top w:w="30" w:type="dxa"/>
              <w:bottom w:w="30" w:type="dxa"/>
              <w:start w:w="40" w:type="dxa"/>
              <w:end w:w="40" w:type="dxa"/>
            </w:tcMar>
            <w:vAlign w:val="center"/>
          </w:tcPr>
          <w:p>
            <w:pPr>
              <w:spacing w:after="0"/>
              <w:jc w:val="center"/>
            </w:pPr>
            <w:r>
              <w:drawing>
                <wp:inline xmlns:a="http://schemas.openxmlformats.org/drawingml/2006/main" xmlns:pic="http://schemas.openxmlformats.org/drawingml/2006/picture">
                  <wp:extent cx="2926080" cy="706581"/>
                  <wp:docPr id="15" name="Picture 15"/>
                  <wp:cNvGraphicFramePr>
                    <a:graphicFrameLocks noChangeAspect="1"/>
                  </wp:cNvGraphicFramePr>
                  <a:graphic>
                    <a:graphicData uri="http://schemas.openxmlformats.org/drawingml/2006/picture">
                      <pic:pic>
                        <pic:nvPicPr>
                          <pic:cNvPr id="0" name="eq_c337aec9a07d.png"/>
                          <pic:cNvPicPr/>
                        </pic:nvPicPr>
                        <pic:blipFill>
                          <a:blip r:embed="rId23"/>
                          <a:stretch>
                            <a:fillRect/>
                          </a:stretch>
                        </pic:blipFill>
                        <pic:spPr>
                          <a:xfrm>
                            <a:off x="0" y="0"/>
                            <a:ext cx="2926080" cy="706581"/>
                          </a:xfrm>
                          <a:prstGeom prst="rect"/>
                        </pic:spPr>
                      </pic:pic>
                    </a:graphicData>
                  </a:graphic>
                </wp:inline>
              </w:drawing>
            </w:r>
          </w:p>
        </w:tc>
        <w:tc>
          <w:tcPr>
            <w:tcW w:type="dxa" w:w="907"/>
            <w:tcMar>
              <w:top w:w="30" w:type="dxa"/>
              <w:bottom w:w="30" w:type="dxa"/>
              <w:start w:w="40" w:type="dxa"/>
              <w:end w:w="40" w:type="dxa"/>
            </w:tcMar>
            <w:vAlign w:val="center"/>
          </w:tcPr>
          <w:p>
            <w:pPr>
              <w:spacing w:after="0"/>
              <w:jc w:val="right"/>
            </w:pPr>
            <w:r>
              <w:rPr>
                <w:color w:val="2D2D2D"/>
                <w:sz w:val="21"/>
              </w:rPr>
              <w:t>(7)</w:t>
            </w:r>
          </w:p>
        </w:tc>
      </w:tr>
    </w:tbl>
    <w:p>
      <w:pPr>
        <w:spacing w:after="40"/>
      </w:pPr>
    </w:p>
    <w:p>
      <w:pPr>
        <w:pStyle w:val="ListBullet"/>
        <w:spacing w:after="40"/>
      </w:pPr>
      <w:r>
        <w:rPr>
          <w:b/>
        </w:rPr>
        <w:t>R² = ___ →</w:t>
      </w:r>
      <w:r>
        <w:t xml:space="preserve"> por (7), el predictor explica el </w:t>
      </w:r>
      <w:r>
        <w:rPr>
          <w:b/>
        </w:rPr>
        <w:t>___ %</w:t>
      </w:r>
      <w:r>
        <w:t xml:space="preserve"> de la variación del resultado; el resto lo explican otros factores no incluidos. En regresión simple </w:t>
      </w:r>
      <w:r>
        <w:drawing>
          <wp:inline xmlns:a="http://schemas.openxmlformats.org/drawingml/2006/main" xmlns:pic="http://schemas.openxmlformats.org/drawingml/2006/picture">
            <wp:extent cx="467443" cy="206692"/>
            <wp:docPr id="16" name="Picture 16"/>
            <wp:cNvGraphicFramePr>
              <a:graphicFrameLocks noChangeAspect="1"/>
            </wp:cNvGraphicFramePr>
            <a:graphic>
              <a:graphicData uri="http://schemas.openxmlformats.org/drawingml/2006/picture">
                <pic:pic>
                  <pic:nvPicPr>
                    <pic:cNvPr id="0" name="eq_d87875141acc.png"/>
                    <pic:cNvPicPr/>
                  </pic:nvPicPr>
                  <pic:blipFill>
                    <a:blip r:embed="rId24"/>
                    <a:stretch>
                      <a:fillRect/>
                    </a:stretch>
                  </pic:blipFill>
                  <pic:spPr>
                    <a:xfrm>
                      <a:off x="0" y="0"/>
                      <a:ext cx="467443" cy="206692"/>
                    </a:xfrm>
                    <a:prstGeom prst="rect"/>
                  </pic:spPr>
                </pic:pic>
              </a:graphicData>
            </a:graphic>
          </wp:inline>
        </w:drawing>
      </w:r>
      <w:r>
        <w:t xml:space="preserve"> (el cuadrado de la correlación).</w:t>
      </w:r>
    </w:p>
    <w:p>
      <w:pPr>
        <w:pStyle w:val="ListBullet"/>
        <w:spacing w:after="40"/>
      </w:pPr>
      <w:r>
        <w:rPr>
          <w:b/>
        </w:rPr>
        <w:t>Cómo leerlo:</w:t>
      </w:r>
      <w:r>
        <w:t xml:space="preserve"> un R² alto </w:t>
      </w:r>
      <w:r>
        <w:rPr>
          <w:b/>
        </w:rPr>
        <w:t>no</w:t>
      </w:r>
      <w:r>
        <w:t xml:space="preserve"> garantiza buenas predicciones nuevas ni prueba causalidad; un R² bajo </w:t>
      </w:r>
      <w:r>
        <w:rPr>
          <w:b/>
        </w:rPr>
        <w:t>no</w:t>
      </w:r>
      <w:r>
        <w:t xml:space="preserve"> vuelve inútil el modelo si el efecto es real y accionable. El R² se interpreta siempre junto al error fuera de muestra («Sección 7») y al diagnóstico de residuales («Sección 6»).</w:t>
      </w:r>
    </w:p>
    <w:p>
      <w:pPr>
        <w:keepNext/>
        <w:spacing w:before="240" w:after="60"/>
        <w:pBdr>
          <w:bottom w:val="single" w:sz="6" w:space="2" w:color="E4002B"/>
        </w:pBdr>
      </w:pPr>
      <w:r>
        <w:rPr>
          <w:b/>
          <w:color w:val="E4002B"/>
          <w:sz w:val="30"/>
        </w:rPr>
        <w:t>6. Calidad del ajuste — supuestos y semáforo de residuales</w:t>
      </w:r>
    </w:p>
    <w:p>
      <w:pPr>
        <w:jc w:val="both"/>
      </w:pPr>
      <w:r>
        <w:t xml:space="preserve">Diagnóstico visual de si el modelo es la forma correcta y sus supuestos se sostienen. El detalle de cómo leer cada gráfico está en </w:t>
      </w:r>
      <w:r>
        <w:rPr>
          <w:rFonts w:ascii="Consolas" w:hAnsi="Consolas"/>
          <w:color w:val="9B1B30"/>
          <w:sz w:val="19"/>
        </w:rPr>
        <w:t>plantillas/guia_residuales.docx</w:t>
      </w:r>
      <w:r>
        <w:t>, y el desarrollo completo de cada supuesto —qué es, cómo se identifica y cómo se corrige por qué método— es la guía de supuestos de la sesión. Marcar el color observado en cada fila.</w:t>
      </w:r>
    </w:p>
    <w:tbl>
      <w:tblPr>
        <w:tblStyle w:val="TableGrid"/>
        <w:tblW w:type="auto" w:w="0"/>
        <w:tblLayout w:type="autofit"/>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Pr>
      <w:tblGrid>
        <w:gridCol w:w="1949"/>
        <w:gridCol w:w="1949"/>
        <w:gridCol w:w="1949"/>
        <w:gridCol w:w="1949"/>
        <w:gridCol w:w="1949"/>
      </w:tblGrid>
      <w:tr>
        <w:tc>
          <w:tcPr>
            <w:tcW w:type="dxa" w:w="1949"/>
            <w:tcMar>
              <w:top w:w="60" w:type="dxa"/>
              <w:bottom w:w="60" w:type="dxa"/>
              <w:start w:w="110" w:type="dxa"/>
              <w:end w:w="110" w:type="dxa"/>
            </w:tcMar>
            <w:vAlign w:val="center"/>
            <w:shd w:val="clear" w:color="auto" w:fill="E4002B"/>
          </w:tcPr>
          <w:p>
            <w:pPr>
              <w:spacing w:after="0"/>
            </w:pPr>
            <w:r/>
            <w:r>
              <w:rPr>
                <w:b/>
                <w:color w:val="FFFFFF"/>
                <w:sz w:val="19"/>
              </w:rPr>
              <w:t>Verificación (gráfico)</w:t>
            </w:r>
          </w:p>
        </w:tc>
        <w:tc>
          <w:tcPr>
            <w:tcW w:type="dxa" w:w="1949"/>
            <w:tcMar>
              <w:top w:w="60" w:type="dxa"/>
              <w:bottom w:w="60" w:type="dxa"/>
              <w:start w:w="110" w:type="dxa"/>
              <w:end w:w="110" w:type="dxa"/>
            </w:tcMar>
            <w:vAlign w:val="center"/>
            <w:shd w:val="clear" w:color="auto" w:fill="E4002B"/>
          </w:tcPr>
          <w:p>
            <w:pPr>
              <w:spacing w:after="0"/>
            </w:pPr>
            <w:r/>
            <w:r>
              <w:rPr>
                <w:b/>
                <w:color w:val="FFFFFF"/>
                <w:sz w:val="19"/>
              </w:rPr>
              <w:t>Verde — todo bien</w:t>
            </w:r>
          </w:p>
        </w:tc>
        <w:tc>
          <w:tcPr>
            <w:tcW w:type="dxa" w:w="1949"/>
            <w:tcMar>
              <w:top w:w="60" w:type="dxa"/>
              <w:bottom w:w="60" w:type="dxa"/>
              <w:start w:w="110" w:type="dxa"/>
              <w:end w:w="110" w:type="dxa"/>
            </w:tcMar>
            <w:vAlign w:val="center"/>
            <w:shd w:val="clear" w:color="auto" w:fill="E4002B"/>
          </w:tcPr>
          <w:p>
            <w:pPr>
              <w:spacing w:after="0"/>
            </w:pPr>
            <w:r/>
            <w:r>
              <w:rPr>
                <w:b/>
                <w:color w:val="FFFFFF"/>
                <w:sz w:val="19"/>
              </w:rPr>
              <w:t>Ámbar — precaución</w:t>
            </w:r>
          </w:p>
        </w:tc>
        <w:tc>
          <w:tcPr>
            <w:tcW w:type="dxa" w:w="1949"/>
            <w:tcMar>
              <w:top w:w="60" w:type="dxa"/>
              <w:bottom w:w="60" w:type="dxa"/>
              <w:start w:w="110" w:type="dxa"/>
              <w:end w:w="110" w:type="dxa"/>
            </w:tcMar>
            <w:vAlign w:val="center"/>
            <w:shd w:val="clear" w:color="auto" w:fill="E4002B"/>
          </w:tcPr>
          <w:p>
            <w:pPr>
              <w:spacing w:after="0"/>
            </w:pPr>
            <w:r/>
            <w:r>
              <w:rPr>
                <w:b/>
                <w:color w:val="FFFFFF"/>
                <w:sz w:val="19"/>
              </w:rPr>
              <w:t>Rojo — problema</w:t>
            </w:r>
          </w:p>
        </w:tc>
        <w:tc>
          <w:tcPr>
            <w:tcW w:type="dxa" w:w="1949"/>
            <w:tcMar>
              <w:top w:w="60" w:type="dxa"/>
              <w:bottom w:w="60" w:type="dxa"/>
              <w:start w:w="110" w:type="dxa"/>
              <w:end w:w="110" w:type="dxa"/>
            </w:tcMar>
            <w:vAlign w:val="center"/>
            <w:shd w:val="clear" w:color="auto" w:fill="E4002B"/>
          </w:tcPr>
          <w:p>
            <w:pPr>
              <w:spacing w:after="0"/>
            </w:pPr>
            <w:r/>
            <w:r>
              <w:rPr>
                <w:b/>
                <w:color w:val="FFFFFF"/>
                <w:sz w:val="19"/>
              </w:rPr>
              <w:t>Color observado</w:t>
            </w:r>
          </w:p>
        </w:tc>
      </w:tr>
      <w:tr>
        <w:tc>
          <w:tcPr>
            <w:tcW w:type="dxa" w:w="1949"/>
            <w:tcMar>
              <w:top w:w="60" w:type="dxa"/>
              <w:bottom w:w="60" w:type="dxa"/>
              <w:start w:w="110" w:type="dxa"/>
              <w:end w:w="110" w:type="dxa"/>
            </w:tcMar>
            <w:vAlign w:val="center"/>
          </w:tcPr>
          <w:p>
            <w:pPr>
              <w:spacing w:after="0"/>
            </w:pPr>
            <w:r>
              <w:rPr>
                <w:sz w:val="19"/>
              </w:rPr>
            </w:r>
            <w:r>
              <w:rPr>
                <w:sz w:val="19"/>
              </w:rPr>
              <w:t>Linealidad (residuales vs. ajustados)</w:t>
            </w:r>
          </w:p>
        </w:tc>
        <w:tc>
          <w:tcPr>
            <w:tcW w:type="dxa" w:w="1949"/>
            <w:tcMar>
              <w:top w:w="60" w:type="dxa"/>
              <w:bottom w:w="60" w:type="dxa"/>
              <w:start w:w="110" w:type="dxa"/>
              <w:end w:w="110" w:type="dxa"/>
            </w:tcMar>
            <w:vAlign w:val="center"/>
          </w:tcPr>
          <w:p>
            <w:pPr>
              <w:spacing w:after="0"/>
            </w:pPr>
            <w:r>
              <w:rPr>
                <w:sz w:val="19"/>
              </w:rPr>
            </w:r>
            <w:r>
              <w:rPr>
                <w:sz w:val="19"/>
              </w:rPr>
              <w:t>Nube sin forma, centrada en 0</w:t>
            </w:r>
          </w:p>
        </w:tc>
        <w:tc>
          <w:tcPr>
            <w:tcW w:type="dxa" w:w="1949"/>
            <w:tcMar>
              <w:top w:w="60" w:type="dxa"/>
              <w:bottom w:w="60" w:type="dxa"/>
              <w:start w:w="110" w:type="dxa"/>
              <w:end w:w="110" w:type="dxa"/>
            </w:tcMar>
            <w:vAlign w:val="center"/>
          </w:tcPr>
          <w:p>
            <w:pPr>
              <w:spacing w:after="0"/>
            </w:pPr>
            <w:r>
              <w:rPr>
                <w:sz w:val="19"/>
              </w:rPr>
            </w:r>
            <w:r>
              <w:rPr>
                <w:sz w:val="19"/>
              </w:rPr>
              <w:t>Curvatura leve</w:t>
            </w:r>
          </w:p>
        </w:tc>
        <w:tc>
          <w:tcPr>
            <w:tcW w:type="dxa" w:w="1949"/>
            <w:tcMar>
              <w:top w:w="60" w:type="dxa"/>
              <w:bottom w:w="60" w:type="dxa"/>
              <w:start w:w="110" w:type="dxa"/>
              <w:end w:w="110" w:type="dxa"/>
            </w:tcMar>
            <w:vAlign w:val="center"/>
          </w:tcPr>
          <w:p>
            <w:pPr>
              <w:spacing w:after="0"/>
            </w:pPr>
            <w:r>
              <w:rPr>
                <w:sz w:val="19"/>
              </w:rPr>
            </w:r>
            <w:r>
              <w:rPr>
                <w:sz w:val="19"/>
              </w:rPr>
              <w:t>Forma de U/curva clara: falta término no lineal</w:t>
            </w:r>
          </w:p>
        </w:tc>
        <w:tc>
          <w:tcPr>
            <w:tcW w:type="dxa" w:w="1949"/>
            <w:tcMar>
              <w:top w:w="60" w:type="dxa"/>
              <w:bottom w:w="60" w:type="dxa"/>
              <w:start w:w="110" w:type="dxa"/>
              <w:end w:w="110" w:type="dxa"/>
            </w:tcMar>
            <w:vAlign w:val="center"/>
          </w:tcPr>
          <w:p>
            <w:pPr>
              <w:spacing w:after="0"/>
            </w:pPr>
            <w:r>
              <w:rPr>
                <w:sz w:val="19"/>
              </w:rPr>
            </w:r>
          </w:p>
        </w:tc>
      </w:tr>
      <w:tr>
        <w:tc>
          <w:tcPr>
            <w:tcW w:type="dxa" w:w="1949"/>
            <w:tcMar>
              <w:top w:w="60" w:type="dxa"/>
              <w:bottom w:w="60" w:type="dxa"/>
              <w:start w:w="110" w:type="dxa"/>
              <w:end w:w="110" w:type="dxa"/>
            </w:tcMar>
            <w:vAlign w:val="center"/>
            <w:shd w:val="clear" w:color="auto" w:fill="FCEDEE"/>
          </w:tcPr>
          <w:p>
            <w:pPr>
              <w:spacing w:after="0"/>
            </w:pPr>
            <w:r>
              <w:rPr>
                <w:sz w:val="19"/>
              </w:rPr>
            </w:r>
            <w:r>
              <w:rPr>
                <w:sz w:val="19"/>
              </w:rPr>
              <w:t>Varianza constante (escala-localización)</w:t>
            </w:r>
          </w:p>
        </w:tc>
        <w:tc>
          <w:tcPr>
            <w:tcW w:type="dxa" w:w="1949"/>
            <w:tcMar>
              <w:top w:w="60" w:type="dxa"/>
              <w:bottom w:w="60" w:type="dxa"/>
              <w:start w:w="110" w:type="dxa"/>
              <w:end w:w="110" w:type="dxa"/>
            </w:tcMar>
            <w:vAlign w:val="center"/>
            <w:shd w:val="clear" w:color="auto" w:fill="FCEDEE"/>
          </w:tcPr>
          <w:p>
            <w:pPr>
              <w:spacing w:after="0"/>
            </w:pPr>
            <w:r>
              <w:rPr>
                <w:sz w:val="19"/>
              </w:rPr>
            </w:r>
            <w:r>
              <w:rPr>
                <w:sz w:val="19"/>
              </w:rPr>
              <w:t>Banda de ancho uniforme</w:t>
            </w:r>
          </w:p>
        </w:tc>
        <w:tc>
          <w:tcPr>
            <w:tcW w:type="dxa" w:w="1949"/>
            <w:tcMar>
              <w:top w:w="60" w:type="dxa"/>
              <w:bottom w:w="60" w:type="dxa"/>
              <w:start w:w="110" w:type="dxa"/>
              <w:end w:w="110" w:type="dxa"/>
            </w:tcMar>
            <w:vAlign w:val="center"/>
            <w:shd w:val="clear" w:color="auto" w:fill="FCEDEE"/>
          </w:tcPr>
          <w:p>
            <w:pPr>
              <w:spacing w:after="0"/>
            </w:pPr>
            <w:r>
              <w:rPr>
                <w:sz w:val="19"/>
              </w:rPr>
            </w:r>
            <w:r>
              <w:rPr>
                <w:sz w:val="19"/>
              </w:rPr>
              <w:t>Ensanchamiento leve</w:t>
            </w:r>
          </w:p>
        </w:tc>
        <w:tc>
          <w:tcPr>
            <w:tcW w:type="dxa" w:w="1949"/>
            <w:tcMar>
              <w:top w:w="60" w:type="dxa"/>
              <w:bottom w:w="60" w:type="dxa"/>
              <w:start w:w="110" w:type="dxa"/>
              <w:end w:w="110" w:type="dxa"/>
            </w:tcMar>
            <w:vAlign w:val="center"/>
            <w:shd w:val="clear" w:color="auto" w:fill="FCEDEE"/>
          </w:tcPr>
          <w:p>
            <w:pPr>
              <w:spacing w:after="0"/>
            </w:pPr>
            <w:r>
              <w:rPr>
                <w:sz w:val="19"/>
              </w:rPr>
            </w:r>
            <w:r>
              <w:rPr>
                <w:sz w:val="19"/>
              </w:rPr>
              <w:t>Abanico: heterocedasticidad</w:t>
            </w:r>
          </w:p>
        </w:tc>
        <w:tc>
          <w:tcPr>
            <w:tcW w:type="dxa" w:w="1949"/>
            <w:tcMar>
              <w:top w:w="60" w:type="dxa"/>
              <w:bottom w:w="60" w:type="dxa"/>
              <w:start w:w="110" w:type="dxa"/>
              <w:end w:w="110" w:type="dxa"/>
            </w:tcMar>
            <w:vAlign w:val="center"/>
            <w:shd w:val="clear" w:color="auto" w:fill="FCEDEE"/>
          </w:tcPr>
          <w:p>
            <w:pPr>
              <w:spacing w:after="0"/>
            </w:pPr>
            <w:r>
              <w:rPr>
                <w:sz w:val="19"/>
              </w:rPr>
            </w:r>
          </w:p>
        </w:tc>
      </w:tr>
      <w:tr>
        <w:tc>
          <w:tcPr>
            <w:tcW w:type="dxa" w:w="1949"/>
            <w:tcMar>
              <w:top w:w="60" w:type="dxa"/>
              <w:bottom w:w="60" w:type="dxa"/>
              <w:start w:w="110" w:type="dxa"/>
              <w:end w:w="110" w:type="dxa"/>
            </w:tcMar>
            <w:vAlign w:val="center"/>
          </w:tcPr>
          <w:p>
            <w:pPr>
              <w:spacing w:after="0"/>
            </w:pPr>
            <w:r>
              <w:rPr>
                <w:sz w:val="19"/>
              </w:rPr>
            </w:r>
            <w:r>
              <w:rPr>
                <w:sz w:val="19"/>
              </w:rPr>
              <w:t>Normalidad de residuales (Q-Q)</w:t>
            </w:r>
          </w:p>
        </w:tc>
        <w:tc>
          <w:tcPr>
            <w:tcW w:type="dxa" w:w="1949"/>
            <w:tcMar>
              <w:top w:w="60" w:type="dxa"/>
              <w:bottom w:w="60" w:type="dxa"/>
              <w:start w:w="110" w:type="dxa"/>
              <w:end w:w="110" w:type="dxa"/>
            </w:tcMar>
            <w:vAlign w:val="center"/>
          </w:tcPr>
          <w:p>
            <w:pPr>
              <w:spacing w:after="0"/>
            </w:pPr>
            <w:r>
              <w:rPr>
                <w:sz w:val="19"/>
              </w:rPr>
            </w:r>
            <w:r>
              <w:rPr>
                <w:sz w:val="19"/>
              </w:rPr>
              <w:t>Puntos sobre la diagonal</w:t>
            </w:r>
          </w:p>
        </w:tc>
        <w:tc>
          <w:tcPr>
            <w:tcW w:type="dxa" w:w="1949"/>
            <w:tcMar>
              <w:top w:w="60" w:type="dxa"/>
              <w:bottom w:w="60" w:type="dxa"/>
              <w:start w:w="110" w:type="dxa"/>
              <w:end w:w="110" w:type="dxa"/>
            </w:tcMar>
            <w:vAlign w:val="center"/>
          </w:tcPr>
          <w:p>
            <w:pPr>
              <w:spacing w:after="0"/>
            </w:pPr>
            <w:r>
              <w:rPr>
                <w:sz w:val="19"/>
              </w:rPr>
            </w:r>
            <w:r>
              <w:rPr>
                <w:sz w:val="19"/>
              </w:rPr>
              <w:t>Colas algo despegadas</w:t>
            </w:r>
          </w:p>
        </w:tc>
        <w:tc>
          <w:tcPr>
            <w:tcW w:type="dxa" w:w="1949"/>
            <w:tcMar>
              <w:top w:w="60" w:type="dxa"/>
              <w:bottom w:w="60" w:type="dxa"/>
              <w:start w:w="110" w:type="dxa"/>
              <w:end w:w="110" w:type="dxa"/>
            </w:tcMar>
            <w:vAlign w:val="center"/>
          </w:tcPr>
          <w:p>
            <w:pPr>
              <w:spacing w:after="0"/>
            </w:pPr>
            <w:r>
              <w:rPr>
                <w:sz w:val="19"/>
              </w:rPr>
            </w:r>
            <w:r>
              <w:rPr>
                <w:sz w:val="19"/>
              </w:rPr>
              <w:t>S marcada: afecta IC y p-valores</w:t>
            </w:r>
          </w:p>
        </w:tc>
        <w:tc>
          <w:tcPr>
            <w:tcW w:type="dxa" w:w="1949"/>
            <w:tcMar>
              <w:top w:w="60" w:type="dxa"/>
              <w:bottom w:w="60" w:type="dxa"/>
              <w:start w:w="110" w:type="dxa"/>
              <w:end w:w="110" w:type="dxa"/>
            </w:tcMar>
            <w:vAlign w:val="center"/>
          </w:tcPr>
          <w:p>
            <w:pPr>
              <w:spacing w:after="0"/>
            </w:pPr>
            <w:r>
              <w:rPr>
                <w:sz w:val="19"/>
              </w:rPr>
            </w:r>
          </w:p>
        </w:tc>
      </w:tr>
      <w:tr>
        <w:tc>
          <w:tcPr>
            <w:tcW w:type="dxa" w:w="1949"/>
            <w:tcMar>
              <w:top w:w="60" w:type="dxa"/>
              <w:bottom w:w="60" w:type="dxa"/>
              <w:start w:w="110" w:type="dxa"/>
              <w:end w:w="110" w:type="dxa"/>
            </w:tcMar>
            <w:vAlign w:val="center"/>
            <w:shd w:val="clear" w:color="auto" w:fill="FCEDEE"/>
          </w:tcPr>
          <w:p>
            <w:pPr>
              <w:spacing w:after="0"/>
            </w:pPr>
            <w:r>
              <w:rPr>
                <w:sz w:val="19"/>
              </w:rPr>
            </w:r>
            <w:r>
              <w:rPr>
                <w:sz w:val="19"/>
              </w:rPr>
              <w:t xml:space="preserve">Independencia (residuales vs. orden — </w:t>
            </w:r>
            <w:r>
              <w:rPr>
                <w:b/>
                <w:sz w:val="19"/>
              </w:rPr>
              <w:t>declarar qué es el eje X</w:t>
            </w:r>
            <w:r>
              <w:rPr>
                <w:sz w:val="19"/>
              </w:rPr>
              <w:t>)</w:t>
            </w:r>
          </w:p>
        </w:tc>
        <w:tc>
          <w:tcPr>
            <w:tcW w:type="dxa" w:w="1949"/>
            <w:tcMar>
              <w:top w:w="60" w:type="dxa"/>
              <w:bottom w:w="60" w:type="dxa"/>
              <w:start w:w="110" w:type="dxa"/>
              <w:end w:w="110" w:type="dxa"/>
            </w:tcMar>
            <w:vAlign w:val="center"/>
            <w:shd w:val="clear" w:color="auto" w:fill="FCEDEE"/>
          </w:tcPr>
          <w:p>
            <w:pPr>
              <w:spacing w:after="0"/>
            </w:pPr>
            <w:r>
              <w:rPr>
                <w:sz w:val="19"/>
              </w:rPr>
            </w:r>
            <w:r>
              <w:rPr>
                <w:sz w:val="19"/>
              </w:rPr>
              <w:t xml:space="preserve">Sin rachas ni ciclos, y el orden </w:t>
            </w:r>
            <w:r>
              <w:rPr>
                <w:b/>
                <w:sz w:val="19"/>
              </w:rPr>
              <w:t>significa algo</w:t>
            </w:r>
            <w:r>
              <w:rPr>
                <w:sz w:val="19"/>
              </w:rPr>
              <w:t xml:space="preserve"> (hay fecha/secuencia)</w:t>
            </w:r>
          </w:p>
        </w:tc>
        <w:tc>
          <w:tcPr>
            <w:tcW w:type="dxa" w:w="1949"/>
            <w:tcMar>
              <w:top w:w="60" w:type="dxa"/>
              <w:bottom w:w="60" w:type="dxa"/>
              <w:start w:w="110" w:type="dxa"/>
              <w:end w:w="110" w:type="dxa"/>
            </w:tcMar>
            <w:vAlign w:val="center"/>
            <w:shd w:val="clear" w:color="auto" w:fill="FCEDEE"/>
          </w:tcPr>
          <w:p>
            <w:pPr>
              <w:spacing w:after="0"/>
            </w:pPr>
            <w:r>
              <w:rPr>
                <w:sz w:val="19"/>
              </w:rPr>
            </w:r>
            <w:r>
              <w:rPr>
                <w:sz w:val="19"/>
              </w:rPr>
              <w:t xml:space="preserve">Patrón débil, u orden sin significado (el índice correlaciona con </w:t>
            </w:r>
            <w:r>
              <w:rPr>
                <w:rFonts w:ascii="Consolas" w:hAnsi="Consolas"/>
                <w:color w:val="9B1B30"/>
                <w:sz w:val="19"/>
              </w:rPr>
              <w:t>X</w:t>
            </w:r>
            <w:r>
              <w:rPr>
                <w:sz w:val="19"/>
              </w:rPr>
              <w:t>: el patrón sería artefacto)</w:t>
            </w:r>
          </w:p>
        </w:tc>
        <w:tc>
          <w:tcPr>
            <w:tcW w:type="dxa" w:w="1949"/>
            <w:tcMar>
              <w:top w:w="60" w:type="dxa"/>
              <w:bottom w:w="60" w:type="dxa"/>
              <w:start w:w="110" w:type="dxa"/>
              <w:end w:w="110" w:type="dxa"/>
            </w:tcMar>
            <w:vAlign w:val="center"/>
            <w:shd w:val="clear" w:color="auto" w:fill="FCEDEE"/>
          </w:tcPr>
          <w:p>
            <w:pPr>
              <w:spacing w:after="0"/>
            </w:pPr>
            <w:r>
              <w:rPr>
                <w:sz w:val="19"/>
              </w:rPr>
            </w:r>
            <w:r>
              <w:rPr>
                <w:sz w:val="19"/>
              </w:rPr>
              <w:t xml:space="preserve">Rachas/ciclos con orden real: autocorrelación (datos temporales). Datos </w:t>
            </w:r>
            <w:r>
              <w:rPr>
                <w:b/>
                <w:sz w:val="19"/>
              </w:rPr>
              <w:t>agrupados</w:t>
            </w:r>
            <w:r>
              <w:rPr>
                <w:sz w:val="19"/>
              </w:rPr>
              <w:t xml:space="preserve"> (hermanos, tiendas de una cadena): dependencia por conglomerado</w:t>
            </w:r>
          </w:p>
        </w:tc>
        <w:tc>
          <w:tcPr>
            <w:tcW w:type="dxa" w:w="1949"/>
            <w:tcMar>
              <w:top w:w="60" w:type="dxa"/>
              <w:bottom w:w="60" w:type="dxa"/>
              <w:start w:w="110" w:type="dxa"/>
              <w:end w:w="110" w:type="dxa"/>
            </w:tcMar>
            <w:vAlign w:val="center"/>
            <w:shd w:val="clear" w:color="auto" w:fill="FCEDEE"/>
          </w:tcPr>
          <w:p>
            <w:pPr>
              <w:spacing w:after="0"/>
            </w:pPr>
            <w:r>
              <w:rPr>
                <w:sz w:val="19"/>
              </w:rPr>
            </w:r>
          </w:p>
        </w:tc>
      </w:tr>
      <w:tr>
        <w:tc>
          <w:tcPr>
            <w:tcW w:type="dxa" w:w="1949"/>
            <w:tcMar>
              <w:top w:w="60" w:type="dxa"/>
              <w:bottom w:w="60" w:type="dxa"/>
              <w:start w:w="110" w:type="dxa"/>
              <w:end w:w="110" w:type="dxa"/>
            </w:tcMar>
            <w:vAlign w:val="center"/>
          </w:tcPr>
          <w:p>
            <w:pPr>
              <w:spacing w:after="0"/>
            </w:pPr>
            <w:r>
              <w:rPr>
                <w:sz w:val="19"/>
              </w:rPr>
            </w:r>
            <w:r>
              <w:rPr>
                <w:sz w:val="19"/>
              </w:rPr>
              <w:t>Atípicos / puntos influyentes</w:t>
            </w:r>
          </w:p>
        </w:tc>
        <w:tc>
          <w:tcPr>
            <w:tcW w:type="dxa" w:w="1949"/>
            <w:tcMar>
              <w:top w:w="60" w:type="dxa"/>
              <w:bottom w:w="60" w:type="dxa"/>
              <w:start w:w="110" w:type="dxa"/>
              <w:end w:w="110" w:type="dxa"/>
            </w:tcMar>
            <w:vAlign w:val="center"/>
          </w:tcPr>
          <w:p>
            <w:pPr>
              <w:spacing w:after="0"/>
            </w:pPr>
            <w:r>
              <w:rPr>
                <w:sz w:val="19"/>
              </w:rPr>
            </w:r>
            <w:r>
              <w:rPr>
                <w:sz w:val="19"/>
              </w:rPr>
              <w:t>Ninguno domina la recta</w:t>
            </w:r>
          </w:p>
        </w:tc>
        <w:tc>
          <w:tcPr>
            <w:tcW w:type="dxa" w:w="1949"/>
            <w:tcMar>
              <w:top w:w="60" w:type="dxa"/>
              <w:bottom w:w="60" w:type="dxa"/>
              <w:start w:w="110" w:type="dxa"/>
              <w:end w:w="110" w:type="dxa"/>
            </w:tcMar>
            <w:vAlign w:val="center"/>
          </w:tcPr>
          <w:p>
            <w:pPr>
              <w:spacing w:after="0"/>
            </w:pPr>
            <w:r>
              <w:rPr>
                <w:sz w:val="19"/>
              </w:rPr>
            </w:r>
            <w:r>
              <w:rPr>
                <w:sz w:val="19"/>
              </w:rPr>
              <w:t>1–2 puntos algo alejados</w:t>
            </w:r>
          </w:p>
        </w:tc>
        <w:tc>
          <w:tcPr>
            <w:tcW w:type="dxa" w:w="1949"/>
            <w:tcMar>
              <w:top w:w="60" w:type="dxa"/>
              <w:bottom w:w="60" w:type="dxa"/>
              <w:start w:w="110" w:type="dxa"/>
              <w:end w:w="110" w:type="dxa"/>
            </w:tcMar>
            <w:vAlign w:val="center"/>
          </w:tcPr>
          <w:p>
            <w:pPr>
              <w:spacing w:after="0"/>
            </w:pPr>
            <w:r>
              <w:rPr>
                <w:sz w:val="19"/>
              </w:rPr>
            </w:r>
            <w:r>
              <w:rPr>
                <w:sz w:val="19"/>
              </w:rPr>
              <w:t>Un punto define la pendiente (cf. Anscombe)</w:t>
            </w:r>
          </w:p>
        </w:tc>
        <w:tc>
          <w:tcPr>
            <w:tcW w:type="dxa" w:w="1949"/>
            <w:tcMar>
              <w:top w:w="60" w:type="dxa"/>
              <w:bottom w:w="60" w:type="dxa"/>
              <w:start w:w="110" w:type="dxa"/>
              <w:end w:w="110" w:type="dxa"/>
            </w:tcMar>
            <w:vAlign w:val="center"/>
          </w:tcPr>
          <w:p>
            <w:pPr>
              <w:spacing w:after="0"/>
            </w:pPr>
            <w:r>
              <w:rPr>
                <w:sz w:val="19"/>
              </w:rPr>
            </w:r>
          </w:p>
        </w:tc>
      </w:tr>
    </w:tbl>
    <w:p>
      <w:pPr>
        <w:spacing w:after="40"/>
      </w:pPr>
    </w:p>
    <w:p>
      <w:pPr>
        <w:keepNext/>
        <w:spacing w:before="180" w:after="60"/>
      </w:pPr>
      <w:r>
        <w:rPr>
          <w:b/>
          <w:color w:val="9B1B30"/>
          <w:sz w:val="25"/>
        </w:rPr>
        <w:t>Supuestos y diagnósticos (identificar y corregir)</w:t>
      </w:r>
    </w:p>
    <w:p>
      <w:pPr>
        <w:jc w:val="both"/>
      </w:pPr>
      <w:r>
        <w:t xml:space="preserve">El β₁ de (2), su SE (4), el t (5) y el IC (6) solo son fiables si se sostienen los supuestos de Gauss-Markov. En S03 el diagnóstico es </w:t>
      </w:r>
      <w:r>
        <w:rPr>
          <w:b/>
        </w:rPr>
        <w:t>visual</w:t>
      </w:r>
      <w:r>
        <w:t xml:space="preserve"> y la corrección propia es </w:t>
      </w:r>
      <w:r>
        <w:rPr>
          <w:b/>
        </w:rPr>
        <w:t>transformar</w:t>
      </w:r>
      <w:r>
        <w:t xml:space="preserve"> </w:t>
      </w:r>
      <w:r>
        <w:rPr>
          <w:rFonts w:ascii="Consolas" w:hAnsi="Consolas"/>
          <w:color w:val="9B1B30"/>
          <w:sz w:val="19"/>
        </w:rPr>
        <w:t>X</w:t>
      </w:r>
      <w:r>
        <w:t>/</w:t>
      </w:r>
      <w:r>
        <w:rPr>
          <w:rFonts w:ascii="Consolas" w:hAnsi="Consolas"/>
          <w:color w:val="9B1B30"/>
          <w:sz w:val="19"/>
        </w:rPr>
        <w:t>Y</w:t>
      </w:r>
      <w:r>
        <w:t xml:space="preserve">; las pruebas formales y los errores robustos se </w:t>
      </w:r>
      <w:r>
        <w:rPr>
          <w:b/>
        </w:rPr>
        <w:t>nombran con su umbral</w:t>
      </w:r>
      <w:r>
        <w:t xml:space="preserve"> pero se aplican en S04+. Desarrollo completo en la guía de supuestos de la sesión.</w:t>
      </w:r>
    </w:p>
    <w:tbl>
      <w:tblPr>
        <w:tblStyle w:val="TableGrid"/>
        <w:tblW w:type="auto" w:w="0"/>
        <w:tblLayout w:type="autofit"/>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Pr>
      <w:tblGrid>
        <w:gridCol w:w="3249"/>
        <w:gridCol w:w="3249"/>
        <w:gridCol w:w="3249"/>
      </w:tblGrid>
      <w:tr>
        <w:tc>
          <w:tcPr>
            <w:tcW w:type="dxa" w:w="3249"/>
            <w:tcMar>
              <w:top w:w="60" w:type="dxa"/>
              <w:bottom w:w="60" w:type="dxa"/>
              <w:start w:w="110" w:type="dxa"/>
              <w:end w:w="110" w:type="dxa"/>
            </w:tcMar>
            <w:vAlign w:val="center"/>
            <w:shd w:val="clear" w:color="auto" w:fill="E4002B"/>
          </w:tcPr>
          <w:p>
            <w:pPr>
              <w:spacing w:after="0"/>
            </w:pPr>
            <w:r/>
            <w:r>
              <w:rPr>
                <w:b/>
                <w:color w:val="FFFFFF"/>
                <w:sz w:val="19"/>
              </w:rPr>
              <w:t>Supuesto</w:t>
            </w:r>
          </w:p>
        </w:tc>
        <w:tc>
          <w:tcPr>
            <w:tcW w:type="dxa" w:w="3249"/>
            <w:tcMar>
              <w:top w:w="60" w:type="dxa"/>
              <w:bottom w:w="60" w:type="dxa"/>
              <w:start w:w="110" w:type="dxa"/>
              <w:end w:w="110" w:type="dxa"/>
            </w:tcMar>
            <w:vAlign w:val="center"/>
            <w:shd w:val="clear" w:color="auto" w:fill="E4002B"/>
          </w:tcPr>
          <w:p>
            <w:pPr>
              <w:spacing w:after="0"/>
            </w:pPr>
            <w:r/>
            <w:r>
              <w:rPr>
                <w:b/>
                <w:color w:val="FFFFFF"/>
                <w:sz w:val="19"/>
              </w:rPr>
              <w:t>Cómo identificar</w:t>
            </w:r>
          </w:p>
        </w:tc>
        <w:tc>
          <w:tcPr>
            <w:tcW w:type="dxa" w:w="3249"/>
            <w:tcMar>
              <w:top w:w="60" w:type="dxa"/>
              <w:bottom w:w="60" w:type="dxa"/>
              <w:start w:w="110" w:type="dxa"/>
              <w:end w:w="110" w:type="dxa"/>
            </w:tcMar>
            <w:vAlign w:val="center"/>
            <w:shd w:val="clear" w:color="auto" w:fill="E4002B"/>
          </w:tcPr>
          <w:p>
            <w:pPr>
              <w:spacing w:after="0"/>
            </w:pPr>
            <w:r/>
            <w:r>
              <w:rPr>
                <w:b/>
                <w:color w:val="FFFFFF"/>
                <w:sz w:val="19"/>
              </w:rPr>
              <w:t>Cómo corregir (con qué método)</w:t>
            </w:r>
          </w:p>
        </w:tc>
      </w:tr>
      <w:tr>
        <w:tc>
          <w:tcPr>
            <w:tcW w:type="dxa" w:w="3249"/>
            <w:tcMar>
              <w:top w:w="60" w:type="dxa"/>
              <w:bottom w:w="60" w:type="dxa"/>
              <w:start w:w="110" w:type="dxa"/>
              <w:end w:w="110" w:type="dxa"/>
            </w:tcMar>
            <w:vAlign w:val="center"/>
          </w:tcPr>
          <w:p>
            <w:pPr>
              <w:spacing w:after="0"/>
            </w:pPr>
            <w:r>
              <w:rPr>
                <w:sz w:val="19"/>
              </w:rPr>
            </w:r>
            <w:r>
              <w:rPr>
                <w:b/>
                <w:sz w:val="19"/>
              </w:rPr>
              <w:t>Linealidad</w:t>
            </w:r>
            <w:r>
              <w:rPr>
                <w:sz w:val="19"/>
              </w:rPr>
              <w:t xml:space="preserve"> (SLR.1)</w:t>
            </w:r>
          </w:p>
        </w:tc>
        <w:tc>
          <w:tcPr>
            <w:tcW w:type="dxa" w:w="3249"/>
            <w:tcMar>
              <w:top w:w="60" w:type="dxa"/>
              <w:bottom w:w="60" w:type="dxa"/>
              <w:start w:w="110" w:type="dxa"/>
              <w:end w:w="110" w:type="dxa"/>
            </w:tcMar>
            <w:vAlign w:val="center"/>
          </w:tcPr>
          <w:p>
            <w:pPr>
              <w:spacing w:after="0"/>
            </w:pPr>
            <w:r>
              <w:rPr>
                <w:sz w:val="19"/>
              </w:rPr>
            </w:r>
            <w:r>
              <w:rPr>
                <w:sz w:val="19"/>
              </w:rPr>
              <w:t>Dispersión con la recta; residuales vs. ajustados en forma de U/arco; prueba RESET de Ramsey (</w:t>
            </w:r>
            <w:r>
              <w:rPr>
                <w:rFonts w:ascii="Consolas" w:hAnsi="Consolas"/>
                <w:color w:val="9B1B30"/>
                <w:sz w:val="19"/>
              </w:rPr>
              <w:t>p &lt; 0,05</w:t>
            </w:r>
            <w:r>
              <w:rPr>
                <w:sz w:val="19"/>
              </w:rPr>
              <w:t>) → curvatura</w:t>
            </w:r>
          </w:p>
        </w:tc>
        <w:tc>
          <w:tcPr>
            <w:tcW w:type="dxa" w:w="3249"/>
            <w:tcMar>
              <w:top w:w="60" w:type="dxa"/>
              <w:bottom w:w="60" w:type="dxa"/>
              <w:start w:w="110" w:type="dxa"/>
              <w:end w:w="110" w:type="dxa"/>
            </w:tcMar>
            <w:vAlign w:val="center"/>
          </w:tcPr>
          <w:p>
            <w:pPr>
              <w:spacing w:after="0"/>
            </w:pPr>
            <w:r>
              <w:rPr>
                <w:sz w:val="19"/>
              </w:rPr>
            </w:r>
            <w:r>
              <w:rPr>
                <w:sz w:val="19"/>
              </w:rPr>
              <w:t xml:space="preserve">Transformar </w:t>
            </w:r>
            <w:r>
              <w:rPr>
                <w:rFonts w:ascii="Consolas" w:hAnsi="Consolas"/>
                <w:color w:val="9B1B30"/>
                <w:sz w:val="19"/>
              </w:rPr>
              <w:t>X</w:t>
            </w:r>
            <w:r>
              <w:rPr>
                <w:sz w:val="19"/>
              </w:rPr>
              <w:t>/</w:t>
            </w:r>
            <w:r>
              <w:rPr>
                <w:rFonts w:ascii="Consolas" w:hAnsi="Consolas"/>
                <w:color w:val="9B1B30"/>
                <w:sz w:val="19"/>
              </w:rPr>
              <w:t>Y</w:t>
            </w:r>
            <w:r>
              <w:rPr>
                <w:sz w:val="19"/>
              </w:rPr>
              <w:t xml:space="preserve"> (log, √) dentro del modelo de un predictor </w:t>
            </w:r>
            <w:r>
              <w:rPr>
                <w:b/>
                <w:sz w:val="19"/>
              </w:rPr>
              <w:t>[S03]</w:t>
            </w:r>
            <w:r>
              <w:rPr>
                <w:sz w:val="19"/>
              </w:rPr>
              <w:t xml:space="preserve">; polinomios/splines/GAM </w:t>
            </w:r>
            <w:r>
              <w:rPr>
                <w:b/>
                <w:sz w:val="19"/>
              </w:rPr>
              <w:t>[S05]</w:t>
            </w:r>
          </w:p>
        </w:tc>
      </w:tr>
      <w:tr>
        <w:tc>
          <w:tcPr>
            <w:tcW w:type="dxa" w:w="3249"/>
            <w:tcMar>
              <w:top w:w="60" w:type="dxa"/>
              <w:bottom w:w="60" w:type="dxa"/>
              <w:start w:w="110" w:type="dxa"/>
              <w:end w:w="110" w:type="dxa"/>
            </w:tcMar>
            <w:vAlign w:val="center"/>
            <w:shd w:val="clear" w:color="auto" w:fill="FCEDEE"/>
          </w:tcPr>
          <w:p>
            <w:pPr>
              <w:spacing w:after="0"/>
            </w:pPr>
            <w:r>
              <w:rPr>
                <w:sz w:val="19"/>
              </w:rPr>
            </w:r>
            <w:r>
              <w:rPr>
                <w:b/>
                <w:sz w:val="19"/>
              </w:rPr>
              <w:t>Exogeneidad</w:t>
            </w:r>
            <w:r>
              <w:rPr>
                <w:sz w:val="19"/>
              </w:rPr>
              <w:t xml:space="preserve"> (SLR.4)</w:t>
            </w:r>
          </w:p>
        </w:tc>
        <w:tc>
          <w:tcPr>
            <w:tcW w:type="dxa" w:w="3249"/>
            <w:tcMar>
              <w:top w:w="60" w:type="dxa"/>
              <w:bottom w:w="60" w:type="dxa"/>
              <w:start w:w="110" w:type="dxa"/>
              <w:end w:w="110" w:type="dxa"/>
            </w:tcMar>
            <w:vAlign w:val="center"/>
            <w:shd w:val="clear" w:color="auto" w:fill="FCEDEE"/>
          </w:tcPr>
          <w:p>
            <w:pPr>
              <w:spacing w:after="0"/>
            </w:pPr>
            <w:r>
              <w:rPr>
                <w:sz w:val="19"/>
              </w:rPr>
            </w:r>
            <w:r>
              <w:rPr>
                <w:sz w:val="19"/>
              </w:rPr>
              <w:t>No hay test: razonar el dominio (variable omitida, causalidad inversa, regresión a la media)</w:t>
            </w:r>
          </w:p>
        </w:tc>
        <w:tc>
          <w:tcPr>
            <w:tcW w:type="dxa" w:w="3249"/>
            <w:tcMar>
              <w:top w:w="60" w:type="dxa"/>
              <w:bottom w:w="60" w:type="dxa"/>
              <w:start w:w="110" w:type="dxa"/>
              <w:end w:w="110" w:type="dxa"/>
            </w:tcMar>
            <w:vAlign w:val="center"/>
            <w:shd w:val="clear" w:color="auto" w:fill="FCEDEE"/>
          </w:tcPr>
          <w:p>
            <w:pPr>
              <w:spacing w:after="0"/>
            </w:pPr>
            <w:r>
              <w:rPr>
                <w:sz w:val="19"/>
              </w:rPr>
            </w:r>
            <w:r>
              <w:rPr>
                <w:sz w:val="19"/>
              </w:rPr>
              <w:t xml:space="preserve">Solo </w:t>
            </w:r>
            <w:r>
              <w:rPr>
                <w:b/>
                <w:sz w:val="19"/>
              </w:rPr>
              <w:t>advertir</w:t>
            </w:r>
            <w:r>
              <w:rPr>
                <w:sz w:val="19"/>
              </w:rPr>
              <w:t xml:space="preserve"> que β₁ es asociación, no causa </w:t>
            </w:r>
            <w:r>
              <w:rPr>
                <w:b/>
                <w:sz w:val="19"/>
              </w:rPr>
              <w:t>[S03]</w:t>
            </w:r>
            <w:r>
              <w:rPr>
                <w:sz w:val="19"/>
              </w:rPr>
              <w:t xml:space="preserve">; incluir omitidas (múltiple </w:t>
            </w:r>
            <w:r>
              <w:rPr>
                <w:b/>
                <w:sz w:val="19"/>
              </w:rPr>
              <w:t>[S04]</w:t>
            </w:r>
            <w:r>
              <w:rPr>
                <w:sz w:val="19"/>
              </w:rPr>
              <w:t xml:space="preserve">) o diseño causal </w:t>
            </w:r>
            <w:r>
              <w:rPr>
                <w:b/>
                <w:sz w:val="19"/>
              </w:rPr>
              <w:t>[S12]</w:t>
            </w:r>
          </w:p>
        </w:tc>
      </w:tr>
      <w:tr>
        <w:tc>
          <w:tcPr>
            <w:tcW w:type="dxa" w:w="3249"/>
            <w:tcMar>
              <w:top w:w="60" w:type="dxa"/>
              <w:bottom w:w="60" w:type="dxa"/>
              <w:start w:w="110" w:type="dxa"/>
              <w:end w:w="110" w:type="dxa"/>
            </w:tcMar>
            <w:vAlign w:val="center"/>
          </w:tcPr>
          <w:p>
            <w:pPr>
              <w:spacing w:after="0"/>
            </w:pPr>
            <w:r>
              <w:rPr>
                <w:sz w:val="19"/>
              </w:rPr>
            </w:r>
            <w:r>
              <w:rPr>
                <w:b/>
                <w:sz w:val="19"/>
              </w:rPr>
              <w:t>Homocedasticidad</w:t>
            </w:r>
            <w:r>
              <w:rPr>
                <w:sz w:val="19"/>
              </w:rPr>
              <w:t xml:space="preserve"> (SLR.5)</w:t>
            </w:r>
          </w:p>
        </w:tc>
        <w:tc>
          <w:tcPr>
            <w:tcW w:type="dxa" w:w="3249"/>
            <w:tcMar>
              <w:top w:w="60" w:type="dxa"/>
              <w:bottom w:w="60" w:type="dxa"/>
              <w:start w:w="110" w:type="dxa"/>
              <w:end w:w="110" w:type="dxa"/>
            </w:tcMar>
            <w:vAlign w:val="center"/>
          </w:tcPr>
          <w:p>
            <w:pPr>
              <w:spacing w:after="0"/>
            </w:pPr>
            <w:r>
              <w:rPr>
                <w:sz w:val="19"/>
              </w:rPr>
            </w:r>
            <w:r>
              <w:rPr>
                <w:sz w:val="19"/>
              </w:rPr>
              <w:t>Residuales vs. ajustados en abanico; escala-localización ascendente; Breusch-Pagan / White (</w:t>
            </w:r>
            <w:r>
              <w:rPr>
                <w:rFonts w:ascii="Consolas" w:hAnsi="Consolas"/>
                <w:color w:val="9B1B30"/>
                <w:sz w:val="19"/>
              </w:rPr>
              <w:t>p &lt; 0,05</w:t>
            </w:r>
            <w:r>
              <w:rPr>
                <w:sz w:val="19"/>
              </w:rPr>
              <w:t>)</w:t>
            </w:r>
          </w:p>
        </w:tc>
        <w:tc>
          <w:tcPr>
            <w:tcW w:type="dxa" w:w="3249"/>
            <w:tcMar>
              <w:top w:w="60" w:type="dxa"/>
              <w:bottom w:w="60" w:type="dxa"/>
              <w:start w:w="110" w:type="dxa"/>
              <w:end w:w="110" w:type="dxa"/>
            </w:tcMar>
            <w:vAlign w:val="center"/>
          </w:tcPr>
          <w:p>
            <w:pPr>
              <w:spacing w:after="0"/>
            </w:pPr>
            <w:r>
              <w:rPr>
                <w:sz w:val="19"/>
              </w:rPr>
            </w:r>
            <w:r>
              <w:rPr>
                <w:sz w:val="19"/>
              </w:rPr>
              <w:t xml:space="preserve">Transformar </w:t>
            </w:r>
            <w:r>
              <w:rPr>
                <w:rFonts w:ascii="Consolas" w:hAnsi="Consolas"/>
                <w:color w:val="9B1B30"/>
                <w:sz w:val="19"/>
              </w:rPr>
              <w:t>Y</w:t>
            </w:r>
            <w:r>
              <w:rPr>
                <w:sz w:val="19"/>
              </w:rPr>
              <w:t xml:space="preserve"> (log) </w:t>
            </w:r>
            <w:r>
              <w:rPr>
                <w:b/>
                <w:sz w:val="19"/>
              </w:rPr>
              <w:t>[S03]</w:t>
            </w:r>
            <w:r>
              <w:rPr>
                <w:sz w:val="19"/>
              </w:rPr>
              <w:t xml:space="preserve">; errores robustos de White (HC), WLS </w:t>
            </w:r>
            <w:r>
              <w:rPr>
                <w:b/>
                <w:sz w:val="19"/>
              </w:rPr>
              <w:t>[S04]</w:t>
            </w:r>
          </w:p>
        </w:tc>
      </w:tr>
      <w:tr>
        <w:tc>
          <w:tcPr>
            <w:tcW w:type="dxa" w:w="3249"/>
            <w:tcMar>
              <w:top w:w="60" w:type="dxa"/>
              <w:bottom w:w="60" w:type="dxa"/>
              <w:start w:w="110" w:type="dxa"/>
              <w:end w:w="110" w:type="dxa"/>
            </w:tcMar>
            <w:vAlign w:val="center"/>
            <w:shd w:val="clear" w:color="auto" w:fill="FCEDEE"/>
          </w:tcPr>
          <w:p>
            <w:pPr>
              <w:spacing w:after="0"/>
            </w:pPr>
            <w:r>
              <w:rPr>
                <w:sz w:val="19"/>
              </w:rPr>
            </w:r>
            <w:r>
              <w:rPr>
                <w:b/>
                <w:sz w:val="19"/>
              </w:rPr>
              <w:t>No autocorrelación / independencia</w:t>
            </w:r>
            <w:r>
              <w:rPr>
                <w:sz w:val="19"/>
              </w:rPr>
              <w:t xml:space="preserve"> (SLR.2)</w:t>
            </w:r>
          </w:p>
        </w:tc>
        <w:tc>
          <w:tcPr>
            <w:tcW w:type="dxa" w:w="3249"/>
            <w:tcMar>
              <w:top w:w="60" w:type="dxa"/>
              <w:bottom w:w="60" w:type="dxa"/>
              <w:start w:w="110" w:type="dxa"/>
              <w:end w:w="110" w:type="dxa"/>
            </w:tcMar>
            <w:vAlign w:val="center"/>
            <w:shd w:val="clear" w:color="auto" w:fill="FCEDEE"/>
          </w:tcPr>
          <w:p>
            <w:pPr>
              <w:spacing w:after="0"/>
            </w:pPr>
            <w:r>
              <w:rPr>
                <w:sz w:val="19"/>
              </w:rPr>
            </w:r>
            <w:r>
              <w:rPr>
                <w:sz w:val="19"/>
              </w:rPr>
              <w:t xml:space="preserve">Durbin-Watson (≈ 2 sano; </w:t>
            </w:r>
            <w:r>
              <w:rPr>
                <w:rFonts w:ascii="Consolas" w:hAnsi="Consolas"/>
                <w:color w:val="9B1B30"/>
                <w:sz w:val="19"/>
              </w:rPr>
              <w:t>&lt; 1,5</w:t>
            </w:r>
            <w:r>
              <w:rPr>
                <w:sz w:val="19"/>
              </w:rPr>
              <w:t xml:space="preserve"> positiva) </w:t>
            </w:r>
            <w:r>
              <w:rPr>
                <w:b/>
                <w:sz w:val="19"/>
              </w:rPr>
              <w:t>solo si el orden significa algo</w:t>
            </w:r>
            <w:r>
              <w:rPr>
                <w:sz w:val="19"/>
              </w:rPr>
              <w:t xml:space="preserve">: si el archivo viene ordenado por el predictor, un DW bajo es </w:t>
            </w:r>
            <w:r>
              <w:rPr>
                <w:b/>
                <w:sz w:val="19"/>
              </w:rPr>
              <w:t>artefacto de la ordenación</w:t>
            </w:r>
            <w:r>
              <w:rPr>
                <w:sz w:val="19"/>
              </w:rPr>
              <w:t>, no dependencia (compruébese al permutar las filas). Con datos agrupados, mirar el agrupamiento y no el orden</w:t>
            </w:r>
          </w:p>
        </w:tc>
        <w:tc>
          <w:tcPr>
            <w:tcW w:type="dxa" w:w="3249"/>
            <w:tcMar>
              <w:top w:w="60" w:type="dxa"/>
              <w:bottom w:w="60" w:type="dxa"/>
              <w:start w:w="110" w:type="dxa"/>
              <w:end w:w="110" w:type="dxa"/>
            </w:tcMar>
            <w:vAlign w:val="center"/>
            <w:shd w:val="clear" w:color="auto" w:fill="FCEDEE"/>
          </w:tcPr>
          <w:p>
            <w:pPr>
              <w:spacing w:after="0"/>
            </w:pPr>
            <w:r>
              <w:rPr>
                <w:sz w:val="19"/>
              </w:rPr>
            </w:r>
            <w:r>
              <w:rPr>
                <w:sz w:val="19"/>
              </w:rPr>
              <w:t xml:space="preserve">Detectar en S03; Newey-West/HAC y modelos de serie </w:t>
            </w:r>
            <w:r>
              <w:rPr>
                <w:b/>
                <w:sz w:val="19"/>
              </w:rPr>
              <w:t>[S11]</w:t>
            </w:r>
            <w:r>
              <w:rPr>
                <w:sz w:val="19"/>
              </w:rPr>
              <w:t xml:space="preserve">; errores agrupados o multinivel </w:t>
            </w:r>
            <w:r>
              <w:rPr>
                <w:b/>
                <w:sz w:val="19"/>
              </w:rPr>
              <w:t>[avanzado]</w:t>
            </w:r>
          </w:p>
        </w:tc>
      </w:tr>
      <w:tr>
        <w:tc>
          <w:tcPr>
            <w:tcW w:type="dxa" w:w="3249"/>
            <w:tcMar>
              <w:top w:w="60" w:type="dxa"/>
              <w:bottom w:w="60" w:type="dxa"/>
              <w:start w:w="110" w:type="dxa"/>
              <w:end w:w="110" w:type="dxa"/>
            </w:tcMar>
            <w:vAlign w:val="center"/>
          </w:tcPr>
          <w:p>
            <w:pPr>
              <w:spacing w:after="0"/>
            </w:pPr>
            <w:r>
              <w:rPr>
                <w:sz w:val="19"/>
              </w:rPr>
            </w:r>
            <w:r>
              <w:rPr>
                <w:b/>
                <w:sz w:val="19"/>
              </w:rPr>
              <w:t>Normalidad de los errores</w:t>
            </w:r>
            <w:r>
              <w:rPr>
                <w:sz w:val="19"/>
              </w:rPr>
              <w:t xml:space="preserve"> (SLR.6; no exigida por Gauss-Markov)</w:t>
            </w:r>
          </w:p>
        </w:tc>
        <w:tc>
          <w:tcPr>
            <w:tcW w:type="dxa" w:w="3249"/>
            <w:tcMar>
              <w:top w:w="60" w:type="dxa"/>
              <w:bottom w:w="60" w:type="dxa"/>
              <w:start w:w="110" w:type="dxa"/>
              <w:end w:w="110" w:type="dxa"/>
            </w:tcMar>
            <w:vAlign w:val="center"/>
          </w:tcPr>
          <w:p>
            <w:pPr>
              <w:spacing w:after="0"/>
            </w:pPr>
            <w:r>
              <w:rPr>
                <w:sz w:val="19"/>
              </w:rPr>
            </w:r>
            <w:r>
              <w:rPr>
                <w:sz w:val="19"/>
              </w:rPr>
              <w:t>Q-Q con colas en S; Omnibus / Jarque-Bera (</w:t>
            </w:r>
            <w:r>
              <w:rPr>
                <w:rFonts w:ascii="Consolas" w:hAnsi="Consolas"/>
                <w:color w:val="9B1B30"/>
                <w:sz w:val="19"/>
              </w:rPr>
              <w:t>p &lt; 0,05</w:t>
            </w:r>
            <w:r>
              <w:rPr>
                <w:sz w:val="19"/>
              </w:rPr>
              <w:t>)</w:t>
            </w:r>
          </w:p>
        </w:tc>
        <w:tc>
          <w:tcPr>
            <w:tcW w:type="dxa" w:w="3249"/>
            <w:tcMar>
              <w:top w:w="60" w:type="dxa"/>
              <w:bottom w:w="60" w:type="dxa"/>
              <w:start w:w="110" w:type="dxa"/>
              <w:end w:w="110" w:type="dxa"/>
            </w:tcMar>
            <w:vAlign w:val="center"/>
          </w:tcPr>
          <w:p>
            <w:pPr>
              <w:spacing w:after="0"/>
            </w:pPr>
            <w:r>
              <w:rPr>
                <w:sz w:val="19"/>
              </w:rPr>
            </w:r>
            <w:r>
              <w:rPr>
                <w:sz w:val="19"/>
              </w:rPr>
              <w:t xml:space="preserve">Transformar </w:t>
            </w:r>
            <w:r>
              <w:rPr>
                <w:rFonts w:ascii="Consolas" w:hAnsi="Consolas"/>
                <w:color w:val="9B1B30"/>
                <w:sz w:val="19"/>
              </w:rPr>
              <w:t>Y</w:t>
            </w:r>
            <w:r>
              <w:rPr>
                <w:sz w:val="19"/>
              </w:rPr>
              <w:t xml:space="preserve">; con </w:t>
            </w:r>
            <w:r>
              <w:rPr>
                <w:rFonts w:ascii="Consolas" w:hAnsi="Consolas"/>
                <w:color w:val="9B1B30"/>
                <w:sz w:val="19"/>
              </w:rPr>
              <w:t>n</w:t>
            </w:r>
            <w:r>
              <w:rPr>
                <w:sz w:val="19"/>
              </w:rPr>
              <w:t xml:space="preserve"> grande el TCL basta </w:t>
            </w:r>
            <w:r>
              <w:rPr>
                <w:b/>
                <w:sz w:val="19"/>
              </w:rPr>
              <w:t>[S03]</w:t>
            </w:r>
            <w:r>
              <w:rPr>
                <w:sz w:val="19"/>
              </w:rPr>
              <w:t xml:space="preserve">; bootstrap </w:t>
            </w:r>
            <w:r>
              <w:rPr>
                <w:b/>
                <w:sz w:val="19"/>
              </w:rPr>
              <w:t>[avanzado]</w:t>
            </w:r>
          </w:p>
        </w:tc>
      </w:tr>
      <w:tr>
        <w:tc>
          <w:tcPr>
            <w:tcW w:type="dxa" w:w="3249"/>
            <w:tcMar>
              <w:top w:w="60" w:type="dxa"/>
              <w:bottom w:w="60" w:type="dxa"/>
              <w:start w:w="110" w:type="dxa"/>
              <w:end w:w="110" w:type="dxa"/>
            </w:tcMar>
            <w:vAlign w:val="center"/>
            <w:shd w:val="clear" w:color="auto" w:fill="FCEDEE"/>
          </w:tcPr>
          <w:p>
            <w:pPr>
              <w:spacing w:after="0"/>
            </w:pPr>
            <w:r>
              <w:rPr>
                <w:sz w:val="19"/>
              </w:rPr>
            </w:r>
            <w:r>
              <w:rPr>
                <w:b/>
                <w:sz w:val="19"/>
              </w:rPr>
              <w:t>Influyentes / apalancamiento / atípicos</w:t>
            </w:r>
          </w:p>
        </w:tc>
        <w:tc>
          <w:tcPr>
            <w:tcW w:type="dxa" w:w="3249"/>
            <w:tcMar>
              <w:top w:w="60" w:type="dxa"/>
              <w:bottom w:w="60" w:type="dxa"/>
              <w:start w:w="110" w:type="dxa"/>
              <w:end w:w="110" w:type="dxa"/>
            </w:tcMar>
            <w:vAlign w:val="center"/>
            <w:shd w:val="clear" w:color="auto" w:fill="FCEDEE"/>
          </w:tcPr>
          <w:p>
            <w:pPr>
              <w:spacing w:after="0"/>
            </w:pPr>
            <w:r>
              <w:rPr>
                <w:sz w:val="19"/>
              </w:rPr>
            </w:r>
            <w:r>
              <w:rPr>
                <w:sz w:val="19"/>
              </w:rPr>
              <w:t>Residuales vs. leverage; distancia de Cook (</w:t>
            </w:r>
            <w:r>
              <w:rPr>
                <w:rFonts w:ascii="Consolas" w:hAnsi="Consolas"/>
                <w:color w:val="9B1B30"/>
                <w:sz w:val="19"/>
              </w:rPr>
              <w:t>&gt; 1</w:t>
            </w:r>
            <w:r>
              <w:rPr>
                <w:sz w:val="19"/>
              </w:rPr>
              <w:t xml:space="preserve"> o </w:t>
            </w:r>
            <w:r>
              <w:rPr>
                <w:rFonts w:ascii="Consolas" w:hAnsi="Consolas"/>
                <w:color w:val="9B1B30"/>
                <w:sz w:val="19"/>
              </w:rPr>
              <w:t>&gt; 4/n</w:t>
            </w:r>
            <w:r>
              <w:rPr>
                <w:sz w:val="19"/>
              </w:rPr>
              <w:t>); residuos estudentizados (</w:t>
            </w:r>
            <w:r>
              <w:rPr>
                <w:rFonts w:ascii="Consolas" w:hAnsi="Consolas"/>
                <w:color w:val="9B1B30"/>
                <w:sz w:val="19"/>
              </w:rPr>
              <w:t>&gt; 2</w:t>
            </w:r>
            <w:r>
              <w:rPr>
                <w:sz w:val="19"/>
              </w:rPr>
              <w:t xml:space="preserve"> en valor absoluto)</w:t>
            </w:r>
          </w:p>
        </w:tc>
        <w:tc>
          <w:tcPr>
            <w:tcW w:type="dxa" w:w="3249"/>
            <w:tcMar>
              <w:top w:w="60" w:type="dxa"/>
              <w:bottom w:w="60" w:type="dxa"/>
              <w:start w:w="110" w:type="dxa"/>
              <w:end w:w="110" w:type="dxa"/>
            </w:tcMar>
            <w:vAlign w:val="center"/>
            <w:shd w:val="clear" w:color="auto" w:fill="FCEDEE"/>
          </w:tcPr>
          <w:p>
            <w:pPr>
              <w:spacing w:after="0"/>
            </w:pPr>
            <w:r>
              <w:rPr>
                <w:sz w:val="19"/>
              </w:rPr>
            </w:r>
            <w:r>
              <w:rPr>
                <w:sz w:val="19"/>
              </w:rPr>
              <w:t xml:space="preserve">Investigar el dato y análisis de sensibilidad (con/sin el caso) </w:t>
            </w:r>
            <w:r>
              <w:rPr>
                <w:b/>
                <w:sz w:val="19"/>
              </w:rPr>
              <w:t>[S03]</w:t>
            </w:r>
            <w:r>
              <w:rPr>
                <w:sz w:val="19"/>
              </w:rPr>
              <w:t xml:space="preserve">; regresión robusta </w:t>
            </w:r>
            <w:r>
              <w:rPr>
                <w:b/>
                <w:sz w:val="19"/>
              </w:rPr>
              <w:t>[avanzado]</w:t>
            </w:r>
          </w:p>
        </w:tc>
      </w:tr>
      <w:tr>
        <w:tc>
          <w:tcPr>
            <w:tcW w:type="dxa" w:w="3249"/>
            <w:tcMar>
              <w:top w:w="60" w:type="dxa"/>
              <w:bottom w:w="60" w:type="dxa"/>
              <w:start w:w="110" w:type="dxa"/>
              <w:end w:w="110" w:type="dxa"/>
            </w:tcMar>
            <w:vAlign w:val="center"/>
          </w:tcPr>
          <w:p>
            <w:pPr>
              <w:spacing w:after="0"/>
            </w:pPr>
            <w:r>
              <w:rPr>
                <w:sz w:val="19"/>
              </w:rPr>
            </w:r>
            <w:r>
              <w:rPr>
                <w:b/>
                <w:sz w:val="19"/>
              </w:rPr>
              <w:t>Anscombe (graficar siempre)</w:t>
            </w:r>
          </w:p>
        </w:tc>
        <w:tc>
          <w:tcPr>
            <w:tcW w:type="dxa" w:w="3249"/>
            <w:tcMar>
              <w:top w:w="60" w:type="dxa"/>
              <w:bottom w:w="60" w:type="dxa"/>
              <w:start w:w="110" w:type="dxa"/>
              <w:end w:w="110" w:type="dxa"/>
            </w:tcMar>
            <w:vAlign w:val="center"/>
          </w:tcPr>
          <w:p>
            <w:pPr>
              <w:spacing w:after="0"/>
            </w:pPr>
            <w:r>
              <w:rPr>
                <w:sz w:val="19"/>
              </w:rPr>
            </w:r>
            <w:r>
              <w:rPr>
                <w:sz w:val="19"/>
              </w:rPr>
              <w:t>Cuatro conjuntos con idéntico R², β y r y gráficos opuestos: nunca confiar solo en los resúmenes</w:t>
            </w:r>
          </w:p>
        </w:tc>
        <w:tc>
          <w:tcPr>
            <w:tcW w:type="dxa" w:w="3249"/>
            <w:tcMar>
              <w:top w:w="60" w:type="dxa"/>
              <w:bottom w:w="60" w:type="dxa"/>
              <w:start w:w="110" w:type="dxa"/>
              <w:end w:w="110" w:type="dxa"/>
            </w:tcMar>
            <w:vAlign w:val="center"/>
          </w:tcPr>
          <w:p>
            <w:pPr>
              <w:spacing w:after="0"/>
            </w:pPr>
            <w:r>
              <w:rPr>
                <w:sz w:val="19"/>
              </w:rPr>
            </w:r>
            <w:r>
              <w:rPr>
                <w:sz w:val="19"/>
              </w:rPr>
              <w:t xml:space="preserve">Incorporar el diagnóstico gráfico como paso obligatorio antes de reportar β₁/R² </w:t>
            </w:r>
            <w:r>
              <w:rPr>
                <w:b/>
                <w:sz w:val="19"/>
              </w:rPr>
              <w:t>[S03, central]</w:t>
            </w:r>
          </w:p>
        </w:tc>
      </w:tr>
    </w:tbl>
    <w:p>
      <w:pPr>
        <w:spacing w:after="40"/>
      </w:pPr>
    </w:p>
    <w:p>
      <w:pPr>
        <w:spacing w:before="80" w:after="160" w:line="288" w:lineRule="auto"/>
        <w:ind w:left="85" w:right="85"/>
        <w:shd w:val="clear" w:color="auto" w:fill="F4F4F4"/>
        <w:pBdr>
          <w:left w:val="single" w:sz="24" w:space="10" w:color="E4002B"/>
        </w:pBdr>
      </w:pPr>
      <w:r>
        <w:rPr>
          <w:color w:val="2D2D2D"/>
        </w:rPr>
        <w:t xml:space="preserve">Regla operativa: un patrón </w:t>
      </w:r>
      <w:r>
        <w:rPr>
          <w:b/>
          <w:color w:val="2D2D2D"/>
        </w:rPr>
        <w:t>curvo</w:t>
      </w:r>
      <w:r>
        <w:rPr>
          <w:color w:val="2D2D2D"/>
        </w:rPr>
        <w:t xml:space="preserve"> en residuales vs. ajustados indica que la recta es la forma equivocada; en S03 la solución es transformar el predictor (por ejemplo, log de la inversión), no cambiar de familia de modelo. El diagnóstico formal (Breusch-Pagan, VIF, robustos) corresponde a S04; ver la guía de supuestos de la sesión.</w:t>
      </w:r>
    </w:p>
    <w:p>
      <w:pPr>
        <w:keepNext/>
        <w:spacing w:before="240" w:after="60"/>
        <w:pBdr>
          <w:bottom w:val="single" w:sz="6" w:space="2" w:color="E4002B"/>
        </w:pBdr>
      </w:pPr>
      <w:r>
        <w:rPr>
          <w:b/>
          <w:color w:val="E4002B"/>
          <w:sz w:val="30"/>
        </w:rPr>
        <w:t>7. Qué tan bien predice fuera de muestra</w:t>
      </w:r>
    </w:p>
    <w:p>
      <w:pPr>
        <w:jc w:val="both"/>
      </w:pPr>
      <w:r>
        <w:t>El modelo se valora por lo que predecirá mañana, no por lo que explica hoy. Se reporta el error sobre el conjunto de prueba (datos no vistos), en las unidades del negocio.</w:t>
      </w:r>
    </w:p>
    <w:p>
      <w:pPr>
        <w:jc w:val="both"/>
      </w:pPr>
      <w:r>
        <w:t xml:space="preserve">Las dos métricas se calculan sobre el conjunto que se indique, con la recta ajustada </w:t>
      </w:r>
      <w:r>
        <w:rPr>
          <w:b/>
        </w:rPr>
        <w:t>en train</w:t>
      </w:r>
      <w:r>
        <w:t>:</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907"/>
        <w:gridCol w:w="7597"/>
        <w:gridCol w:w="907"/>
      </w:tblGrid>
      <w:tr>
        <w:tc>
          <w:tcPr>
            <w:tcW w:type="dxa" w:w="907"/>
            <w:tcMar>
              <w:top w:w="30" w:type="dxa"/>
              <w:bottom w:w="30" w:type="dxa"/>
              <w:start w:w="40" w:type="dxa"/>
              <w:end w:w="40" w:type="dxa"/>
            </w:tcMar>
            <w:vAlign w:val="center"/>
          </w:tcPr>
          <w:p/>
        </w:tc>
        <w:tc>
          <w:tcPr>
            <w:tcW w:type="dxa" w:w="7597"/>
            <w:tcMar>
              <w:top w:w="30" w:type="dxa"/>
              <w:bottom w:w="30" w:type="dxa"/>
              <w:start w:w="40" w:type="dxa"/>
              <w:end w:w="40" w:type="dxa"/>
            </w:tcMar>
            <w:vAlign w:val="center"/>
          </w:tcPr>
          <w:p>
            <w:pPr>
              <w:spacing w:after="0"/>
              <w:jc w:val="center"/>
            </w:pPr>
            <w:r>
              <w:drawing>
                <wp:inline xmlns:a="http://schemas.openxmlformats.org/drawingml/2006/main" xmlns:pic="http://schemas.openxmlformats.org/drawingml/2006/picture">
                  <wp:extent cx="4688378" cy="698269"/>
                  <wp:docPr id="17" name="Picture 17"/>
                  <wp:cNvGraphicFramePr>
                    <a:graphicFrameLocks noChangeAspect="1"/>
                  </wp:cNvGraphicFramePr>
                  <a:graphic>
                    <a:graphicData uri="http://schemas.openxmlformats.org/drawingml/2006/picture">
                      <pic:pic>
                        <pic:nvPicPr>
                          <pic:cNvPr id="0" name="eq_9ba945eaeb80.png"/>
                          <pic:cNvPicPr/>
                        </pic:nvPicPr>
                        <pic:blipFill>
                          <a:blip r:embed="rId25"/>
                          <a:stretch>
                            <a:fillRect/>
                          </a:stretch>
                        </pic:blipFill>
                        <pic:spPr>
                          <a:xfrm>
                            <a:off x="0" y="0"/>
                            <a:ext cx="4688378" cy="698269"/>
                          </a:xfrm>
                          <a:prstGeom prst="rect"/>
                        </pic:spPr>
                      </pic:pic>
                    </a:graphicData>
                  </a:graphic>
                </wp:inline>
              </w:drawing>
            </w:r>
          </w:p>
        </w:tc>
        <w:tc>
          <w:tcPr>
            <w:tcW w:type="dxa" w:w="907"/>
            <w:tcMar>
              <w:top w:w="30" w:type="dxa"/>
              <w:bottom w:w="30" w:type="dxa"/>
              <w:start w:w="40" w:type="dxa"/>
              <w:end w:w="40" w:type="dxa"/>
            </w:tcMar>
            <w:vAlign w:val="center"/>
          </w:tcPr>
          <w:p>
            <w:pPr>
              <w:spacing w:after="0"/>
              <w:jc w:val="right"/>
            </w:pPr>
            <w:r>
              <w:rPr>
                <w:color w:val="2D2D2D"/>
                <w:sz w:val="21"/>
              </w:rPr>
              <w:t>(8)</w:t>
            </w:r>
          </w:p>
        </w:tc>
      </w:tr>
    </w:tbl>
    <w:p>
      <w:pPr>
        <w:spacing w:after="40"/>
      </w:pPr>
    </w:p>
    <w:p>
      <w:pPr>
        <w:jc w:val="both"/>
      </w:pPr>
      <w:r>
        <w:t xml:space="preserve">donde </w:t>
      </w:r>
      <w:r>
        <w:rPr>
          <w:i/>
        </w:rPr>
        <w:t>m</w:t>
      </w:r>
      <w:r>
        <w:t xml:space="preserve"> es el tamaño del conjunto evaluado. El RMSE eleva al cuadrado antes de promediar, así que un error grande pesa desproporcionadamente; por eso </w:t>
      </w:r>
      <w:r>
        <w:rPr>
          <w:b/>
        </w:rPr>
        <w:t>RMSE ≥ MAE siempre</w:t>
      </w:r>
      <w:r>
        <w:t xml:space="preserve">, y la brecha entre ambos mide cuánto pesan los errores extremos. </w:t>
      </w:r>
      <w:r>
        <w:rPr>
          <w:i/>
        </w:rPr>
        <w:t xml:space="preserve">(Ejemplo de cálculo manual: con errores (+2, −1, +3, −2), MAE = 8/4 = </w:t>
      </w:r>
      <w:r>
        <w:rPr>
          <w:i/>
        </w:rPr>
        <w:t>2,00</w:t>
      </w:r>
      <w:r>
        <w:rPr>
          <w:i/>
        </w:rPr>
        <w:t xml:space="preserve"> y RMSE = √(18/4) = </w:t>
      </w:r>
      <w:r>
        <w:rPr>
          <w:i/>
        </w:rPr>
        <w:t>2,12</w:t>
      </w:r>
      <w:r>
        <w:rPr>
          <w:i/>
        </w:rPr>
        <w:t>.)</w:t>
      </w:r>
      <w:r>
        <w:t xml:space="preserve"> Se reportan </w:t>
      </w:r>
      <w:r>
        <w:rPr>
          <w:b/>
        </w:rPr>
        <w:t>las cuatro cifras</w:t>
      </w:r>
      <w:r>
        <w:t xml:space="preserve"> —ambas métricas en ambos conjuntos—, porque la comparación train↔test es la que revela el sobreajuste:</w:t>
      </w:r>
    </w:p>
    <w:tbl>
      <w:tblPr>
        <w:tblStyle w:val="TableGrid"/>
        <w:tblW w:type="auto" w:w="0"/>
        <w:tblLayout w:type="autofit"/>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Pr>
      <w:tblGrid>
        <w:gridCol w:w="2436"/>
        <w:gridCol w:w="2436"/>
        <w:gridCol w:w="2436"/>
        <w:gridCol w:w="2436"/>
      </w:tblGrid>
      <w:tr>
        <w:tc>
          <w:tcPr>
            <w:tcW w:type="dxa" w:w="2436"/>
            <w:tcMar>
              <w:top w:w="60" w:type="dxa"/>
              <w:bottom w:w="60" w:type="dxa"/>
              <w:start w:w="110" w:type="dxa"/>
              <w:end w:w="110" w:type="dxa"/>
            </w:tcMar>
            <w:vAlign w:val="center"/>
            <w:shd w:val="clear" w:color="auto" w:fill="E4002B"/>
          </w:tcPr>
          <w:p>
            <w:pPr>
              <w:spacing w:after="0"/>
            </w:pPr>
            <w:r/>
            <w:r>
              <w:rPr>
                <w:b/>
                <w:color w:val="FFFFFF"/>
                <w:sz w:val="19"/>
              </w:rPr>
              <w:t>Métrica</w:t>
            </w:r>
          </w:p>
        </w:tc>
        <w:tc>
          <w:tcPr>
            <w:tcW w:type="dxa" w:w="2436"/>
            <w:tcMar>
              <w:top w:w="60" w:type="dxa"/>
              <w:bottom w:w="60" w:type="dxa"/>
              <w:start w:w="110" w:type="dxa"/>
              <w:end w:w="110" w:type="dxa"/>
            </w:tcMar>
            <w:vAlign w:val="center"/>
            <w:shd w:val="clear" w:color="auto" w:fill="E4002B"/>
          </w:tcPr>
          <w:p>
            <w:pPr>
              <w:spacing w:after="0"/>
            </w:pPr>
            <w:r/>
            <w:r>
              <w:rPr>
                <w:b/>
                <w:color w:val="FFFFFF"/>
                <w:sz w:val="19"/>
              </w:rPr>
              <w:t>Entrenamiento</w:t>
            </w:r>
          </w:p>
        </w:tc>
        <w:tc>
          <w:tcPr>
            <w:tcW w:type="dxa" w:w="2436"/>
            <w:tcMar>
              <w:top w:w="60" w:type="dxa"/>
              <w:bottom w:w="60" w:type="dxa"/>
              <w:start w:w="110" w:type="dxa"/>
              <w:end w:w="110" w:type="dxa"/>
            </w:tcMar>
            <w:vAlign w:val="center"/>
            <w:shd w:val="clear" w:color="auto" w:fill="E4002B"/>
          </w:tcPr>
          <w:p>
            <w:pPr>
              <w:spacing w:after="0"/>
            </w:pPr>
            <w:r/>
            <w:r>
              <w:rPr>
                <w:b/>
                <w:color w:val="FFFFFF"/>
                <w:sz w:val="19"/>
              </w:rPr>
              <w:t>Prueba</w:t>
            </w:r>
          </w:p>
        </w:tc>
        <w:tc>
          <w:tcPr>
            <w:tcW w:type="dxa" w:w="2436"/>
            <w:tcMar>
              <w:top w:w="60" w:type="dxa"/>
              <w:bottom w:w="60" w:type="dxa"/>
              <w:start w:w="110" w:type="dxa"/>
              <w:end w:w="110" w:type="dxa"/>
            </w:tcMar>
            <w:vAlign w:val="center"/>
            <w:shd w:val="clear" w:color="auto" w:fill="E4002B"/>
          </w:tcPr>
          <w:p>
            <w:pPr>
              <w:spacing w:after="0"/>
            </w:pPr>
            <w:r/>
            <w:r>
              <w:rPr>
                <w:b/>
                <w:color w:val="FFFFFF"/>
                <w:sz w:val="19"/>
              </w:rPr>
              <w:t>Lectura de negocio</w:t>
            </w:r>
          </w:p>
        </w:tc>
      </w:tr>
      <w:tr>
        <w:tc>
          <w:tcPr>
            <w:tcW w:type="dxa" w:w="2436"/>
            <w:tcMar>
              <w:top w:w="60" w:type="dxa"/>
              <w:bottom w:w="60" w:type="dxa"/>
              <w:start w:w="110" w:type="dxa"/>
              <w:end w:w="110" w:type="dxa"/>
            </w:tcMar>
            <w:vAlign w:val="center"/>
          </w:tcPr>
          <w:p>
            <w:pPr>
              <w:spacing w:after="0"/>
            </w:pPr>
            <w:r>
              <w:rPr>
                <w:sz w:val="19"/>
              </w:rPr>
            </w:r>
            <w:r>
              <w:rPr>
                <w:sz w:val="19"/>
              </w:rPr>
              <w:t>RMSE (8)</w:t>
            </w:r>
          </w:p>
        </w:tc>
        <w:tc>
          <w:tcPr>
            <w:tcW w:type="dxa" w:w="2436"/>
            <w:tcMar>
              <w:top w:w="60" w:type="dxa"/>
              <w:bottom w:w="60" w:type="dxa"/>
              <w:start w:w="110" w:type="dxa"/>
              <w:end w:w="110" w:type="dxa"/>
            </w:tcMar>
            <w:vAlign w:val="center"/>
          </w:tcPr>
          <w:p>
            <w:pPr>
              <w:spacing w:after="0"/>
            </w:pPr>
            <w:r>
              <w:rPr>
                <w:sz w:val="19"/>
              </w:rPr>
            </w:r>
          </w:p>
        </w:tc>
        <w:tc>
          <w:tcPr>
            <w:tcW w:type="dxa" w:w="2436"/>
            <w:tcMar>
              <w:top w:w="60" w:type="dxa"/>
              <w:bottom w:w="60" w:type="dxa"/>
              <w:start w:w="110" w:type="dxa"/>
              <w:end w:w="110" w:type="dxa"/>
            </w:tcMar>
            <w:vAlign w:val="center"/>
          </w:tcPr>
          <w:p>
            <w:pPr>
              <w:spacing w:after="0"/>
            </w:pPr>
            <w:r>
              <w:rPr>
                <w:sz w:val="19"/>
              </w:rPr>
            </w:r>
          </w:p>
        </w:tc>
        <w:tc>
          <w:tcPr>
            <w:tcW w:type="dxa" w:w="2436"/>
            <w:tcMar>
              <w:top w:w="60" w:type="dxa"/>
              <w:bottom w:w="60" w:type="dxa"/>
              <w:start w:w="110" w:type="dxa"/>
              <w:end w:w="110" w:type="dxa"/>
            </w:tcMar>
            <w:vAlign w:val="center"/>
          </w:tcPr>
          <w:p>
            <w:pPr>
              <w:spacing w:after="0"/>
            </w:pPr>
            <w:r>
              <w:rPr>
                <w:sz w:val="19"/>
              </w:rPr>
            </w:r>
            <w:r>
              <w:rPr>
                <w:sz w:val="19"/>
              </w:rPr>
              <w:t>Error típico; penaliza más los errores grandes</w:t>
            </w:r>
          </w:p>
        </w:tc>
      </w:tr>
      <w:tr>
        <w:tc>
          <w:tcPr>
            <w:tcW w:type="dxa" w:w="2436"/>
            <w:tcMar>
              <w:top w:w="60" w:type="dxa"/>
              <w:bottom w:w="60" w:type="dxa"/>
              <w:start w:w="110" w:type="dxa"/>
              <w:end w:w="110" w:type="dxa"/>
            </w:tcMar>
            <w:vAlign w:val="center"/>
            <w:shd w:val="clear" w:color="auto" w:fill="FCEDEE"/>
          </w:tcPr>
          <w:p>
            <w:pPr>
              <w:spacing w:after="0"/>
            </w:pPr>
            <w:r>
              <w:rPr>
                <w:sz w:val="19"/>
              </w:rPr>
            </w:r>
            <w:r>
              <w:rPr>
                <w:sz w:val="19"/>
              </w:rPr>
              <w:t>MAE (8)</w:t>
            </w:r>
          </w:p>
        </w:tc>
        <w:tc>
          <w:tcPr>
            <w:tcW w:type="dxa" w:w="2436"/>
            <w:tcMar>
              <w:top w:w="60" w:type="dxa"/>
              <w:bottom w:w="60" w:type="dxa"/>
              <w:start w:w="110" w:type="dxa"/>
              <w:end w:w="110" w:type="dxa"/>
            </w:tcMar>
            <w:vAlign w:val="center"/>
            <w:shd w:val="clear" w:color="auto" w:fill="FCEDEE"/>
          </w:tcPr>
          <w:p>
            <w:pPr>
              <w:spacing w:after="0"/>
            </w:pPr>
            <w:r>
              <w:rPr>
                <w:sz w:val="19"/>
              </w:rPr>
            </w:r>
          </w:p>
        </w:tc>
        <w:tc>
          <w:tcPr>
            <w:tcW w:type="dxa" w:w="2436"/>
            <w:tcMar>
              <w:top w:w="60" w:type="dxa"/>
              <w:bottom w:w="60" w:type="dxa"/>
              <w:start w:w="110" w:type="dxa"/>
              <w:end w:w="110" w:type="dxa"/>
            </w:tcMar>
            <w:vAlign w:val="center"/>
            <w:shd w:val="clear" w:color="auto" w:fill="FCEDEE"/>
          </w:tcPr>
          <w:p>
            <w:pPr>
              <w:spacing w:after="0"/>
            </w:pPr>
            <w:r>
              <w:rPr>
                <w:sz w:val="19"/>
              </w:rPr>
            </w:r>
          </w:p>
        </w:tc>
        <w:tc>
          <w:tcPr>
            <w:tcW w:type="dxa" w:w="2436"/>
            <w:tcMar>
              <w:top w:w="60" w:type="dxa"/>
              <w:bottom w:w="60" w:type="dxa"/>
              <w:start w:w="110" w:type="dxa"/>
              <w:end w:w="110" w:type="dxa"/>
            </w:tcMar>
            <w:vAlign w:val="center"/>
            <w:shd w:val="clear" w:color="auto" w:fill="FCEDEE"/>
          </w:tcPr>
          <w:p>
            <w:pPr>
              <w:spacing w:after="0"/>
            </w:pPr>
            <w:r>
              <w:rPr>
                <w:sz w:val="19"/>
              </w:rPr>
            </w:r>
            <w:r>
              <w:rPr>
                <w:sz w:val="19"/>
              </w:rPr>
              <w:t>"En promedio nos equivocamos en ___ [unidad de Y]"</w:t>
            </w:r>
          </w:p>
        </w:tc>
      </w:tr>
      <w:tr>
        <w:tc>
          <w:tcPr>
            <w:tcW w:type="dxa" w:w="2436"/>
            <w:tcMar>
              <w:top w:w="60" w:type="dxa"/>
              <w:bottom w:w="60" w:type="dxa"/>
              <w:start w:w="110" w:type="dxa"/>
              <w:end w:w="110" w:type="dxa"/>
            </w:tcMar>
            <w:vAlign w:val="center"/>
          </w:tcPr>
          <w:p>
            <w:pPr>
              <w:spacing w:after="0"/>
            </w:pPr>
            <w:r>
              <w:rPr>
                <w:sz w:val="19"/>
              </w:rPr>
            </w:r>
            <w:r>
              <w:rPr>
                <w:sz w:val="19"/>
              </w:rPr>
              <w:t>R²</w:t>
            </w:r>
          </w:p>
        </w:tc>
        <w:tc>
          <w:tcPr>
            <w:tcW w:type="dxa" w:w="2436"/>
            <w:tcMar>
              <w:top w:w="60" w:type="dxa"/>
              <w:bottom w:w="60" w:type="dxa"/>
              <w:start w:w="110" w:type="dxa"/>
              <w:end w:w="110" w:type="dxa"/>
            </w:tcMar>
            <w:vAlign w:val="center"/>
          </w:tcPr>
          <w:p>
            <w:pPr>
              <w:spacing w:after="0"/>
            </w:pPr>
            <w:r>
              <w:rPr>
                <w:sz w:val="19"/>
              </w:rPr>
            </w:r>
          </w:p>
        </w:tc>
        <w:tc>
          <w:tcPr>
            <w:tcW w:type="dxa" w:w="2436"/>
            <w:tcMar>
              <w:top w:w="60" w:type="dxa"/>
              <w:bottom w:w="60" w:type="dxa"/>
              <w:start w:w="110" w:type="dxa"/>
              <w:end w:w="110" w:type="dxa"/>
            </w:tcMar>
            <w:vAlign w:val="center"/>
          </w:tcPr>
          <w:p>
            <w:pPr>
              <w:spacing w:after="0"/>
            </w:pPr>
            <w:r>
              <w:rPr>
                <w:sz w:val="19"/>
              </w:rPr>
            </w:r>
          </w:p>
        </w:tc>
        <w:tc>
          <w:tcPr>
            <w:tcW w:type="dxa" w:w="2436"/>
            <w:tcMar>
              <w:top w:w="60" w:type="dxa"/>
              <w:bottom w:w="60" w:type="dxa"/>
              <w:start w:w="110" w:type="dxa"/>
              <w:end w:w="110" w:type="dxa"/>
            </w:tcMar>
            <w:vAlign w:val="center"/>
          </w:tcPr>
          <w:p>
            <w:pPr>
              <w:spacing w:after="0"/>
            </w:pPr>
            <w:r>
              <w:rPr>
                <w:sz w:val="19"/>
              </w:rPr>
            </w:r>
            <w:r>
              <w:rPr>
                <w:sz w:val="19"/>
              </w:rPr>
              <w:t>El de test estima el desempeño futuro; el de train, no</w:t>
            </w:r>
          </w:p>
        </w:tc>
      </w:tr>
      <w:tr>
        <w:tc>
          <w:tcPr>
            <w:tcW w:type="dxa" w:w="2436"/>
            <w:tcMar>
              <w:top w:w="60" w:type="dxa"/>
              <w:bottom w:w="60" w:type="dxa"/>
              <w:start w:w="110" w:type="dxa"/>
              <w:end w:w="110" w:type="dxa"/>
            </w:tcMar>
            <w:vAlign w:val="center"/>
            <w:shd w:val="clear" w:color="auto" w:fill="FCEDEE"/>
          </w:tcPr>
          <w:p>
            <w:pPr>
              <w:spacing w:after="0"/>
            </w:pPr>
            <w:r>
              <w:rPr>
                <w:sz w:val="19"/>
              </w:rPr>
            </w:r>
            <w:r>
              <w:rPr>
                <w:sz w:val="19"/>
              </w:rPr>
              <w:t>Semilla de la partición</w:t>
            </w:r>
          </w:p>
        </w:tc>
        <w:tc>
          <w:tcPr>
            <w:tcW w:type="dxa" w:w="2436"/>
            <w:tcMar>
              <w:top w:w="60" w:type="dxa"/>
              <w:bottom w:w="60" w:type="dxa"/>
              <w:start w:w="110" w:type="dxa"/>
              <w:end w:w="110" w:type="dxa"/>
            </w:tcMar>
            <w:vAlign w:val="center"/>
            <w:shd w:val="clear" w:color="auto" w:fill="FCEDEE"/>
          </w:tcPr>
          <w:p>
            <w:pPr>
              <w:spacing w:after="0"/>
            </w:pPr>
            <w:r>
              <w:rPr>
                <w:sz w:val="19"/>
              </w:rPr>
            </w:r>
          </w:p>
        </w:tc>
        <w:tc>
          <w:tcPr>
            <w:tcW w:type="dxa" w:w="2436"/>
            <w:tcMar>
              <w:top w:w="60" w:type="dxa"/>
              <w:bottom w:w="60" w:type="dxa"/>
              <w:start w:w="110" w:type="dxa"/>
              <w:end w:w="110" w:type="dxa"/>
            </w:tcMar>
            <w:vAlign w:val="center"/>
            <w:shd w:val="clear" w:color="auto" w:fill="FCEDEE"/>
          </w:tcPr>
          <w:p>
            <w:pPr>
              <w:spacing w:after="0"/>
            </w:pPr>
            <w:r>
              <w:rPr>
                <w:sz w:val="19"/>
              </w:rPr>
            </w:r>
          </w:p>
        </w:tc>
        <w:tc>
          <w:tcPr>
            <w:tcW w:type="dxa" w:w="2436"/>
            <w:tcMar>
              <w:top w:w="60" w:type="dxa"/>
              <w:bottom w:w="60" w:type="dxa"/>
              <w:start w:w="110" w:type="dxa"/>
              <w:end w:w="110" w:type="dxa"/>
            </w:tcMar>
            <w:vAlign w:val="center"/>
            <w:shd w:val="clear" w:color="auto" w:fill="FCEDEE"/>
          </w:tcPr>
          <w:p>
            <w:pPr>
              <w:spacing w:after="0"/>
            </w:pPr>
            <w:r>
              <w:rPr>
                <w:sz w:val="19"/>
              </w:rPr>
            </w:r>
            <w:r>
              <w:rPr>
                <w:sz w:val="19"/>
              </w:rPr>
              <w:t>Toda cifra de esta tabla se cita con su semilla</w:t>
            </w:r>
          </w:p>
        </w:tc>
      </w:tr>
    </w:tbl>
    <w:p>
      <w:pPr>
        <w:spacing w:after="40"/>
      </w:pPr>
    </w:p>
    <w:p>
      <w:pPr>
        <w:pStyle w:val="ListBullet"/>
        <w:spacing w:after="40"/>
      </w:pPr>
      <w:r>
        <w:rPr>
          <w:b/>
        </w:rPr>
        <w:t>Conclusión sobre estabilidad:</w:t>
      </w:r>
      <w:r>
        <w:t xml:space="preserve"> ¿train y test son </w:t>
      </w:r>
      <w:r>
        <w:rPr>
          <w:b/>
        </w:rPr>
        <w:t>prácticamente iguales</w:t>
      </w:r>
      <w:r>
        <w:t>? Sí / No. Si difieren mucho: sobreajuste; la decisión es frágil.</w:t>
      </w:r>
    </w:p>
    <w:p>
      <w:pPr>
        <w:spacing w:before="80" w:after="160" w:line="288" w:lineRule="auto"/>
        <w:ind w:left="85" w:right="85"/>
        <w:shd w:val="clear" w:color="auto" w:fill="F4F4F4"/>
        <w:pBdr>
          <w:left w:val="single" w:sz="24" w:space="10" w:color="E4002B"/>
        </w:pBdr>
      </w:pPr>
      <w:r>
        <w:rPr>
          <w:b/>
          <w:color w:val="2D2D2D"/>
        </w:rPr>
        <w:t>Advertencia de redacción (se califica).</w:t>
      </w:r>
      <w:r>
        <w:rPr>
          <w:color w:val="2D2D2D"/>
        </w:rPr>
        <w:t xml:space="preserve"> Estos valores dependen de la partición: cambiar la semilla los mueve. Por eso cada cifra se cita </w:t>
      </w:r>
      <w:r>
        <w:rPr>
          <w:b/>
          <w:color w:val="2D2D2D"/>
        </w:rPr>
        <w:t>con su semilla</w:t>
      </w:r>
      <w:r>
        <w:rPr>
          <w:color w:val="2D2D2D"/>
        </w:rPr>
        <w:t xml:space="preserve"> y la comparación se enuncia como «train y test son </w:t>
      </w:r>
      <w:r>
        <w:rPr>
          <w:b/>
          <w:color w:val="2D2D2D"/>
        </w:rPr>
        <w:t>prácticamente iguales</w:t>
      </w:r>
      <w:r>
        <w:rPr>
          <w:color w:val="2D2D2D"/>
        </w:rPr>
        <w:t xml:space="preserve">, sin sobreajuste». </w:t>
      </w:r>
      <w:r>
        <w:rPr>
          <w:b/>
          <w:color w:val="2D2D2D"/>
        </w:rPr>
        <w:t>No</w:t>
      </w:r>
      <w:r>
        <w:rPr>
          <w:color w:val="2D2D2D"/>
        </w:rPr>
        <w:t xml:space="preserve"> se escribe «el error de prueba es igual o </w:t>
      </w:r>
      <w:r>
        <w:rPr>
          <w:b/>
          <w:color w:val="2D2D2D"/>
        </w:rPr>
        <w:t>mejor</w:t>
      </w:r>
      <w:r>
        <w:rPr>
          <w:color w:val="2D2D2D"/>
        </w:rPr>
        <w:t xml:space="preserve"> que el de entrenamiento»: esa afirmación no resiste el cambio de semilla, aunque sea cierta en la partición reportada.</w:t>
      </w:r>
    </w:p>
    <w:p>
      <w:pPr>
        <w:keepNext/>
        <w:spacing w:before="240" w:after="60"/>
        <w:pBdr>
          <w:bottom w:val="single" w:sz="6" w:space="2" w:color="E4002B"/>
        </w:pBdr>
      </w:pPr>
      <w:r>
        <w:rPr>
          <w:b/>
          <w:color w:val="E4002B"/>
          <w:sz w:val="30"/>
        </w:rPr>
        <w:t>8. Recomendación y riesgos</w:t>
      </w:r>
    </w:p>
    <w:p>
      <w:pPr>
        <w:pStyle w:val="ListBullet"/>
        <w:spacing w:after="40"/>
      </w:pPr>
      <w:r>
        <w:rPr>
          <w:b/>
        </w:rPr>
        <w:t>Recomendación (una frase accionable):</w:t>
      </w:r>
    </w:p>
    <w:p>
      <w:pPr>
        <w:pStyle w:val="ListBullet"/>
        <w:spacing w:after="40"/>
      </w:pPr>
      <w:r>
        <w:rPr>
          <w:b/>
        </w:rPr>
        <w:t>Riesgos y límites que se deben declarar:</w:t>
      </w:r>
    </w:p>
    <w:p>
      <w:pPr>
        <w:jc w:val="both"/>
      </w:pPr>
      <w:r>
        <w:t xml:space="preserve"> - </w:t>
      </w:r>
      <w:r>
        <w:rPr>
          <w:b/>
        </w:rPr>
        <w:t>Regresión ≠ causalidad:</w:t>
      </w:r>
      <w:r>
        <w:t xml:space="preserve"> un β₁ significativo no prueba que </w:t>
      </w:r>
      <w:r>
        <w:rPr>
          <w:rFonts w:ascii="Consolas" w:hAnsi="Consolas"/>
          <w:color w:val="9B1B30"/>
          <w:sz w:val="19"/>
        </w:rPr>
        <w:t>X</w:t>
      </w:r>
      <w:r>
        <w:t xml:space="preserve"> cause </w:t>
      </w:r>
      <w:r>
        <w:rPr>
          <w:rFonts w:ascii="Consolas" w:hAnsi="Consolas"/>
          <w:color w:val="9B1B30"/>
          <w:sz w:val="19"/>
        </w:rPr>
        <w:t>Y</w:t>
      </w:r>
      <w:r>
        <w:t xml:space="preserve">; puede haber factores omitidos (supuesto de exogeneidad, «Sección 6»).  - </w:t>
      </w:r>
      <w:r>
        <w:rPr>
          <w:b/>
        </w:rPr>
        <w:t>Rango válido:</w:t>
      </w:r>
      <w:r>
        <w:t xml:space="preserve"> la regla solo aplica dentro del rango de </w:t>
      </w:r>
      <w:r>
        <w:rPr>
          <w:rFonts w:ascii="Consolas" w:hAnsi="Consolas"/>
          <w:color w:val="9B1B30"/>
          <w:sz w:val="19"/>
        </w:rPr>
        <w:t>X</w:t>
      </w:r>
      <w:r>
        <w:t xml:space="preserve"> observado; extrapolar fuera de él no es fiable.  - </w:t>
      </w:r>
      <w:r>
        <w:rPr>
          <w:b/>
        </w:rPr>
        <w:t>Regresión a la media:</w:t>
      </w:r>
      <w:r>
        <w:t xml:space="preserve"> un caso extremo (una tienda récord, un trimestre estelar) tiende a atenuarse al volver a medirlo, por reversión estadística, no por una intervención. No atribuirlo a una campaña. Es consecuencia directa de una pendiente estandarizada </w:t>
      </w:r>
      <w:r>
        <w:rPr>
          <w:rFonts w:ascii="Consolas" w:hAnsi="Consolas"/>
          <w:color w:val="9B1B30"/>
          <w:sz w:val="19"/>
        </w:rPr>
        <w:t>r &lt; 1</w:t>
      </w:r>
      <w:r>
        <w:t xml:space="preserve"> en (2).  - </w:t>
      </w:r>
      <w:r>
        <w:rPr>
          <w:b/>
        </w:rPr>
        <w:t>Intervalo correcto según la pregunta:</w:t>
      </w:r>
      <w:r>
        <w:t xml:space="preserve"> para "¿cuánto en promedio?" se usa el IC de la media (estrecho); para "¿cuánto este caso concreto?" se usa el intervalo de predicción (mucho más ancho). Reportar el estrecho cuando corresponde el ancho transmite falsa precisión.</w:t>
      </w:r>
    </w:p>
    <w:p>
      <w:pPr>
        <w:spacing w:before="40" w:after="40"/>
        <w:pBdr>
          <w:bottom w:val="single" w:sz="6" w:space="1" w:color="D9D9D9"/>
        </w:pBdr>
      </w:pPr>
    </w:p>
    <w:p>
      <w:pPr>
        <w:keepNext/>
        <w:spacing w:before="240" w:after="60"/>
        <w:pBdr>
          <w:bottom w:val="single" w:sz="6" w:space="2" w:color="E4002B"/>
        </w:pBdr>
      </w:pPr>
      <w:r>
        <w:rPr>
          <w:b/>
          <w:color w:val="E4002B"/>
          <w:sz w:val="30"/>
        </w:rPr>
        <w:t>Checklist antes de entregar</w:t>
      </w:r>
    </w:p>
    <w:p>
      <w:pPr>
        <w:pStyle w:val="ListBullet"/>
        <w:spacing w:after="40"/>
      </w:pPr>
      <w:r>
        <w:t>[ ] 1. ¿β₁ tiene el signo y el tamaño esperados en unidades de negocio?</w:t>
      </w:r>
    </w:p>
    <w:p>
      <w:pPr>
        <w:pStyle w:val="ListBullet"/>
        <w:spacing w:after="40"/>
      </w:pPr>
      <w:r>
        <w:t>[ ] 2. ¿El intervalo de confianza de β₁ (ecuación de «Sección 4») excluye el 0 y el p-valor es pequeño?</w:t>
      </w:r>
    </w:p>
    <w:p>
      <w:pPr>
        <w:pStyle w:val="ListBullet"/>
        <w:spacing w:after="40"/>
      </w:pPr>
      <w:r>
        <w:t>[ ] 3. ¿β₀ es interpretable o solo un ancla? (no sobreinterpretar)</w:t>
      </w:r>
    </w:p>
    <w:p>
      <w:pPr>
        <w:pStyle w:val="ListBullet"/>
        <w:spacing w:after="40"/>
      </w:pPr>
      <w:r>
        <w:t>[ ] 4. ¿Se reportó qué fracción explica el R² y se contextualizó (bajo ≠ inútil)?</w:t>
      </w:r>
    </w:p>
    <w:p>
      <w:pPr>
        <w:pStyle w:val="ListBullet"/>
        <w:spacing w:after="40"/>
      </w:pPr>
      <w:r>
        <w:t>[ ] 5. ¿Los residuales no muestran patrón (semáforo y tabla de supuestos de «Sección 6» revisados)?</w:t>
      </w:r>
    </w:p>
    <w:p>
      <w:pPr>
        <w:pStyle w:val="ListBullet"/>
        <w:spacing w:after="40"/>
      </w:pPr>
      <w:r>
        <w:t>[ ] 6. ¿Se usó el intervalo correcto (media vs. predicción) según la pregunta?</w:t>
      </w:r>
    </w:p>
    <w:p>
      <w:pPr>
        <w:pStyle w:val="ListBullet"/>
        <w:spacing w:after="40"/>
      </w:pPr>
      <w:r>
        <w:t xml:space="preserve">[ ] 7. ¿Se reportaron </w:t>
      </w:r>
      <w:r>
        <w:rPr>
          <w:b/>
        </w:rPr>
        <w:t>las cuatro</w:t>
      </w:r>
      <w:r>
        <w:t xml:space="preserve"> métricas (RMSE y MAE de train </w:t>
      </w:r>
      <w:r>
        <w:rPr>
          <w:b/>
        </w:rPr>
        <w:t>y</w:t>
      </w:r>
      <w:r>
        <w:t xml:space="preserve"> test), con su semilla, y la comparación se enunció como «prácticamente iguales»?</w:t>
      </w:r>
    </w:p>
    <w:p>
      <w:pPr>
        <w:pStyle w:val="ListBullet"/>
        <w:spacing w:after="40"/>
      </w:pPr>
      <w:r>
        <w:t>[ ] 8. ¿Se declararon los riesgos (causalidad, rango, regresión a la media)?</w:t>
      </w:r>
    </w:p>
    <w:p>
      <w:pPr>
        <w:spacing w:before="40" w:after="40"/>
        <w:pBdr>
          <w:bottom w:val="single" w:sz="6" w:space="1" w:color="D9D9D9"/>
        </w:pBdr>
      </w:pPr>
    </w:p>
    <w:p>
      <w:pPr>
        <w:spacing w:before="80" w:after="80" w:line="288" w:lineRule="auto"/>
        <w:ind w:left="85" w:right="85"/>
        <w:shd w:val="clear" w:color="auto" w:fill="F4F4F4"/>
        <w:pBdr>
          <w:left w:val="single" w:sz="24" w:space="10" w:color="E4002B"/>
        </w:pBdr>
      </w:pPr>
      <w:r>
        <w:rPr>
          <w:b/>
          <w:color w:val="2D2D2D"/>
        </w:rPr>
        <w:t>Uso en la sesión.</w:t>
      </w:r>
      <w:r>
        <w:rPr>
          <w:color w:val="2D2D2D"/>
        </w:rPr>
        <w:t xml:space="preserve"> Esta plantilla se completa con los resultados del cuaderno </w:t>
      </w:r>
      <w:r>
        <w:rPr>
          <w:rFonts w:ascii="Consolas" w:hAnsi="Consolas"/>
          <w:color w:val="2D2D2D"/>
          <w:sz w:val="19"/>
        </w:rPr>
        <w:t>notebook/S03_ols.ipynb</w:t>
      </w:r>
      <w:r>
        <w:rPr>
          <w:color w:val="2D2D2D"/>
        </w:rPr>
        <w:t xml:space="preserve"> (ajuste OLS, summary, diagnóstico de residuales, partición train/test y métricas exportadas a </w:t>
      </w:r>
      <w:r>
        <w:rPr>
          <w:rFonts w:ascii="Consolas" w:hAnsi="Consolas"/>
          <w:color w:val="2D2D2D"/>
          <w:sz w:val="19"/>
        </w:rPr>
        <w:t>resultados/S03_resultados.xlsx</w:t>
      </w:r>
      <w:r>
        <w:rPr>
          <w:color w:val="2D2D2D"/>
        </w:rPr>
        <w:t xml:space="preserve">). Su versión completada acompaña al entregable </w:t>
      </w:r>
      <w:r>
        <w:rPr>
          <w:rFonts w:ascii="Consolas" w:hAnsi="Consolas"/>
          <w:color w:val="2D2D2D"/>
          <w:sz w:val="19"/>
        </w:rPr>
        <w:t>evaluacion/entregable.docx</w:t>
      </w:r>
      <w:r>
        <w:rPr>
          <w:color w:val="2D2D2D"/>
        </w:rPr>
        <w:t xml:space="preserve"> como el informe gerencial del modelo </w:t>
      </w:r>
      <w:r>
        <w:rPr>
          <w:rFonts w:ascii="Consolas" w:hAnsi="Consolas"/>
          <w:color w:val="2D2D2D"/>
          <w:sz w:val="19"/>
        </w:rPr>
        <w:t>ventas ~ un canal</w:t>
      </w:r>
      <w:r>
        <w:rPr>
          <w:color w:val="2D2D2D"/>
        </w:rPr>
        <w:t xml:space="preserve"> sobre el dataset Advertising. La lectura de los gráficos de residuales de «Sección 6» se apoya en </w:t>
      </w:r>
      <w:r>
        <w:rPr>
          <w:rFonts w:ascii="Consolas" w:hAnsi="Consolas"/>
          <w:color w:val="2D2D2D"/>
          <w:sz w:val="19"/>
        </w:rPr>
        <w:t>plantillas/guia_residuales.docx</w:t>
      </w:r>
      <w:r>
        <w:rPr>
          <w:color w:val="2D2D2D"/>
        </w:rPr>
        <w:t>.</w:t>
      </w:r>
    </w:p>
    <w:p>
      <w:pPr>
        <w:spacing w:before="0" w:after="160" w:line="288" w:lineRule="auto"/>
        <w:ind w:left="85" w:right="85"/>
        <w:shd w:val="clear" w:color="auto" w:fill="F4F4F4"/>
        <w:pBdr>
          <w:left w:val="single" w:sz="24" w:space="10" w:color="E4002B"/>
        </w:pBdr>
      </w:pPr>
      <w:r>
        <w:rPr>
          <w:color w:val="2D2D2D"/>
        </w:rPr>
        <w:t>Derivado de el glosario de la sesión («Sección 2» OLS y solución cerrada, «Sección 3» coeficientes, «Sección 7» R², «Sección 8» error estándar y t, «Sección 10» RMSE/MAE, «Sección 11» train/test, «Sección 12» regresión a la media), la guía de interpretación de resultados («Sección 3» IC media vs. predicción, «Sección 4» error fuera de muestra, «Sección 5» checklist de lectura) e la guía de supuestos de la sesión (fuente única de supuestos: Gauss-Markov, normalidad, influencia y lección de Anscombe). Marco: ISLR cap. 3.1 y 3.3 (statlearning.com).</w:t>
      </w:r>
    </w:p>
    <w:sectPr w:rsidR="00FC693F" w:rsidRPr="0006063C" w:rsidSect="00034616">
      <w:headerReference w:type="default" r:id="rId26"/>
      <w:footerReference w:type="default" r:id="rId27"/>
      <w:pgSz w:w="12240" w:h="15840"/>
      <w:pgMar w:top="1134" w:right="1247" w:bottom="1020"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2" w:color="D9D9D9"/>
      </w:pBdr>
    </w:pPr>
    <w:r>
      <w:rPr>
        <w:color w:val="6E6E6E"/>
        <w:sz w:val="16"/>
      </w:rPr>
      <w:t xml:space="preserve">Herramientas para la Ciencia de Datos, UPC, Facultad de Negocios     |     </w:t>
    </w:r>
    <w:r>
      <w:rPr>
        <w:color w:val="6E6E6E"/>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E4002B"/>
      </w:pBdr>
    </w:pPr>
    <w:r>
      <w:rPr>
        <w:color w:val="6E6E6E"/>
        <w:sz w:val="16"/>
      </w:rPr>
      <w:t>Reporte de regresión para audiencia gerencial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color w:val="2D2D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header" Target="header1.xm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