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ind w:left="113"/>
        <w:shd w:val="clear" w:color="auto" w:fill="E4002B"/>
        <w:pBdr>
          <w:top w:val="single" w:sz="18" w:space="6" w:color="E4002B"/>
          <w:bottom w:val="single" w:sz="18" w:space="6" w:color="E4002B"/>
          <w:left w:val="single" w:sz="18" w:space="6" w:color="E4002B"/>
          <w:right w:val="single" w:sz="18" w:space="6" w:color="E4002B"/>
        </w:pBdr>
      </w:pPr>
      <w:r>
        <w:rPr>
          <w:b/>
          <w:color w:val="FFFFFF"/>
          <w:sz w:val="40"/>
        </w:rPr>
        <w:t>Checklist de diagnóstico de regresión múltiple</w:t>
      </w:r>
    </w:p>
    <w:p>
      <w:pPr>
        <w:spacing w:before="80" w:after="160" w:line="288" w:lineRule="auto"/>
        <w:ind w:left="85" w:right="85"/>
        <w:shd w:val="clear" w:color="auto" w:fill="F4F4F4"/>
        <w:pBdr>
          <w:left w:val="single" w:sz="24" w:space="10" w:color="E4002B"/>
        </w:pBdr>
      </w:pPr>
      <w:r>
        <w:rPr>
          <w:color w:val="2D2D2D"/>
        </w:rPr>
        <w:t xml:space="preserve">Plantilla de trabajo de la Sesión S04 — Herramientas para la Ciencia de Datos (UPC). Lista de verificación para diagnosticar los supuestos de un modelo OLS con varios predictores: qué mirar en cada prueba, qué umbral aplicar y qué hacer si falla. Se completa junto al cuaderno </w:t>
      </w:r>
      <w:r>
        <w:rPr>
          <w:rFonts w:ascii="Consolas" w:hAnsi="Consolas"/>
          <w:color w:val="2D2D2D"/>
          <w:sz w:val="19"/>
        </w:rPr>
        <w:t>notebook/S04_regresion_multiple.ipynb</w:t>
      </w:r>
      <w:r>
        <w:rPr>
          <w:color w:val="2D2D2D"/>
        </w:rPr>
        <w:t xml:space="preserve"> y sustenta el diagnóstico exigido por el entregable </w:t>
      </w:r>
      <w:r>
        <w:rPr>
          <w:rFonts w:ascii="Consolas" w:hAnsi="Consolas"/>
          <w:color w:val="2D2D2D"/>
          <w:sz w:val="19"/>
        </w:rPr>
        <w:t>evaluacion/entregable.docx</w:t>
      </w:r>
      <w:r>
        <w:rPr>
          <w:color w:val="2D2D2D"/>
        </w:rPr>
        <w:t>. Español impersonal. Fechas DD/MM/YYYY, UTF-8.</w:t>
      </w:r>
    </w:p>
    <w:p>
      <w:pPr>
        <w:keepNext/>
        <w:spacing w:before="240" w:after="60"/>
        <w:pBdr>
          <w:bottom w:val="single" w:sz="6" w:space="2" w:color="E4002B"/>
        </w:pBdr>
      </w:pPr>
      <w:r>
        <w:rPr>
          <w:b/>
          <w:color w:val="E4002B"/>
          <w:sz w:val="30"/>
        </w:rPr>
        <w:t>Concepto</w:t>
      </w:r>
    </w:p>
    <w:p>
      <w:pPr>
        <w:jc w:val="both"/>
      </w:pPr>
      <w:r>
        <w:t xml:space="preserve">Un modelo OLS es el mejor estimador lineal insesgado (Gauss-Markov) solo cuando se cumplen sus supuestos: </w:t>
      </w:r>
      <w:r>
        <w:rPr>
          <w:b/>
        </w:rPr>
        <w:t>linealidad</w:t>
      </w:r>
      <w:r>
        <w:t xml:space="preserve">, </w:t>
      </w:r>
      <w:r>
        <w:rPr>
          <w:b/>
        </w:rPr>
        <w:t>independencia</w:t>
      </w:r>
      <w:r>
        <w:t xml:space="preserve"> de los errores, </w:t>
      </w:r>
      <w:r>
        <w:rPr>
          <w:b/>
        </w:rPr>
        <w:t>homocedasticidad</w:t>
      </w:r>
      <w:r>
        <w:t xml:space="preserve"> (varianza constante) y </w:t>
      </w:r>
      <w:r>
        <w:rPr>
          <w:b/>
        </w:rPr>
        <w:t>normalidad</w:t>
      </w:r>
      <w:r>
        <w:t xml:space="preserve"> de los residuales. Con k predictores, el vector de coeficientes se obtiene por mínimos cuadrados: se resuelven las ecuaciones normales: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074025" cy="369916"/>
                  <wp:docPr id="1" name="Picture 1"/>
                  <wp:cNvGraphicFramePr>
                    <a:graphicFrameLocks noChangeAspect="1"/>
                  </wp:cNvGraphicFramePr>
                  <a:graphic>
                    <a:graphicData uri="http://schemas.openxmlformats.org/drawingml/2006/picture">
                      <pic:pic>
                        <pic:nvPicPr>
                          <pic:cNvPr id="0" name="eq_fb62fe159aed.png"/>
                          <pic:cNvPicPr/>
                        </pic:nvPicPr>
                        <pic:blipFill>
                          <a:blip r:embed="rId9"/>
                          <a:stretch>
                            <a:fillRect/>
                          </a:stretch>
                        </pic:blipFill>
                        <pic:spPr>
                          <a:xfrm>
                            <a:off x="0" y="0"/>
                            <a:ext cx="2074025" cy="369916"/>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(1)</w:t>
            </w:r>
          </w:p>
        </w:tc>
      </w:tr>
    </w:tbl>
    <w:p>
      <w:pPr>
        <w:spacing w:after="40"/>
      </w:pPr>
    </w:p>
    <w:p>
      <w:pPr>
        <w:jc w:val="both"/>
      </w:pPr>
      <w:r>
        <w:t xml:space="preserve">El estimador (1) es </w:t>
      </w:r>
      <w:r>
        <w:rPr>
          <w:b/>
        </w:rPr>
        <w:t>BLUE</w:t>
      </w:r>
      <w:r>
        <w:t xml:space="preserve"> (Best Linear Unbiased Estimator) bajo esos supuestos y exige que </w:t>
      </w:r>
      <w:r>
        <w:drawing>
          <wp:inline xmlns:a="http://schemas.openxmlformats.org/drawingml/2006/main" xmlns:pic="http://schemas.openxmlformats.org/drawingml/2006/picture">
            <wp:extent cx="352022" cy="206692"/>
            <wp:docPr id="2" name="Picture 2"/>
            <wp:cNvGraphicFramePr>
              <a:graphicFrameLocks noChangeAspect="1"/>
            </wp:cNvGraphicFramePr>
            <a:graphic>
              <a:graphicData uri="http://schemas.openxmlformats.org/drawingml/2006/picture">
                <pic:pic>
                  <pic:nvPicPr>
                    <pic:cNvPr id="0" name="eq_80ce1f127f7e.png"/>
                    <pic:cNvPicPr/>
                  </pic:nvPicPr>
                  <pic:blipFill>
                    <a:blip r:embed="rId10"/>
                    <a:stretch>
                      <a:fillRect/>
                    </a:stretch>
                  </pic:blipFill>
                  <pic:spPr>
                    <a:xfrm>
                      <a:off x="0" y="0"/>
                      <a:ext cx="352022" cy="206692"/>
                    </a:xfrm>
                    <a:prstGeom prst="rect"/>
                  </pic:spPr>
                </pic:pic>
              </a:graphicData>
            </a:graphic>
          </wp:inline>
        </w:drawing>
      </w:r>
      <w:r>
        <w:t xml:space="preserve"> sea invertible; si dos predictores son colineales perfectos (la dummy redundante) la inversa no existe y el modelo no se estima —el caso extremo de la multicolinealidad del bloque 2—. Un R² alto no garantiza nada de esto: dos modelos con idéntico ajuste pueden esconder heterocedasticidad, colinealidad u observaciones que distorsionan todos los coeficientes. Por eso, antes de interpretar coeficientes o reportar p-valores, se recorre esta lista de siete bloques de diagnóstico. Cada bloque tiene un criterio numérico o gráfico y una acción concreta si falla. El objetivo no es descartar el modelo, sino </w:t>
      </w:r>
      <w:r>
        <w:rPr>
          <w:b/>
        </w:rPr>
        <w:t>corregirlo</w:t>
      </w:r>
      <w:r>
        <w:t xml:space="preserve"> (transformar, usar errores robustos, revisar predictores) para que las decisiones de negocio se apoyen en inferencia válida.</w:t>
      </w:r>
    </w:p>
    <w:p>
      <w:pPr>
        <w:spacing w:before="40" w:after="40"/>
        <w:pBdr>
          <w:bottom w:val="single" w:sz="6" w:space="1" w:color="D9D9D9"/>
        </w:pBdr>
      </w:pPr>
    </w:p>
    <w:p>
      <w:pPr>
        <w:keepNext/>
        <w:spacing w:before="240" w:after="60"/>
        <w:pBdr>
          <w:bottom w:val="single" w:sz="6" w:space="2" w:color="E4002B"/>
        </w:pBdr>
      </w:pPr>
      <w:r>
        <w:rPr>
          <w:b/>
          <w:color w:val="E4002B"/>
          <w:sz w:val="30"/>
        </w:rPr>
        <w:t>Metadatos del diagnóstico</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4873"/>
        <w:gridCol w:w="4873"/>
      </w:tblGrid>
      <w:tr>
        <w:tc>
          <w:tcPr>
            <w:tcW w:type="dxa" w:w="4873"/>
            <w:tcMar>
              <w:top w:w="60" w:type="dxa"/>
              <w:bottom w:w="60" w:type="dxa"/>
              <w:start w:w="110" w:type="dxa"/>
              <w:end w:w="110" w:type="dxa"/>
            </w:tcMar>
            <w:vAlign w:val="center"/>
            <w:shd w:val="clear" w:color="auto" w:fill="E4002B"/>
          </w:tcPr>
          <w:p>
            <w:pPr>
              <w:spacing w:after="0"/>
            </w:pPr>
            <w:r/>
            <w:r>
              <w:rPr>
                <w:b/>
                <w:color w:val="FFFFFF"/>
                <w:sz w:val="19"/>
              </w:rPr>
              <w:t>Campo</w:t>
            </w:r>
          </w:p>
        </w:tc>
        <w:tc>
          <w:tcPr>
            <w:tcW w:type="dxa" w:w="4873"/>
            <w:tcMar>
              <w:top w:w="60" w:type="dxa"/>
              <w:bottom w:w="60" w:type="dxa"/>
              <w:start w:w="110" w:type="dxa"/>
              <w:end w:w="110" w:type="dxa"/>
            </w:tcMar>
            <w:vAlign w:val="center"/>
            <w:shd w:val="clear" w:color="auto" w:fill="E4002B"/>
          </w:tcPr>
          <w:p>
            <w:pPr>
              <w:spacing w:after="0"/>
            </w:pPr>
            <w:r/>
            <w:r>
              <w:rPr>
                <w:b/>
                <w:color w:val="FFFFFF"/>
                <w:sz w:val="19"/>
              </w:rPr>
              <w:t>Valor a completar</w:t>
            </w:r>
          </w:p>
        </w:tc>
      </w:tr>
      <w:tr>
        <w:tc>
          <w:tcPr>
            <w:tcW w:type="dxa" w:w="4873"/>
            <w:tcMar>
              <w:top w:w="60" w:type="dxa"/>
              <w:bottom w:w="60" w:type="dxa"/>
              <w:start w:w="110" w:type="dxa"/>
              <w:end w:w="110" w:type="dxa"/>
            </w:tcMar>
            <w:vAlign w:val="center"/>
          </w:tcPr>
          <w:p>
            <w:pPr>
              <w:spacing w:after="0"/>
            </w:pPr>
            <w:r>
              <w:rPr>
                <w:sz w:val="19"/>
              </w:rPr>
            </w:r>
            <w:r>
              <w:rPr>
                <w:sz w:val="19"/>
              </w:rPr>
              <w:t>Modelo diagnosticado (fórmula)</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Dataset y nº de observaciones (n)</w:t>
            </w:r>
          </w:p>
        </w:tc>
        <w:tc>
          <w:tcPr>
            <w:tcW w:type="dxa" w:w="4873"/>
            <w:tcMar>
              <w:top w:w="60" w:type="dxa"/>
              <w:bottom w:w="60" w:type="dxa"/>
              <w:start w:w="110" w:type="dxa"/>
              <w:end w:w="110" w:type="dxa"/>
            </w:tcMar>
            <w:vAlign w:val="center"/>
            <w:shd w:val="clear" w:color="auto" w:fill="FCEDEE"/>
          </w:tcPr>
          <w:p>
            <w:pPr>
              <w:spacing w:after="0"/>
            </w:pPr>
            <w:r>
              <w:rPr>
                <w:sz w:val="19"/>
              </w:rPr>
            </w:r>
          </w:p>
        </w:tc>
      </w:tr>
      <w:tr>
        <w:tc>
          <w:tcPr>
            <w:tcW w:type="dxa" w:w="4873"/>
            <w:tcMar>
              <w:top w:w="60" w:type="dxa"/>
              <w:bottom w:w="60" w:type="dxa"/>
              <w:start w:w="110" w:type="dxa"/>
              <w:end w:w="110" w:type="dxa"/>
            </w:tcMar>
            <w:vAlign w:val="center"/>
          </w:tcPr>
          <w:p>
            <w:pPr>
              <w:spacing w:after="0"/>
            </w:pPr>
            <w:r>
              <w:rPr>
                <w:sz w:val="19"/>
              </w:rPr>
            </w:r>
            <w:r>
              <w:rPr>
                <w:sz w:val="19"/>
              </w:rPr>
              <w:t>Variable respuesta (nivel o log)</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Fecha del diagnóstico (DD/MM/YYYY)</w:t>
            </w:r>
          </w:p>
        </w:tc>
        <w:tc>
          <w:tcPr>
            <w:tcW w:type="dxa" w:w="4873"/>
            <w:tcMar>
              <w:top w:w="60" w:type="dxa"/>
              <w:bottom w:w="60" w:type="dxa"/>
              <w:start w:w="110" w:type="dxa"/>
              <w:end w:w="110" w:type="dxa"/>
            </w:tcMar>
            <w:vAlign w:val="center"/>
            <w:shd w:val="clear" w:color="auto" w:fill="FCEDEE"/>
          </w:tcPr>
          <w:p>
            <w:pPr>
              <w:spacing w:after="0"/>
            </w:pPr>
            <w:r>
              <w:rPr>
                <w:sz w:val="19"/>
              </w:rPr>
            </w:r>
          </w:p>
        </w:tc>
      </w:tr>
      <w:tr>
        <w:tc>
          <w:tcPr>
            <w:tcW w:type="dxa" w:w="4873"/>
            <w:tcMar>
              <w:top w:w="60" w:type="dxa"/>
              <w:bottom w:w="60" w:type="dxa"/>
              <w:start w:w="110" w:type="dxa"/>
              <w:end w:w="110" w:type="dxa"/>
            </w:tcMar>
            <w:vAlign w:val="center"/>
          </w:tcPr>
          <w:p>
            <w:pPr>
              <w:spacing w:after="0"/>
            </w:pPr>
            <w:r>
              <w:rPr>
                <w:sz w:val="19"/>
              </w:rPr>
            </w:r>
            <w:r>
              <w:rPr>
                <w:sz w:val="19"/>
              </w:rPr>
              <w:t>Analista</w:t>
            </w:r>
          </w:p>
        </w:tc>
        <w:tc>
          <w:tcPr>
            <w:tcW w:type="dxa" w:w="4873"/>
            <w:tcMar>
              <w:top w:w="60" w:type="dxa"/>
              <w:bottom w:w="60" w:type="dxa"/>
              <w:start w:w="110" w:type="dxa"/>
              <w:end w:w="110" w:type="dxa"/>
            </w:tcMar>
            <w:vAlign w:val="center"/>
          </w:tcPr>
          <w:p>
            <w:pPr>
              <w:spacing w:after="0"/>
            </w:pPr>
            <w:r>
              <w:rPr>
                <w:sz w:val="19"/>
              </w:rPr>
            </w:r>
          </w:p>
        </w:tc>
      </w:tr>
    </w:tbl>
    <w:p>
      <w:pPr>
        <w:spacing w:after="40"/>
      </w:pPr>
    </w:p>
    <w:p>
      <w:pPr>
        <w:spacing w:before="40" w:after="40"/>
        <w:pBdr>
          <w:bottom w:val="single" w:sz="6" w:space="1" w:color="D9D9D9"/>
        </w:pBdr>
      </w:pPr>
    </w:p>
    <w:p>
      <w:pPr>
        <w:keepNext/>
        <w:spacing w:before="240" w:after="60"/>
        <w:pBdr>
          <w:bottom w:val="single" w:sz="6" w:space="2" w:color="E4002B"/>
        </w:pBdr>
      </w:pPr>
      <w:r>
        <w:rPr>
          <w:b/>
          <w:color w:val="E4002B"/>
          <w:sz w:val="30"/>
        </w:rPr>
        <w:t>Tabla-resumen de diagnósticos</w:t>
      </w:r>
    </w:p>
    <w:p>
      <w:pPr>
        <w:jc w:val="both"/>
      </w:pPr>
      <w:r>
        <w:t>Referencia rápida de los siete bloques. El detalle marcable está en la sección siguiente.</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1949"/>
        <w:gridCol w:w="1949"/>
        <w:gridCol w:w="1949"/>
        <w:gridCol w:w="1949"/>
        <w:gridCol w:w="1949"/>
      </w:tblGrid>
      <w:tr>
        <w:tc>
          <w:tcPr>
            <w:tcW w:type="dxa" w:w="1949"/>
            <w:tcMar>
              <w:top w:w="60" w:type="dxa"/>
              <w:bottom w:w="60" w:type="dxa"/>
              <w:start w:w="110" w:type="dxa"/>
              <w:end w:w="110" w:type="dxa"/>
            </w:tcMar>
            <w:vAlign w:val="center"/>
            <w:shd w:val="clear" w:color="auto" w:fill="E4002B"/>
          </w:tcPr>
          <w:p>
            <w:pPr>
              <w:spacing w:after="0"/>
            </w:pPr>
            <w:r/>
            <w:r>
              <w:rPr>
                <w:b/>
                <w:color w:val="FFFFFF"/>
                <w:sz w:val="19"/>
              </w:rPr>
              <w:t>Bloque</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Qué mirar</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Criterio / umbral</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Qué hacer si falla</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Función (statsmodels / scipy)</w:t>
            </w:r>
          </w:p>
        </w:tc>
      </w:tr>
      <w:tr>
        <w:tc>
          <w:tcPr>
            <w:tcW w:type="dxa" w:w="1949"/>
            <w:tcMar>
              <w:top w:w="60" w:type="dxa"/>
              <w:bottom w:w="60" w:type="dxa"/>
              <w:start w:w="110" w:type="dxa"/>
              <w:end w:w="110" w:type="dxa"/>
            </w:tcMar>
            <w:vAlign w:val="center"/>
          </w:tcPr>
          <w:p>
            <w:pPr>
              <w:spacing w:after="0"/>
            </w:pPr>
            <w:r>
              <w:rPr>
                <w:sz w:val="19"/>
              </w:rPr>
            </w:r>
            <w:r>
              <w:rPr>
                <w:b/>
                <w:sz w:val="19"/>
              </w:rPr>
              <w:t>1. Linealidad</w:t>
            </w:r>
          </w:p>
        </w:tc>
        <w:tc>
          <w:tcPr>
            <w:tcW w:type="dxa" w:w="1949"/>
            <w:tcMar>
              <w:top w:w="60" w:type="dxa"/>
              <w:bottom w:w="60" w:type="dxa"/>
              <w:start w:w="110" w:type="dxa"/>
              <w:end w:w="110" w:type="dxa"/>
            </w:tcMar>
            <w:vAlign w:val="center"/>
          </w:tcPr>
          <w:p>
            <w:pPr>
              <w:spacing w:after="0"/>
            </w:pPr>
            <w:r>
              <w:rPr>
                <w:sz w:val="19"/>
              </w:rPr>
            </w:r>
            <w:r>
              <w:rPr>
                <w:sz w:val="19"/>
              </w:rPr>
              <w:t>Residuales vs. ajustados</w:t>
            </w:r>
          </w:p>
        </w:tc>
        <w:tc>
          <w:tcPr>
            <w:tcW w:type="dxa" w:w="1949"/>
            <w:tcMar>
              <w:top w:w="60" w:type="dxa"/>
              <w:bottom w:w="60" w:type="dxa"/>
              <w:start w:w="110" w:type="dxa"/>
              <w:end w:w="110" w:type="dxa"/>
            </w:tcMar>
            <w:vAlign w:val="center"/>
          </w:tcPr>
          <w:p>
            <w:pPr>
              <w:spacing w:after="0"/>
            </w:pPr>
            <w:r>
              <w:rPr>
                <w:sz w:val="19"/>
              </w:rPr>
            </w:r>
            <w:r>
              <w:rPr>
                <w:sz w:val="19"/>
              </w:rPr>
              <w:t>Nube sin patrón; una curva delata no linealidad</w:t>
            </w:r>
          </w:p>
        </w:tc>
        <w:tc>
          <w:tcPr>
            <w:tcW w:type="dxa" w:w="1949"/>
            <w:tcMar>
              <w:top w:w="60" w:type="dxa"/>
              <w:bottom w:w="60" w:type="dxa"/>
              <w:start w:w="110" w:type="dxa"/>
              <w:end w:w="110" w:type="dxa"/>
            </w:tcMar>
            <w:vAlign w:val="center"/>
          </w:tcPr>
          <w:p>
            <w:pPr>
              <w:spacing w:after="0"/>
            </w:pPr>
            <w:r>
              <w:rPr>
                <w:sz w:val="19"/>
              </w:rPr>
            </w:r>
            <w:r>
              <w:rPr>
                <w:sz w:val="19"/>
              </w:rPr>
              <w:t>Transformar Y o X, o añadir un término; no cambiar de familia</w:t>
            </w:r>
          </w:p>
        </w:tc>
        <w:tc>
          <w:tcPr>
            <w:tcW w:type="dxa" w:w="1949"/>
            <w:tcMar>
              <w:top w:w="60" w:type="dxa"/>
              <w:bottom w:w="60" w:type="dxa"/>
              <w:start w:w="110" w:type="dxa"/>
              <w:end w:w="110" w:type="dxa"/>
            </w:tcMar>
            <w:vAlign w:val="center"/>
          </w:tcPr>
          <w:p>
            <w:pPr>
              <w:spacing w:after="0"/>
            </w:pPr>
            <w:r>
              <w:rPr>
                <w:sz w:val="19"/>
              </w:rPr>
            </w:r>
            <w:r>
              <w:rPr>
                <w:rFonts w:ascii="Consolas" w:hAnsi="Consolas"/>
                <w:color w:val="9B1B30"/>
                <w:sz w:val="19"/>
              </w:rPr>
              <w:t>results.resid</w:t>
            </w:r>
            <w:r>
              <w:rPr>
                <w:sz w:val="19"/>
              </w:rPr>
              <w:t xml:space="preserve"> vs. </w:t>
            </w:r>
            <w:r>
              <w:rPr>
                <w:rFonts w:ascii="Consolas" w:hAnsi="Consolas"/>
                <w:color w:val="9B1B30"/>
                <w:sz w:val="19"/>
              </w:rPr>
              <w:t>results.fittedvalues</w:t>
            </w:r>
          </w:p>
        </w:tc>
      </w:tr>
      <w:tr>
        <w:tc>
          <w:tcPr>
            <w:tcW w:type="dxa" w:w="1949"/>
            <w:tcMar>
              <w:top w:w="60" w:type="dxa"/>
              <w:bottom w:w="60" w:type="dxa"/>
              <w:start w:w="110" w:type="dxa"/>
              <w:end w:w="110" w:type="dxa"/>
            </w:tcMar>
            <w:vAlign w:val="center"/>
            <w:shd w:val="clear" w:color="auto" w:fill="FCEDEE"/>
          </w:tcPr>
          <w:p>
            <w:pPr>
              <w:spacing w:after="0"/>
            </w:pPr>
            <w:r>
              <w:rPr>
                <w:sz w:val="19"/>
              </w:rPr>
            </w:r>
            <w:r>
              <w:rPr>
                <w:b/>
                <w:sz w:val="19"/>
              </w:rPr>
              <w:t>2. Multicolinealidad (VIF)</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VIF de cada predictor (no del intercepto)</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VIF mayor que 5 = alta; mayor que 10 = severa</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Eliminar, combinar o transformar el predictor redundante</w:t>
            </w:r>
          </w:p>
        </w:tc>
        <w:tc>
          <w:tcPr>
            <w:tcW w:type="dxa" w:w="19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variance_inflation_factor(exog, i)</w:t>
            </w:r>
          </w:p>
        </w:tc>
      </w:tr>
      <w:tr>
        <w:tc>
          <w:tcPr>
            <w:tcW w:type="dxa" w:w="1949"/>
            <w:tcMar>
              <w:top w:w="60" w:type="dxa"/>
              <w:bottom w:w="60" w:type="dxa"/>
              <w:start w:w="110" w:type="dxa"/>
              <w:end w:w="110" w:type="dxa"/>
            </w:tcMar>
            <w:vAlign w:val="center"/>
          </w:tcPr>
          <w:p>
            <w:pPr>
              <w:spacing w:after="0"/>
            </w:pPr>
            <w:r>
              <w:rPr>
                <w:sz w:val="19"/>
              </w:rPr>
            </w:r>
            <w:r>
              <w:rPr>
                <w:b/>
                <w:sz w:val="19"/>
              </w:rPr>
              <w:t>3. Homocedasticidad (visual)</w:t>
            </w:r>
          </w:p>
        </w:tc>
        <w:tc>
          <w:tcPr>
            <w:tcW w:type="dxa" w:w="1949"/>
            <w:tcMar>
              <w:top w:w="60" w:type="dxa"/>
              <w:bottom w:w="60" w:type="dxa"/>
              <w:start w:w="110" w:type="dxa"/>
              <w:end w:w="110" w:type="dxa"/>
            </w:tcMar>
            <w:vAlign w:val="center"/>
          </w:tcPr>
          <w:p>
            <w:pPr>
              <w:spacing w:after="0"/>
            </w:pPr>
            <w:r>
              <w:rPr>
                <w:sz w:val="19"/>
              </w:rPr>
            </w:r>
            <w:r>
              <w:rPr>
                <w:sz w:val="19"/>
              </w:rPr>
              <w:t>Embudo en residuales vs. ajustados y en escala-localización</w:t>
            </w:r>
          </w:p>
        </w:tc>
        <w:tc>
          <w:tcPr>
            <w:tcW w:type="dxa" w:w="1949"/>
            <w:tcMar>
              <w:top w:w="60" w:type="dxa"/>
              <w:bottom w:w="60" w:type="dxa"/>
              <w:start w:w="110" w:type="dxa"/>
              <w:end w:w="110" w:type="dxa"/>
            </w:tcMar>
            <w:vAlign w:val="center"/>
          </w:tcPr>
          <w:p>
            <w:pPr>
              <w:spacing w:after="0"/>
            </w:pPr>
            <w:r>
              <w:rPr>
                <w:sz w:val="19"/>
              </w:rPr>
            </w:r>
            <w:r>
              <w:rPr>
                <w:sz w:val="19"/>
              </w:rPr>
              <w:t>Dispersión pareja; un embudo abierto delata varianza creciente</w:t>
            </w:r>
          </w:p>
        </w:tc>
        <w:tc>
          <w:tcPr>
            <w:tcW w:type="dxa" w:w="1949"/>
            <w:tcMar>
              <w:top w:w="60" w:type="dxa"/>
              <w:bottom w:w="60" w:type="dxa"/>
              <w:start w:w="110" w:type="dxa"/>
              <w:end w:w="110" w:type="dxa"/>
            </w:tcMar>
            <w:vAlign w:val="center"/>
          </w:tcPr>
          <w:p>
            <w:pPr>
              <w:spacing w:after="0"/>
            </w:pPr>
            <w:r>
              <w:rPr>
                <w:sz w:val="19"/>
              </w:rPr>
            </w:r>
            <w:r>
              <w:rPr>
                <w:sz w:val="19"/>
              </w:rPr>
              <w:t>Pasar Y a log/Box-Cox y confirmar con Breusch-Pagan</w:t>
            </w:r>
          </w:p>
        </w:tc>
        <w:tc>
          <w:tcPr>
            <w:tcW w:type="dxa" w:w="1949"/>
            <w:tcMar>
              <w:top w:w="60" w:type="dxa"/>
              <w:bottom w:w="60" w:type="dxa"/>
              <w:start w:w="110" w:type="dxa"/>
              <w:end w:w="110" w:type="dxa"/>
            </w:tcMar>
            <w:vAlign w:val="center"/>
          </w:tcPr>
          <w:p>
            <w:pPr>
              <w:spacing w:after="0"/>
            </w:pPr>
            <w:r>
              <w:rPr>
                <w:sz w:val="19"/>
              </w:rPr>
            </w:r>
            <w:r>
              <w:rPr>
                <w:rFonts w:ascii="Consolas" w:hAnsi="Consolas"/>
                <w:color w:val="9B1B30"/>
                <w:sz w:val="19"/>
              </w:rPr>
              <w:t>sqrt(abs(resid estandarizado))</w:t>
            </w:r>
            <w:r>
              <w:rPr>
                <w:sz w:val="19"/>
              </w:rPr>
              <w:t xml:space="preserve"> vs. ajustados</w:t>
            </w:r>
          </w:p>
        </w:tc>
      </w:tr>
      <w:tr>
        <w:tc>
          <w:tcPr>
            <w:tcW w:type="dxa" w:w="1949"/>
            <w:tcMar>
              <w:top w:w="60" w:type="dxa"/>
              <w:bottom w:w="60" w:type="dxa"/>
              <w:start w:w="110" w:type="dxa"/>
              <w:end w:w="110" w:type="dxa"/>
            </w:tcMar>
            <w:vAlign w:val="center"/>
            <w:shd w:val="clear" w:color="auto" w:fill="FCEDEE"/>
          </w:tcPr>
          <w:p>
            <w:pPr>
              <w:spacing w:after="0"/>
            </w:pPr>
            <w:r>
              <w:rPr>
                <w:sz w:val="19"/>
              </w:rPr>
            </w:r>
            <w:r>
              <w:rPr>
                <w:b/>
                <w:sz w:val="19"/>
              </w:rPr>
              <w:t>4. Homocedasticidad (formal)</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Prueba de Breusch-Pagan</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p menor que 0.05 = hay heterocedasticidad</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Usar errores estándar robustos HC3 y/o transformar Y</w:t>
            </w:r>
          </w:p>
        </w:tc>
        <w:tc>
          <w:tcPr>
            <w:tcW w:type="dxa" w:w="19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het_breuschpagan(resid, exog)</w:t>
            </w:r>
          </w:p>
        </w:tc>
      </w:tr>
      <w:tr>
        <w:tc>
          <w:tcPr>
            <w:tcW w:type="dxa" w:w="1949"/>
            <w:tcMar>
              <w:top w:w="60" w:type="dxa"/>
              <w:bottom w:w="60" w:type="dxa"/>
              <w:start w:w="110" w:type="dxa"/>
              <w:end w:w="110" w:type="dxa"/>
            </w:tcMar>
            <w:vAlign w:val="center"/>
          </w:tcPr>
          <w:p>
            <w:pPr>
              <w:spacing w:after="0"/>
            </w:pPr>
            <w:r>
              <w:rPr>
                <w:sz w:val="19"/>
              </w:rPr>
            </w:r>
            <w:r>
              <w:rPr>
                <w:b/>
                <w:sz w:val="19"/>
              </w:rPr>
              <w:t>5. Normalidad</w:t>
            </w:r>
          </w:p>
        </w:tc>
        <w:tc>
          <w:tcPr>
            <w:tcW w:type="dxa" w:w="1949"/>
            <w:tcMar>
              <w:top w:w="60" w:type="dxa"/>
              <w:bottom w:w="60" w:type="dxa"/>
              <w:start w:w="110" w:type="dxa"/>
              <w:end w:w="110" w:type="dxa"/>
            </w:tcMar>
            <w:vAlign w:val="center"/>
          </w:tcPr>
          <w:p>
            <w:pPr>
              <w:spacing w:after="0"/>
            </w:pPr>
            <w:r>
              <w:rPr>
                <w:sz w:val="19"/>
              </w:rPr>
            </w:r>
            <w:r>
              <w:rPr>
                <w:sz w:val="19"/>
              </w:rPr>
              <w:t>Q-Q plot + Jarque-Bera de los residuales</w:t>
            </w:r>
          </w:p>
        </w:tc>
        <w:tc>
          <w:tcPr>
            <w:tcW w:type="dxa" w:w="1949"/>
            <w:tcMar>
              <w:top w:w="60" w:type="dxa"/>
              <w:bottom w:w="60" w:type="dxa"/>
              <w:start w:w="110" w:type="dxa"/>
              <w:end w:w="110" w:type="dxa"/>
            </w:tcMar>
            <w:vAlign w:val="center"/>
          </w:tcPr>
          <w:p>
            <w:pPr>
              <w:spacing w:after="0"/>
            </w:pPr>
            <w:r>
              <w:rPr>
                <w:sz w:val="19"/>
              </w:rPr>
            </w:r>
            <w:r>
              <w:rPr>
                <w:sz w:val="19"/>
              </w:rPr>
              <w:t>Puntos sobre la diagonal; colas desviadas = asimetría/extremos; p menor que 0.05 rechaza</w:t>
            </w:r>
          </w:p>
        </w:tc>
        <w:tc>
          <w:tcPr>
            <w:tcW w:type="dxa" w:w="1949"/>
            <w:tcMar>
              <w:top w:w="60" w:type="dxa"/>
              <w:bottom w:w="60" w:type="dxa"/>
              <w:start w:w="110" w:type="dxa"/>
              <w:end w:w="110" w:type="dxa"/>
            </w:tcMar>
            <w:vAlign w:val="center"/>
          </w:tcPr>
          <w:p>
            <w:pPr>
              <w:spacing w:after="0"/>
            </w:pPr>
            <w:r>
              <w:rPr>
                <w:sz w:val="19"/>
              </w:rPr>
            </w:r>
            <w:r>
              <w:rPr>
                <w:sz w:val="19"/>
              </w:rPr>
              <w:t>En n grande el TCL protege los coeficientes (no los intervalos de predicción); si n es pequeña, transformar Y</w:t>
            </w:r>
          </w:p>
        </w:tc>
        <w:tc>
          <w:tcPr>
            <w:tcW w:type="dxa" w:w="1949"/>
            <w:tcMar>
              <w:top w:w="60" w:type="dxa"/>
              <w:bottom w:w="60" w:type="dxa"/>
              <w:start w:w="110" w:type="dxa"/>
              <w:end w:w="110" w:type="dxa"/>
            </w:tcMar>
            <w:vAlign w:val="center"/>
          </w:tcPr>
          <w:p>
            <w:pPr>
              <w:spacing w:after="0"/>
            </w:pPr>
            <w:r>
              <w:rPr>
                <w:sz w:val="19"/>
              </w:rPr>
            </w:r>
            <w:r>
              <w:rPr>
                <w:rFonts w:ascii="Consolas" w:hAnsi="Consolas"/>
                <w:color w:val="9B1B30"/>
                <w:sz w:val="19"/>
              </w:rPr>
              <w:t>scipy.stats.probplot</w:t>
            </w:r>
            <w:r>
              <w:rPr>
                <w:sz w:val="19"/>
              </w:rPr>
              <w:t xml:space="preserve"> / </w:t>
            </w:r>
            <w:r>
              <w:rPr>
                <w:rFonts w:ascii="Consolas" w:hAnsi="Consolas"/>
                <w:color w:val="9B1B30"/>
                <w:sz w:val="19"/>
              </w:rPr>
              <w:t>sm.qqplot</w:t>
            </w:r>
            <w:r>
              <w:rPr>
                <w:sz w:val="19"/>
              </w:rPr>
              <w:t xml:space="preserve">; </w:t>
            </w:r>
            <w:r>
              <w:rPr>
                <w:rFonts w:ascii="Consolas" w:hAnsi="Consolas"/>
                <w:color w:val="9B1B30"/>
                <w:sz w:val="19"/>
              </w:rPr>
              <w:t>jarque_bera</w:t>
            </w:r>
          </w:p>
        </w:tc>
      </w:tr>
      <w:tr>
        <w:tc>
          <w:tcPr>
            <w:tcW w:type="dxa" w:w="1949"/>
            <w:tcMar>
              <w:top w:w="60" w:type="dxa"/>
              <w:bottom w:w="60" w:type="dxa"/>
              <w:start w:w="110" w:type="dxa"/>
              <w:end w:w="110" w:type="dxa"/>
            </w:tcMar>
            <w:vAlign w:val="center"/>
            <w:shd w:val="clear" w:color="auto" w:fill="FCEDEE"/>
          </w:tcPr>
          <w:p>
            <w:pPr>
              <w:spacing w:after="0"/>
            </w:pPr>
            <w:r>
              <w:rPr>
                <w:sz w:val="19"/>
              </w:rPr>
            </w:r>
            <w:r>
              <w:rPr>
                <w:b/>
                <w:sz w:val="19"/>
              </w:rPr>
              <w:t>6. Autocorrelación / dependencia</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Estadístico Durbin-Watson</w:t>
            </w:r>
          </w:p>
        </w:tc>
        <w:tc>
          <w:tcPr>
            <w:tcW w:type="dxa" w:w="1949"/>
            <w:tcMar>
              <w:top w:w="60" w:type="dxa"/>
              <w:bottom w:w="60" w:type="dxa"/>
              <w:start w:w="110" w:type="dxa"/>
              <w:end w:w="110" w:type="dxa"/>
            </w:tcMar>
            <w:vAlign w:val="center"/>
            <w:shd w:val="clear" w:color="auto" w:fill="FCEDEE"/>
          </w:tcPr>
          <w:p>
            <w:pPr>
              <w:spacing w:after="0"/>
            </w:pPr>
            <w:r>
              <w:rPr>
                <w:sz w:val="19"/>
              </w:rPr>
            </w:r>
            <w:r>
              <w:rPr>
                <w:b/>
                <w:sz w:val="19"/>
              </w:rPr>
              <w:t>Solo informa si el orden de las filas significa algo</w:t>
            </w:r>
            <w:r>
              <w:rPr>
                <w:sz w:val="19"/>
              </w:rPr>
              <w:t xml:space="preserve"> (tiempo o espacio) — verificarlo antes de leerlo. Con orden informativo: cercano a 2 = sin dependencia; menor que 1.5 = positiva</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En Ames el orden </w:t>
            </w:r>
            <w:r>
              <w:rPr>
                <w:b/>
                <w:sz w:val="19"/>
              </w:rPr>
              <w:t>es</w:t>
            </w:r>
            <w:r>
              <w:rPr>
                <w:sz w:val="19"/>
              </w:rPr>
              <w:t xml:space="preserve"> informativo (CSV agrupado por barrio) y DW ≈ 1.68 = dependencia espacial ⇒ </w:t>
            </w:r>
            <w:r>
              <w:rPr>
                <w:b/>
                <w:sz w:val="19"/>
              </w:rPr>
              <w:t>SE de clúster por barrio</w:t>
            </w:r>
            <w:r>
              <w:rPr>
                <w:sz w:val="19"/>
              </w:rPr>
              <w:t xml:space="preserve"> (S04); HAC/espacial completo (S11+)</w:t>
            </w:r>
          </w:p>
        </w:tc>
        <w:tc>
          <w:tcPr>
            <w:tcW w:type="dxa" w:w="19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durbin_watson(results.resid)</w:t>
            </w:r>
          </w:p>
        </w:tc>
      </w:tr>
      <w:tr>
        <w:tc>
          <w:tcPr>
            <w:tcW w:type="dxa" w:w="1949"/>
            <w:tcMar>
              <w:top w:w="60" w:type="dxa"/>
              <w:bottom w:w="60" w:type="dxa"/>
              <w:start w:w="110" w:type="dxa"/>
              <w:end w:w="110" w:type="dxa"/>
            </w:tcMar>
            <w:vAlign w:val="center"/>
          </w:tcPr>
          <w:p>
            <w:pPr>
              <w:spacing w:after="0"/>
            </w:pPr>
            <w:r>
              <w:rPr>
                <w:sz w:val="19"/>
              </w:rPr>
            </w:r>
            <w:r>
              <w:rPr>
                <w:b/>
                <w:sz w:val="19"/>
              </w:rPr>
              <w:t>7. Observaciones influyentes</w:t>
            </w:r>
          </w:p>
        </w:tc>
        <w:tc>
          <w:tcPr>
            <w:tcW w:type="dxa" w:w="1949"/>
            <w:tcMar>
              <w:top w:w="60" w:type="dxa"/>
              <w:bottom w:w="60" w:type="dxa"/>
              <w:start w:w="110" w:type="dxa"/>
              <w:end w:w="110" w:type="dxa"/>
            </w:tcMar>
            <w:vAlign w:val="center"/>
          </w:tcPr>
          <w:p>
            <w:pPr>
              <w:spacing w:after="0"/>
            </w:pPr>
            <w:r>
              <w:rPr>
                <w:sz w:val="19"/>
              </w:rPr>
            </w:r>
            <w:r>
              <w:rPr>
                <w:sz w:val="19"/>
              </w:rPr>
              <w:t>Distancia de Cook por observación</w:t>
            </w:r>
          </w:p>
        </w:tc>
        <w:tc>
          <w:tcPr>
            <w:tcW w:type="dxa" w:w="1949"/>
            <w:tcMar>
              <w:top w:w="60" w:type="dxa"/>
              <w:bottom w:w="60" w:type="dxa"/>
              <w:start w:w="110" w:type="dxa"/>
              <w:end w:w="110" w:type="dxa"/>
            </w:tcMar>
            <w:vAlign w:val="center"/>
          </w:tcPr>
          <w:p>
            <w:pPr>
              <w:spacing w:after="0"/>
            </w:pPr>
            <w:r>
              <w:rPr>
                <w:sz w:val="19"/>
              </w:rPr>
            </w:r>
            <w:r>
              <w:rPr>
                <w:sz w:val="19"/>
              </w:rPr>
              <w:t>Revisar D_i mayor que 4/n; muy por encima de 1 = claramente influyente</w:t>
            </w:r>
          </w:p>
        </w:tc>
        <w:tc>
          <w:tcPr>
            <w:tcW w:type="dxa" w:w="1949"/>
            <w:tcMar>
              <w:top w:w="60" w:type="dxa"/>
              <w:bottom w:w="60" w:type="dxa"/>
              <w:start w:w="110" w:type="dxa"/>
              <w:end w:w="110" w:type="dxa"/>
            </w:tcMar>
            <w:vAlign w:val="center"/>
          </w:tcPr>
          <w:p>
            <w:pPr>
              <w:spacing w:after="0"/>
            </w:pPr>
            <w:r>
              <w:rPr>
                <w:sz w:val="19"/>
              </w:rPr>
            </w:r>
            <w:r>
              <w:rPr>
                <w:sz w:val="19"/>
              </w:rPr>
              <w:t>Investigar por qué es extrema; borrar solo con razón sustantiva</w:t>
            </w:r>
          </w:p>
        </w:tc>
        <w:tc>
          <w:tcPr>
            <w:tcW w:type="dxa" w:w="1949"/>
            <w:tcMar>
              <w:top w:w="60" w:type="dxa"/>
              <w:bottom w:w="60" w:type="dxa"/>
              <w:start w:w="110" w:type="dxa"/>
              <w:end w:w="110" w:type="dxa"/>
            </w:tcMar>
            <w:vAlign w:val="center"/>
          </w:tcPr>
          <w:p>
            <w:pPr>
              <w:spacing w:after="0"/>
            </w:pPr>
            <w:r>
              <w:rPr>
                <w:sz w:val="19"/>
              </w:rPr>
            </w:r>
            <w:r>
              <w:rPr>
                <w:rFonts w:ascii="Consolas" w:hAnsi="Consolas"/>
                <w:color w:val="9B1B30"/>
                <w:sz w:val="19"/>
              </w:rPr>
              <w:t>results.get_influence.cooks_distance</w:t>
            </w:r>
          </w:p>
        </w:tc>
      </w:tr>
    </w:tbl>
    <w:p>
      <w:pPr>
        <w:spacing w:after="40"/>
      </w:pPr>
    </w:p>
    <w:p>
      <w:pPr>
        <w:spacing w:before="40" w:after="40"/>
        <w:pBdr>
          <w:bottom w:val="single" w:sz="6" w:space="1" w:color="D9D9D9"/>
        </w:pBdr>
      </w:pPr>
    </w:p>
    <w:p>
      <w:pPr>
        <w:keepNext/>
        <w:spacing w:before="240" w:after="60"/>
        <w:pBdr>
          <w:bottom w:val="single" w:sz="6" w:space="2" w:color="E4002B"/>
        </w:pBdr>
      </w:pPr>
      <w:r>
        <w:rPr>
          <w:b/>
          <w:color w:val="E4002B"/>
          <w:sz w:val="30"/>
        </w:rPr>
        <w:t>Checklist marcable (por bloque)</w:t>
      </w:r>
    </w:p>
    <w:p>
      <w:pPr>
        <w:jc w:val="both"/>
      </w:pPr>
      <w:r>
        <w:t>Marcar cada bloque al verificarlo y anotar el resultado observado. No se interpretan coeficientes ni p-valores con bloques pendientes sin justificación.</w:t>
      </w:r>
    </w:p>
    <w:p>
      <w:pPr>
        <w:keepNext/>
        <w:spacing w:before="180" w:after="60"/>
      </w:pPr>
      <w:r>
        <w:rPr>
          <w:b/>
          <w:color w:val="9B1B30"/>
          <w:sz w:val="25"/>
        </w:rPr>
        <w:t>1. Linealidad — residuales vs. valores ajustados</w:t>
      </w:r>
    </w:p>
    <w:p>
      <w:pPr>
        <w:pStyle w:val="ListBullet"/>
        <w:spacing w:after="40"/>
      </w:pPr>
      <w:r>
        <w:t>[ ] Bloque revisado.</w:t>
      </w:r>
    </w:p>
    <w:p>
      <w:pPr>
        <w:pStyle w:val="ListBullet"/>
        <w:spacing w:after="40"/>
      </w:pPr>
      <w:r>
        <w:rPr>
          <w:b/>
        </w:rPr>
        <w:t>Qué mirar:</w:t>
      </w:r>
      <w:r>
        <w:t xml:space="preserve"> gráfico de dispersión de los residuales (eje Y) contra los valores ajustados (eje X). Una nube horizontal sin forma, centrada en cero, respalda la linealidad.</w:t>
      </w:r>
    </w:p>
    <w:p>
      <w:pPr>
        <w:pStyle w:val="ListBullet"/>
        <w:spacing w:after="40"/>
      </w:pPr>
      <w:r>
        <w:rPr>
          <w:b/>
        </w:rPr>
        <w:t>Señal de falla:</w:t>
      </w:r>
      <w:r>
        <w:t xml:space="preserve"> una </w:t>
      </w:r>
      <w:r>
        <w:rPr>
          <w:b/>
        </w:rPr>
        <w:t>curva</w:t>
      </w:r>
      <w:r>
        <w:t xml:space="preserve"> o forma de U indica que a la relación le falta un término o una transformación (la recta es la forma equivocada).</w:t>
      </w:r>
    </w:p>
    <w:p>
      <w:pPr>
        <w:pStyle w:val="ListBullet"/>
        <w:spacing w:after="40"/>
      </w:pPr>
      <w:r>
        <w:rPr>
          <w:b/>
        </w:rPr>
        <w:t>Qué hacer si falla:</w:t>
      </w:r>
      <w:r>
        <w:t xml:space="preserve"> transformar la respuesta (log) o un predictor, o añadir un término. No se cambia de familia de modelo (splines/polinomios son de S05).</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2. Multicolinealidad — VIF (Variance Inflation Factor)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1458883" cy="440574"/>
                  <wp:docPr id="3" name="Picture 3"/>
                  <wp:cNvGraphicFramePr>
                    <a:graphicFrameLocks noChangeAspect="1"/>
                  </wp:cNvGraphicFramePr>
                  <a:graphic>
                    <a:graphicData uri="http://schemas.openxmlformats.org/drawingml/2006/picture">
                      <pic:pic>
                        <pic:nvPicPr>
                          <pic:cNvPr id="0" name="eq_a45355fc26ec.png"/>
                          <pic:cNvPicPr/>
                        </pic:nvPicPr>
                        <pic:blipFill>
                          <a:blip r:embed="rId11"/>
                          <a:stretch>
                            <a:fillRect/>
                          </a:stretch>
                        </pic:blipFill>
                        <pic:spPr>
                          <a:xfrm>
                            <a:off x="0" y="0"/>
                            <a:ext cx="1458883" cy="440574"/>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(2)</w:t>
            </w:r>
          </w:p>
        </w:tc>
      </w:tr>
    </w:tbl>
    <w:p>
      <w:pPr>
        <w:spacing w:after="40"/>
      </w:pPr>
    </w:p>
    <w:p>
      <w:pPr>
        <w:pStyle w:val="ListBullet"/>
        <w:spacing w:after="40"/>
      </w:pPr>
      <w:r>
        <w:t>[ ] Bloque revisado.</w:t>
      </w:r>
    </w:p>
    <w:p>
      <w:pPr>
        <w:pStyle w:val="ListBullet"/>
        <w:spacing w:after="40"/>
      </w:pPr>
      <w:r>
        <w:rPr>
          <w:b/>
        </w:rPr>
        <w:t>Qué mirar:</w:t>
      </w:r>
      <w:r>
        <w:t xml:space="preserve"> el VIF de cada predictor real; en (2), </w:t>
      </w:r>
      <w:r>
        <w:drawing>
          <wp:inline xmlns:a="http://schemas.openxmlformats.org/drawingml/2006/main" xmlns:pic="http://schemas.openxmlformats.org/drawingml/2006/picture">
            <wp:extent cx="184935" cy="206692"/>
            <wp:docPr id="4" name="Picture 4"/>
            <wp:cNvGraphicFramePr>
              <a:graphicFrameLocks noChangeAspect="1"/>
            </wp:cNvGraphicFramePr>
            <a:graphic>
              <a:graphicData uri="http://schemas.openxmlformats.org/drawingml/2006/picture">
                <pic:pic>
                  <pic:nvPicPr>
                    <pic:cNvPr id="0" name="eq_0c8e2c69efd6.png"/>
                    <pic:cNvPicPr/>
                  </pic:nvPicPr>
                  <pic:blipFill>
                    <a:blip r:embed="rId12"/>
                    <a:stretch>
                      <a:fillRect/>
                    </a:stretch>
                  </pic:blipFill>
                  <pic:spPr>
                    <a:xfrm>
                      <a:off x="0" y="0"/>
                      <a:ext cx="184935" cy="206692"/>
                    </a:xfrm>
                    <a:prstGeom prst="rect"/>
                  </pic:spPr>
                </pic:pic>
              </a:graphicData>
            </a:graphic>
          </wp:inline>
        </w:drawing>
      </w:r>
      <w:r>
        <w:t xml:space="preserve"> es el R² de regresar el predictor j contra todos los demás, de modo que el VIF mide cuántas veces se infla la varianza del coeficiente por la colinealidad (</w:t>
      </w:r>
      <w:r>
        <w:drawing>
          <wp:inline xmlns:a="http://schemas.openxmlformats.org/drawingml/2006/main" xmlns:pic="http://schemas.openxmlformats.org/drawingml/2006/picture">
            <wp:extent cx="527420" cy="206692"/>
            <wp:docPr id="5" name="Picture 5"/>
            <wp:cNvGraphicFramePr>
              <a:graphicFrameLocks noChangeAspect="1"/>
            </wp:cNvGraphicFramePr>
            <a:graphic>
              <a:graphicData uri="http://schemas.openxmlformats.org/drawingml/2006/picture">
                <pic:pic>
                  <pic:nvPicPr>
                    <pic:cNvPr id="0" name="eq_1897463b7814.png"/>
                    <pic:cNvPicPr/>
                  </pic:nvPicPr>
                  <pic:blipFill>
                    <a:blip r:embed="rId13"/>
                    <a:stretch>
                      <a:fillRect/>
                    </a:stretch>
                  </pic:blipFill>
                  <pic:spPr>
                    <a:xfrm>
                      <a:off x="0" y="0"/>
                      <a:ext cx="527420" cy="206692"/>
                    </a:xfrm>
                    <a:prstGeom prst="rect"/>
                  </pic:spPr>
                </pic:pic>
              </a:graphicData>
            </a:graphic>
          </wp:inline>
        </w:drawing>
      </w:r>
      <w:r>
        <w:t xml:space="preserve"> = sin colinealidad). En el modelo de referencia de la sesión los cinco predictores dieron VIF entre 1.50 y 2.47 (sin problema).</w:t>
      </w:r>
    </w:p>
    <w:p>
      <w:pPr>
        <w:pStyle w:val="ListBullet"/>
        <w:spacing w:after="40"/>
      </w:pPr>
      <w:r>
        <w:rPr>
          <w:b/>
        </w:rPr>
        <w:t>Umbral:</w:t>
      </w:r>
      <w:r>
        <w:t xml:space="preserve"> </w:t>
      </w:r>
      <w:r>
        <w:rPr>
          <w:b/>
        </w:rPr>
        <w:t>VIF mayor que 5</w:t>
      </w:r>
      <w:r>
        <w:t xml:space="preserve"> = colinealidad alta que merece atención; </w:t>
      </w:r>
      <w:r>
        <w:rPr>
          <w:b/>
        </w:rPr>
        <w:t>VIF mayor que 10</w:t>
      </w:r>
      <w:r>
        <w:t xml:space="preserve"> = severa (actuar). El par </w:t>
      </w:r>
      <w:r>
        <w:rPr>
          <w:rFonts w:ascii="Consolas" w:hAnsi="Consolas"/>
          <w:color w:val="9B1B30"/>
          <w:sz w:val="19"/>
        </w:rPr>
        <w:t>Garage Cars</w:t>
      </w:r>
      <w:r>
        <w:t xml:space="preserve"> y </w:t>
      </w:r>
      <w:r>
        <w:rPr>
          <w:rFonts w:ascii="Consolas" w:hAnsi="Consolas"/>
          <w:color w:val="9B1B30"/>
          <w:sz w:val="19"/>
        </w:rPr>
        <w:t>Garage Area</w:t>
      </w:r>
      <w:r>
        <w:t xml:space="preserve"> es el ejemplo colineal del dataset (VIF observado cercano a 5).</w:t>
      </w:r>
    </w:p>
    <w:p>
      <w:pPr>
        <w:pStyle w:val="ListBullet"/>
        <w:spacing w:after="40"/>
      </w:pPr>
      <w:r>
        <w:rPr>
          <w:b/>
        </w:rPr>
        <w:t>Qué hacer si falla:</w:t>
      </w:r>
      <w:r>
        <w:t xml:space="preserve"> eliminar, combinar o transformar el predictor redundante (selección por diagnóstico clásico, </w:t>
      </w:r>
      <w:r>
        <w:rPr>
          <w:b/>
        </w:rPr>
        <w:t>nunca por LASSO</w:t>
      </w:r>
      <w:r>
        <w:t xml:space="preserve"> — es de S05).</w:t>
      </w:r>
    </w:p>
    <w:p>
      <w:pPr>
        <w:pStyle w:val="ListBullet"/>
        <w:spacing w:after="40"/>
      </w:pPr>
      <w:r>
        <w:rPr>
          <w:b/>
        </w:rPr>
        <w:t>Error de interpretación frecuente:</w:t>
      </w:r>
      <w:r>
        <w:t xml:space="preserve"> </w:t>
      </w:r>
      <w:r>
        <w:rPr>
          <w:b/>
        </w:rPr>
        <w:t>no</w:t>
      </w:r>
      <w:r>
        <w:t xml:space="preserve"> interpretar el VIF del intercepto (</w:t>
      </w:r>
      <w:r>
        <w:rPr>
          <w:rFonts w:ascii="Consolas" w:hAnsi="Consolas"/>
          <w:color w:val="9B1B30"/>
          <w:sz w:val="19"/>
        </w:rPr>
        <w:t>const</w:t>
      </w:r>
      <w:r>
        <w:t>); en statsmodels resulta muy elevado por construcción y no se lee. La colinealidad compromete la interpretación de coeficientes, no la predicción.</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3. Homocedasticidad (diagnóstico visual) — escala-localización</w:t>
      </w:r>
    </w:p>
    <w:p>
      <w:pPr>
        <w:pStyle w:val="ListBullet"/>
        <w:spacing w:after="40"/>
      </w:pPr>
      <w:r>
        <w:t>[ ] Bloque revisado.</w:t>
      </w:r>
    </w:p>
    <w:p>
      <w:pPr>
        <w:pStyle w:val="ListBullet"/>
        <w:spacing w:after="40"/>
      </w:pPr>
      <w:r>
        <w:rPr>
          <w:b/>
        </w:rPr>
        <w:t>Qué mirar:</w:t>
      </w:r>
      <w:r>
        <w:t xml:space="preserve"> el ancho de la nube de residuales vs. ajustados y el gráfico escala-localización (raíz del valor absoluto del residual estandarizado contra los ajustados); la línea debería ser aproximadamente plana.</w:t>
      </w:r>
    </w:p>
    <w:p>
      <w:pPr>
        <w:pStyle w:val="ListBullet"/>
        <w:spacing w:after="40"/>
      </w:pPr>
      <w:r>
        <w:rPr>
          <w:b/>
        </w:rPr>
        <w:t>Señal de falla:</w:t>
      </w:r>
      <w:r>
        <w:t xml:space="preserve"> un </w:t>
      </w:r>
      <w:r>
        <w:rPr>
          <w:b/>
        </w:rPr>
        <w:t>embudo</w:t>
      </w:r>
      <w:r>
        <w:t xml:space="preserve"> (la dispersión crece con el valor ajustado) delata heterocedasticidad; típico en precios en nivel.</w:t>
      </w:r>
    </w:p>
    <w:p>
      <w:pPr>
        <w:pStyle w:val="ListBullet"/>
        <w:spacing w:after="40"/>
      </w:pPr>
      <w:r>
        <w:rPr>
          <w:b/>
        </w:rPr>
        <w:t>Qué hacer si falla:</w:t>
      </w:r>
      <w:r>
        <w:t xml:space="preserve"> pasar la respuesta a </w:t>
      </w:r>
      <w:r>
        <w:rPr>
          <w:b/>
        </w:rPr>
        <w:t>log</w:t>
      </w:r>
      <w:r>
        <w:t xml:space="preserve"> (o Box-Cox) y confirmar con la prueba formal del bloque 4. En el ejemplo de la sesión, pasar a </w:t>
      </w:r>
      <w:r>
        <w:rPr>
          <w:rFonts w:ascii="Consolas" w:hAnsi="Consolas"/>
          <w:color w:val="9B1B30"/>
          <w:sz w:val="19"/>
        </w:rPr>
        <w:t>log(SalePrice)</w:t>
      </w:r>
      <w:r>
        <w:t xml:space="preserve"> atacó directamente el embudo.</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4. Homocedasticidad (prueba formal) — Breusch-Pagan y errores robustos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4912821" cy="623454"/>
                  <wp:docPr id="6" name="Picture 6"/>
                  <wp:cNvGraphicFramePr>
                    <a:graphicFrameLocks noChangeAspect="1"/>
                  </wp:cNvGraphicFramePr>
                  <a:graphic>
                    <a:graphicData uri="http://schemas.openxmlformats.org/drawingml/2006/picture">
                      <pic:pic>
                        <pic:nvPicPr>
                          <pic:cNvPr id="0" name="eq_cc99b04a347a.png"/>
                          <pic:cNvPicPr/>
                        </pic:nvPicPr>
                        <pic:blipFill>
                          <a:blip r:embed="rId14"/>
                          <a:stretch>
                            <a:fillRect/>
                          </a:stretch>
                        </pic:blipFill>
                        <pic:spPr>
                          <a:xfrm>
                            <a:off x="0" y="0"/>
                            <a:ext cx="4912821" cy="623454"/>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(3)</w:t>
            </w:r>
          </w:p>
        </w:tc>
      </w:tr>
    </w:tbl>
    <w:p>
      <w:pPr>
        <w:spacing w:after="40"/>
      </w:pPr>
    </w:p>
    <w:p>
      <w:pPr>
        <w:pStyle w:val="ListBullet"/>
        <w:spacing w:after="40"/>
      </w:pPr>
      <w:r>
        <w:t>[ ] Bloque revisado.</w:t>
      </w:r>
    </w:p>
    <w:p>
      <w:pPr>
        <w:pStyle w:val="ListBullet"/>
        <w:spacing w:after="40"/>
      </w:pPr>
      <w:r>
        <w:rPr>
          <w:b/>
        </w:rPr>
        <w:t>Qué mirar:</w:t>
      </w:r>
      <w:r>
        <w:t xml:space="preserve"> el p-valor de la prueba de Breusch-Pagan (H0 = homocedasticidad). Referencia de la sesión: modelo en nivel </w:t>
      </w:r>
      <w:r>
        <w:rPr>
          <w:rFonts w:ascii="Consolas" w:hAnsi="Consolas"/>
          <w:color w:val="9B1B30"/>
          <w:sz w:val="19"/>
        </w:rPr>
        <w:t>SalePrice ~ Gr Liv Area</w:t>
      </w:r>
      <w:r>
        <w:t xml:space="preserve"> dio LM = 440.6, p aproximadamente 8·10⁻⁹⁸ (heterocedasticidad severa); al pasar a log </w:t>
      </w:r>
      <w:r>
        <w:rPr>
          <w:b/>
        </w:rPr>
        <w:t>y ampliar a los 5 predictores</w:t>
      </w:r>
      <w:r>
        <w:t xml:space="preserve"> el LM cayó a 83 (la caída es del log junto con el cambio de especificación, no del log solo), pero </w:t>
      </w:r>
      <w:r>
        <w:rPr>
          <w:b/>
        </w:rPr>
        <w:t>el modelo múltiple en log aún rechaza homocedasticidad (LM ≈ 83, p &lt; 0.05)</w:t>
      </w:r>
      <w:r>
        <w:t xml:space="preserve"> — el log atenúa el embudo, no lo elimina—, así que sus coeficientes de decisión (la tasación) se reportan igualmente con errores robustos HC3.</w:t>
      </w:r>
    </w:p>
    <w:p>
      <w:pPr>
        <w:pStyle w:val="ListBullet"/>
        <w:spacing w:after="40"/>
      </w:pPr>
      <w:r>
        <w:rPr>
          <w:b/>
        </w:rPr>
        <w:t>Criterio de decisión:</w:t>
      </w:r>
      <w:r>
        <w:t xml:space="preserve"> </w:t>
      </w:r>
      <w:r>
        <w:rPr>
          <w:b/>
        </w:rPr>
        <w:t>p menor que 0.05 ⇒ hay heterocedasticidad ⇒ usar errores estándar robustos (White / HC3)</w:t>
      </w:r>
      <w:r>
        <w:t xml:space="preserve"> y/o transformar Y.</w:t>
      </w:r>
    </w:p>
    <w:p>
      <w:pPr>
        <w:pStyle w:val="ListBullet"/>
        <w:spacing w:after="40"/>
      </w:pPr>
      <w:r>
        <w:rPr>
          <w:b/>
        </w:rPr>
        <w:t>Qué hacer si falla:</w:t>
      </w:r>
      <w:r>
        <w:t xml:space="preserve"> reajustar con </w:t>
      </w:r>
      <w:r>
        <w:rPr>
          <w:rFonts w:ascii="Consolas" w:hAnsi="Consolas"/>
          <w:color w:val="9B1B30"/>
          <w:sz w:val="19"/>
        </w:rPr>
        <w:t>cov_type="HC3"</w:t>
      </w:r>
      <w:r>
        <w:t xml:space="preserve">, que reemplaza la matriz de covarianzas clásica por el estimador sándwich robusto (3) (con el residual </w:t>
      </w:r>
      <w:r>
        <w:drawing>
          <wp:inline xmlns:a="http://schemas.openxmlformats.org/drawingml/2006/main" xmlns:pic="http://schemas.openxmlformats.org/drawingml/2006/picture">
            <wp:extent cx="188874" cy="206692"/>
            <wp:docPr id="7" name="Picture 7"/>
            <wp:cNvGraphicFramePr>
              <a:graphicFrameLocks noChangeAspect="1"/>
            </wp:cNvGraphicFramePr>
            <a:graphic>
              <a:graphicData uri="http://schemas.openxmlformats.org/drawingml/2006/picture">
                <pic:pic>
                  <pic:nvPicPr>
                    <pic:cNvPr id="0" name="eq_c8a397e738d6.png"/>
                    <pic:cNvPicPr/>
                  </pic:nvPicPr>
                  <pic:blipFill>
                    <a:blip r:embed="rId15"/>
                    <a:stretch>
                      <a:fillRect/>
                    </a:stretch>
                  </pic:blipFill>
                  <pic:spPr>
                    <a:xfrm>
                      <a:off x="0" y="0"/>
                      <a:ext cx="188874" cy="206692"/>
                    </a:xfrm>
                    <a:prstGeom prst="rect"/>
                  </pic:spPr>
                </pic:pic>
              </a:graphicData>
            </a:graphic>
          </wp:inline>
        </w:drawing>
      </w:r>
      <w:r>
        <w:t xml:space="preserve"> y el apalancamiento </w:t>
      </w:r>
      <w:r>
        <w:drawing>
          <wp:inline xmlns:a="http://schemas.openxmlformats.org/drawingml/2006/main" xmlns:pic="http://schemas.openxmlformats.org/drawingml/2006/picture">
            <wp:extent cx="192437" cy="206692"/>
            <wp:docPr id="8" name="Picture 8"/>
            <wp:cNvGraphicFramePr>
              <a:graphicFrameLocks noChangeAspect="1"/>
            </wp:cNvGraphicFramePr>
            <a:graphic>
              <a:graphicData uri="http://schemas.openxmlformats.org/drawingml/2006/picture">
                <pic:pic>
                  <pic:nvPicPr>
                    <pic:cNvPr id="0" name="eq_eb0af772b0fd.png"/>
                    <pic:cNvPicPr/>
                  </pic:nvPicPr>
                  <pic:blipFill>
                    <a:blip r:embed="rId16"/>
                    <a:stretch>
                      <a:fillRect/>
                    </a:stretch>
                  </pic:blipFill>
                  <pic:spPr>
                    <a:xfrm>
                      <a:off x="0" y="0"/>
                      <a:ext cx="192437" cy="206692"/>
                    </a:xfrm>
                    <a:prstGeom prst="rect"/>
                  </pic:spPr>
                </pic:pic>
              </a:graphicData>
            </a:graphic>
          </wp:inline>
        </w:drawing>
      </w:r>
      <w:r>
        <w:t xml:space="preserve"> de cada observación). Los coeficientes no cambian; sus SE, t y p-valores se vuelven más honestos. En el ejemplo, el SE de </w:t>
      </w:r>
      <w:r>
        <w:rPr>
          <w:rFonts w:ascii="Consolas" w:hAnsi="Consolas"/>
          <w:color w:val="9B1B30"/>
          <w:sz w:val="19"/>
        </w:rPr>
        <w:t>Gr Liv Area</w:t>
      </w:r>
      <w:r>
        <w:t xml:space="preserve"> pasó de 2.08 (OLS) a 3.01 (HC3), cerca de un 45 % mayor.</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5. Normalidad de los residuales — Q-Q plot y Jarque-Bera</w:t>
      </w:r>
    </w:p>
    <w:p>
      <w:pPr>
        <w:pStyle w:val="ListBullet"/>
        <w:spacing w:after="40"/>
      </w:pPr>
      <w:r>
        <w:t>[ ] Bloque revisado.</w:t>
      </w:r>
    </w:p>
    <w:p>
      <w:pPr>
        <w:pStyle w:val="ListBullet"/>
        <w:spacing w:after="40"/>
      </w:pPr>
      <w:r>
        <w:rPr>
          <w:b/>
        </w:rPr>
        <w:t>Qué mirar:</w:t>
      </w:r>
      <w:r>
        <w:t xml:space="preserve"> el Q-Q plot compara los cuantiles de los residuales con los de una normal (puntos sobre la diagonal ⇒ residuales aproximadamente normales) y la prueba de </w:t>
      </w:r>
      <w:r>
        <w:rPr>
          <w:b/>
        </w:rPr>
        <w:t>Jarque-Bera</w:t>
      </w:r>
      <w:r>
        <w:t xml:space="preserve"> lo formaliza (H0 = normalidad).</w:t>
      </w:r>
    </w:p>
    <w:p>
      <w:pPr>
        <w:pStyle w:val="ListBullet"/>
        <w:spacing w:after="40"/>
      </w:pPr>
      <w:r>
        <w:rPr>
          <w:b/>
        </w:rPr>
        <w:t>Señal de falla:</w:t>
      </w:r>
      <w:r>
        <w:t xml:space="preserve"> colas que se despegan de la diagonal (forma de S) ⇒ asimetría o valores extremos.</w:t>
      </w:r>
    </w:p>
    <w:p>
      <w:pPr>
        <w:pStyle w:val="ListBullet"/>
        <w:spacing w:after="40"/>
      </w:pPr>
      <w:r>
        <w:rPr>
          <w:b/>
        </w:rPr>
        <w:t>Referencia de la sesión (leerla sin suavizar):</w:t>
      </w:r>
      <w:r>
        <w:t xml:space="preserve"> el modelo múltiple en log </w:t>
      </w:r>
      <w:r>
        <w:rPr>
          <w:b/>
        </w:rPr>
        <w:t>rechaza la normalidad con contundencia</w:t>
      </w:r>
      <w:r>
        <w:t xml:space="preserve"> — </w:t>
      </w:r>
      <w:r>
        <w:rPr>
          <w:b/>
        </w:rPr>
        <w:t>Jarque-Bera aproximadamente 16 160, p aproximadamente 0</w:t>
      </w:r>
      <w:r>
        <w:t xml:space="preserve">: hay </w:t>
      </w:r>
      <w:r>
        <w:rPr>
          <w:b/>
        </w:rPr>
        <w:t>colas pesadas</w:t>
      </w:r>
      <w:r>
        <w:t>, no una desviación leve.</w:t>
      </w:r>
    </w:p>
    <w:p>
      <w:pPr>
        <w:pStyle w:val="ListBullet"/>
        <w:spacing w:after="40"/>
      </w:pPr>
      <w:r>
        <w:rPr>
          <w:b/>
        </w:rPr>
        <w:t>Qué hacer si falla:</w:t>
      </w:r>
      <w:r>
        <w:t xml:space="preserve"> la normalidad </w:t>
      </w:r>
      <w:r>
        <w:rPr>
          <w:b/>
        </w:rPr>
        <w:t>no</w:t>
      </w:r>
      <w:r>
        <w:t xml:space="preserve"> es supuesto de Gauss-Markov, así que el OLS todavía es BLUE; en muestras grandes el </w:t>
      </w:r>
      <w:r>
        <w:rPr>
          <w:b/>
        </w:rPr>
        <w:t>teorema central del límite</w:t>
      </w:r>
      <w:r>
        <w:t xml:space="preserve"> vuelve aproximadamente válida la inferencia </w:t>
      </w:r>
      <w:r>
        <w:rPr>
          <w:b/>
        </w:rPr>
        <w:t>de los coeficientes</w:t>
      </w:r>
      <w:r>
        <w:t xml:space="preserve"> (n aproximadamente 2923). El límite honesto: el TCL </w:t>
      </w:r>
      <w:r>
        <w:rPr>
          <w:b/>
        </w:rPr>
        <w:t>no</w:t>
      </w:r>
      <w:r>
        <w:t xml:space="preserve"> salva los </w:t>
      </w:r>
      <w:r>
        <w:rPr>
          <w:b/>
        </w:rPr>
        <w:t>intervalos de predicción por vivienda</w:t>
      </w:r>
      <w:r>
        <w:t xml:space="preserve">, que sí dependen de la forma de la distribución del error y con colas pesadas quedan mal calibrados. Por eso la incertidumbre de los coeficientes se reporta con </w:t>
      </w:r>
      <w:r>
        <w:rPr>
          <w:b/>
        </w:rPr>
        <w:t>HC3</w:t>
      </w:r>
      <w:r>
        <w:t xml:space="preserve"> (o bootstrap) y la banda por tasación se comunica como el </w:t>
      </w:r>
      <w:r>
        <w:rPr>
          <w:b/>
        </w:rPr>
        <w:t>RMSE de la validación cruzada</w:t>
      </w:r>
      <w:r>
        <w:t>, no como un intervalo normal exacto. Si n es pequeña, transformar Y o interpretar los intervalos con cautela.</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6. Independencia — Durbin-Watson (autocorrelación / dependencia espacial)</w:t>
      </w:r>
    </w:p>
    <w:p>
      <w:pPr>
        <w:pStyle w:val="ListBullet"/>
        <w:spacing w:after="40"/>
      </w:pPr>
      <w:r>
        <w:t>[ ] Bloque revisado.</w:t>
      </w:r>
    </w:p>
    <w:p>
      <w:pPr>
        <w:pStyle w:val="ListBullet"/>
        <w:spacing w:after="40"/>
      </w:pPr>
      <w:r>
        <w:rPr>
          <w:b/>
        </w:rPr>
        <w:t>Qué mirar:</w:t>
      </w:r>
      <w:r>
        <w:t xml:space="preserve"> el estadístico Durbin-Watson, entre 0 y 4. Referencia de la sesión: DW aproximadamente </w:t>
      </w:r>
      <w:r>
        <w:rPr>
          <w:b/>
        </w:rPr>
        <w:t>1.68</w:t>
      </w:r>
      <w:r>
        <w:t>.</w:t>
      </w:r>
    </w:p>
    <w:p>
      <w:pPr>
        <w:pStyle w:val="ListBullet"/>
        <w:spacing w:after="40"/>
      </w:pPr>
      <w:r>
        <w:rPr>
          <w:b/>
        </w:rPr>
        <w:t>Criterio (con la condición previa que casi siempre se olvida):</w:t>
      </w:r>
      <w:r>
        <w:t xml:space="preserve"> el DW contrasta la correlación entre residuales </w:t>
      </w:r>
      <w:r>
        <w:rPr>
          <w:b/>
        </w:rPr>
        <w:t>consecutivos</w:t>
      </w:r>
      <w:r>
        <w:t xml:space="preserve">, de modo que </w:t>
      </w:r>
      <w:r>
        <w:rPr>
          <w:b/>
        </w:rPr>
        <w:t>solo informa si el orden de las filas significa algo</w:t>
      </w:r>
      <w:r>
        <w:t xml:space="preserve"> (temporal o espacial) — y esa premisa hay que </w:t>
      </w:r>
      <w:r>
        <w:rPr>
          <w:b/>
        </w:rPr>
        <w:t>verificarla</w:t>
      </w:r>
      <w:r>
        <w:t>, no suponerla. Cuando el orden informa: cercano a 2 = sin dependencia; menor que 1.5 = positiva; mayor que 2.5 = negativa.</w:t>
      </w:r>
    </w:p>
    <w:p>
      <w:pPr>
        <w:pStyle w:val="ListBullet"/>
        <w:spacing w:after="40"/>
      </w:pPr>
      <w:r>
        <w:rPr>
          <w:b/>
        </w:rPr>
        <w:t>En Ames el orden SÍ informa: es geográfico.</w:t>
      </w:r>
      <w:r>
        <w:t xml:space="preserve"> </w:t>
      </w:r>
      <w:r>
        <w:rPr>
          <w:rFonts w:ascii="Consolas" w:hAnsi="Consolas"/>
          <w:color w:val="9B1B30"/>
          <w:sz w:val="19"/>
        </w:rPr>
        <w:t>AmesHousing.csv</w:t>
      </w:r>
      <w:r>
        <w:t xml:space="preserve"> viene ordenado por </w:t>
      </w:r>
      <w:r>
        <w:rPr>
          <w:rFonts w:ascii="Consolas" w:hAnsi="Consolas"/>
          <w:color w:val="9B1B30"/>
          <w:sz w:val="19"/>
        </w:rPr>
        <w:t>PID</w:t>
      </w:r>
      <w:r>
        <w:t xml:space="preserve"> y </w:t>
      </w:r>
      <w:r>
        <w:rPr>
          <w:b/>
        </w:rPr>
        <w:t>agrupado por barrio</w:t>
      </w:r>
      <w:r>
        <w:t xml:space="preserve"> (86.4 % de filas contiguas comparten </w:t>
      </w:r>
      <w:r>
        <w:rPr>
          <w:rFonts w:ascii="Consolas" w:hAnsi="Consolas"/>
          <w:color w:val="9B1B30"/>
          <w:sz w:val="19"/>
        </w:rPr>
        <w:t>Neighborhood</w:t>
      </w:r>
      <w:r>
        <w:t xml:space="preserve">, frente a ~7 % al azar). El experimento de la sesión (hoja </w:t>
      </w:r>
      <w:r>
        <w:rPr>
          <w:rFonts w:ascii="Consolas" w:hAnsi="Consolas"/>
          <w:color w:val="9B1B30"/>
          <w:sz w:val="19"/>
        </w:rPr>
        <w:t>se_cluster_barrio</w:t>
      </w:r>
      <w:r>
        <w:t xml:space="preserve"> del Excel) lo demuestra: con los residuos </w:t>
      </w:r>
      <w:r>
        <w:rPr>
          <w:b/>
        </w:rPr>
        <w:t>barajados</w:t>
      </w:r>
      <w:r>
        <w:t xml:space="preserve"> el DW vuelve a ≈ 1.97 ≈ 2, y </w:t>
      </w:r>
      <w:r>
        <w:rPr>
          <w:b/>
        </w:rPr>
        <w:t>ordenado por barrio</w:t>
      </w:r>
      <w:r>
        <w:t xml:space="preserve"> reproduce el valor original (1.70 ≈ 1.68). Como DW aproximadamente 2(1 − ρ̂), el 1.68 equivale a </w:t>
      </w:r>
      <w:r>
        <w:rPr>
          <w:b/>
        </w:rPr>
        <w:t>ρ̂ ≈ 0.16</w:t>
      </w:r>
      <w:r>
        <w:t xml:space="preserve"> de </w:t>
      </w:r>
      <w:r>
        <w:rPr>
          <w:b/>
        </w:rPr>
        <w:t>dependencia espacial residual real</w:t>
      </w:r>
      <w:r>
        <w:t xml:space="preserve"> (las casas del mismo barrio comparten residual). Se penalizan las dos lecturas fáciles: «cercano a 2, luego limpio» </w:t>
      </w:r>
      <w:r>
        <w:rPr>
          <w:b/>
        </w:rPr>
        <w:t>y</w:t>
      </w:r>
      <w:r>
        <w:t xml:space="preserve"> «no aplica (corte transversal)».</w:t>
      </w:r>
    </w:p>
    <w:p>
      <w:pPr>
        <w:pStyle w:val="ListBullet"/>
        <w:spacing w:after="40"/>
      </w:pPr>
      <w:r>
        <w:rPr>
          <w:b/>
        </w:rPr>
        <w:t>Qué hacer:</w:t>
      </w:r>
      <w:r>
        <w:t xml:space="preserve"> reportar el valor, </w:t>
      </w:r>
      <w:r>
        <w:rPr>
          <w:b/>
        </w:rPr>
        <w:t>declarar que el orden del CSV es geográfico</w:t>
      </w:r>
      <w:r>
        <w:t xml:space="preserve"> y tratar la dependencia: con dependencia intra-barrio los SE clásicos </w:t>
      </w:r>
      <w:r>
        <w:rPr>
          <w:b/>
        </w:rPr>
        <w:t>y los HC3</w:t>
      </w:r>
      <w:r>
        <w:t xml:space="preserve"> son optimistas, así que en S04 la incertidumbre se contrasta con </w:t>
      </w:r>
      <w:r>
        <w:rPr>
          <w:b/>
        </w:rPr>
        <w:t>errores estándar de clúster por barrio</w:t>
      </w:r>
      <w:r>
        <w:t xml:space="preserve"> (hoja </w:t>
      </w:r>
      <w:r>
        <w:rPr>
          <w:rFonts w:ascii="Consolas" w:hAnsi="Consolas"/>
          <w:color w:val="9B1B30"/>
          <w:sz w:val="19"/>
        </w:rPr>
        <w:t>se_cluster_barrio</w:t>
      </w:r>
      <w:r>
        <w:t xml:space="preserve">: SE ×2.3–2.9 en los coeficientes clave). El tratamiento espacial/temporal completo (Newey-West/HAC, modelos de series o espaciales) corresponde a </w:t>
      </w:r>
      <w:r>
        <w:rPr>
          <w:b/>
        </w:rPr>
        <w:t>S11+</w:t>
      </w:r>
      <w:r>
        <w:t>.</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7. Observaciones influyentes — distancia de Cook</w:t>
      </w:r>
    </w:p>
    <w:p>
      <w:pPr>
        <w:pStyle w:val="ListBullet"/>
        <w:spacing w:after="40"/>
      </w:pPr>
      <w:r>
        <w:t>[ ] Bloque revisado.</w:t>
      </w:r>
    </w:p>
    <w:p>
      <w:pPr>
        <w:pStyle w:val="ListBullet"/>
        <w:spacing w:after="40"/>
      </w:pPr>
      <w:r>
        <w:rPr>
          <w:b/>
        </w:rPr>
        <w:t>Qué mirar:</w:t>
      </w:r>
      <w:r>
        <w:t xml:space="preserve"> la distancia de Cook D_i de cada observación (cuánto se desplazan todas las predicciones si se la elimina). Umbral práctico </w:t>
      </w:r>
      <w:r>
        <w:rPr>
          <w:b/>
        </w:rPr>
        <w:t>D_i mayor que 4/n</w:t>
      </w:r>
      <w:r>
        <w:t>. Referencia de la sesión (n = 2923, 4/n aproximadamente 0.00137): 192 observaciones lo superaron.</w:t>
      </w:r>
    </w:p>
    <w:p>
      <w:pPr>
        <w:pStyle w:val="ListBullet"/>
        <w:spacing w:after="40"/>
      </w:pPr>
      <w:r>
        <w:rPr>
          <w:b/>
        </w:rPr>
        <w:t>Lectura correcta:</w:t>
      </w:r>
      <w:r>
        <w:t xml:space="preserve"> 4/n marca </w:t>
      </w:r>
      <w:r>
        <w:rPr>
          <w:b/>
        </w:rPr>
        <w:t>candidatos a inspección</w:t>
      </w:r>
      <w:r>
        <w:t xml:space="preserve">, no a borrado; se revisan primero los D_i mucho mayores (cercanos o superiores a 1) y se investiga </w:t>
      </w:r>
      <w:r>
        <w:rPr>
          <w:i/>
        </w:rPr>
        <w:t>por qué</w:t>
      </w:r>
      <w:r>
        <w:t xml:space="preserve"> son extremos.</w:t>
      </w:r>
    </w:p>
    <w:p>
      <w:pPr>
        <w:pStyle w:val="ListBullet"/>
        <w:spacing w:after="40"/>
      </w:pPr>
      <w:r>
        <w:rPr>
          <w:b/>
        </w:rPr>
        <w:t>Qué hacer si falla:</w:t>
      </w:r>
      <w:r>
        <w:t xml:space="preserve"> borrar solo con razón sustantiva. Ejemplo del dataset: las 5 casas con </w:t>
      </w:r>
      <w:r>
        <w:rPr>
          <w:rFonts w:ascii="Consolas" w:hAnsi="Consolas"/>
          <w:color w:val="9B1B30"/>
          <w:sz w:val="19"/>
        </w:rPr>
        <w:t>Gr Liv Area</w:t>
      </w:r>
      <w:r>
        <w:t xml:space="preserve"> mayor que 4000 pie² (3 ventas </w:t>
      </w:r>
      <w:r>
        <w:rPr>
          <w:rFonts w:ascii="Consolas" w:hAnsi="Consolas"/>
          <w:color w:val="9B1B30"/>
          <w:sz w:val="19"/>
        </w:rPr>
        <w:t>Partial</w:t>
      </w:r>
      <w:r>
        <w:t xml:space="preserve"> no de mercado + 2 mansiones legítimas) que De Cock recomienda remover.</w:t>
      </w:r>
    </w:p>
    <w:p>
      <w:pPr>
        <w:pStyle w:val="ListBullet"/>
        <w:spacing w:after="40"/>
      </w:pPr>
      <w:r>
        <w:rPr>
          <w:b/>
        </w:rPr>
        <w:t>Riesgo a evitar:</w:t>
      </w:r>
      <w:r>
        <w:t xml:space="preserve"> eliminar automáticamente todo punto con D_i mayor que 4/n descarta observaciones legítimas y sesga el modelo.</w:t>
      </w:r>
    </w:p>
    <w:p>
      <w:pPr>
        <w:pStyle w:val="ListBullet"/>
        <w:spacing w:after="40"/>
      </w:pPr>
      <w:r>
        <w:rPr>
          <w:b/>
        </w:rPr>
        <w:t>Resultado / decisión:</w:t>
      </w:r>
      <w:r>
        <w:t xml:space="preserve"> ________________________________________________</w:t>
      </w:r>
    </w:p>
    <w:p>
      <w:pPr>
        <w:spacing w:before="40" w:after="40"/>
        <w:pBdr>
          <w:bottom w:val="single" w:sz="6" w:space="1" w:color="D9D9D9"/>
        </w:pBdr>
      </w:pPr>
    </w:p>
    <w:p>
      <w:pPr>
        <w:keepNext/>
        <w:spacing w:before="240" w:after="60"/>
        <w:pBdr>
          <w:bottom w:val="single" w:sz="6" w:space="2" w:color="E4002B"/>
        </w:pBdr>
      </w:pPr>
      <w:r>
        <w:rPr>
          <w:b/>
          <w:color w:val="E4002B"/>
          <w:sz w:val="30"/>
        </w:rPr>
        <w:t>Supuestos y diagnósticos (fuente única y dos decisiones de modelado)</w:t>
      </w:r>
    </w:p>
    <w:p>
      <w:pPr>
        <w:jc w:val="both"/>
      </w:pPr>
      <w:r>
        <w:t xml:space="preserve">Los siete bloques anteriores </w:t>
      </w:r>
      <w:r>
        <w:rPr>
          <w:b/>
        </w:rPr>
        <w:t>son</w:t>
      </w:r>
      <w:r>
        <w:t xml:space="preserve"> el diagnóstico de los supuestos del OLS múltiple; esta sección los mapea a su fuente canónica y añade las </w:t>
      </w:r>
      <w:r>
        <w:rPr>
          <w:b/>
        </w:rPr>
        <w:t>dos decisiones de modelado</w:t>
      </w:r>
      <w:r>
        <w:t xml:space="preserve"> que el checklist también controla y que no son bloques de diagnóstico: la </w:t>
      </w:r>
      <w:r>
        <w:rPr>
          <w:b/>
        </w:rPr>
        <w:t>codificación de categóricas</w:t>
      </w:r>
      <w:r>
        <w:t xml:space="preserve"> (dummies) y las </w:t>
      </w:r>
      <w:r>
        <w:rPr>
          <w:b/>
        </w:rPr>
        <w:t>interacciones</w:t>
      </w:r>
      <w:r>
        <w:t>. El desarrollo completo de cada supuesto —qué es, cómo se identifica con su umbral, cómo se corrige con qué método y hasta dónde llega S04— es la guía de supuestos de la sesión.</w:t>
      </w:r>
    </w:p>
    <w:p>
      <w:pPr>
        <w:jc w:val="both"/>
      </w:pPr>
      <w:r>
        <w:t xml:space="preserve">Con un término de interacción </w:t>
      </w:r>
      <w:r>
        <w:rPr>
          <w:rFonts w:ascii="Consolas" w:hAnsi="Consolas"/>
          <w:color w:val="9B1B30"/>
          <w:sz w:val="19"/>
        </w:rPr>
        <w:t>X × Z</w:t>
      </w:r>
      <w:r>
        <w:t xml:space="preserve"> el modelo deja de ser puramente aditivo:</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855421" cy="295101"/>
                  <wp:docPr id="9" name="Picture 9"/>
                  <wp:cNvGraphicFramePr>
                    <a:graphicFrameLocks noChangeAspect="1"/>
                  </wp:cNvGraphicFramePr>
                  <a:graphic>
                    <a:graphicData uri="http://schemas.openxmlformats.org/drawingml/2006/picture">
                      <pic:pic>
                        <pic:nvPicPr>
                          <pic:cNvPr id="0" name="eq_f9625b3f0d0c.png"/>
                          <pic:cNvPicPr/>
                        </pic:nvPicPr>
                        <pic:blipFill>
                          <a:blip r:embed="rId17"/>
                          <a:stretch>
                            <a:fillRect/>
                          </a:stretch>
                        </pic:blipFill>
                        <pic:spPr>
                          <a:xfrm>
                            <a:off x="0" y="0"/>
                            <a:ext cx="2855421" cy="295101"/>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(4)</w:t>
            </w:r>
          </w:p>
        </w:tc>
      </w:tr>
    </w:tbl>
    <w:p>
      <w:pPr>
        <w:spacing w:after="40"/>
      </w:pPr>
    </w:p>
    <w:p>
      <w:pPr>
        <w:jc w:val="both"/>
      </w:pPr>
      <w:r>
        <w:t xml:space="preserve">y la pendiente de x ya no es constante, sino el </w:t>
      </w:r>
      <w:r>
        <w:rPr>
          <w:b/>
        </w:rPr>
        <w:t>efecto marginal</w:t>
      </w:r>
      <w:r>
        <w:t xml:space="preserve"> condicionado al valor de z:</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1620981" cy="353290"/>
                  <wp:docPr id="10" name="Picture 10"/>
                  <wp:cNvGraphicFramePr>
                    <a:graphicFrameLocks noChangeAspect="1"/>
                  </wp:cNvGraphicFramePr>
                  <a:graphic>
                    <a:graphicData uri="http://schemas.openxmlformats.org/drawingml/2006/picture">
                      <pic:pic>
                        <pic:nvPicPr>
                          <pic:cNvPr id="0" name="eq_42f9c0f2115b.png"/>
                          <pic:cNvPicPr/>
                        </pic:nvPicPr>
                        <pic:blipFill>
                          <a:blip r:embed="rId18"/>
                          <a:stretch>
                            <a:fillRect/>
                          </a:stretch>
                        </pic:blipFill>
                        <pic:spPr>
                          <a:xfrm>
                            <a:off x="0" y="0"/>
                            <a:ext cx="1620981" cy="353290"/>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(5)</w:t>
            </w:r>
          </w:p>
        </w:tc>
      </w:tr>
    </w:tbl>
    <w:p>
      <w:pPr>
        <w:spacing w:after="40"/>
      </w:pPr>
    </w:p>
    <w:p>
      <w:pPr>
        <w:jc w:val="both"/>
      </w:pPr>
      <w:r>
        <w:t xml:space="preserve">Por eso, con interacción (4), el coeficiente principal </w:t>
      </w:r>
      <w:r>
        <w:drawing>
          <wp:inline xmlns:a="http://schemas.openxmlformats.org/drawingml/2006/main" xmlns:pic="http://schemas.openxmlformats.org/drawingml/2006/picture">
            <wp:extent cx="220705" cy="206692"/>
            <wp:docPr id="11" name="Picture 11"/>
            <wp:cNvGraphicFramePr>
              <a:graphicFrameLocks noChangeAspect="1"/>
            </wp:cNvGraphicFramePr>
            <a:graphic>
              <a:graphicData uri="http://schemas.openxmlformats.org/drawingml/2006/picture">
                <pic:pic>
                  <pic:nvPicPr>
                    <pic:cNvPr id="0" name="eq_c48ee430094c.png"/>
                    <pic:cNvPicPr/>
                  </pic:nvPicPr>
                  <pic:blipFill>
                    <a:blip r:embed="rId19"/>
                    <a:stretch>
                      <a:fillRect/>
                    </a:stretch>
                  </pic:blipFill>
                  <pic:spPr>
                    <a:xfrm>
                      <a:off x="0" y="0"/>
                      <a:ext cx="220705" cy="206692"/>
                    </a:xfrm>
                    <a:prstGeom prst="rect"/>
                  </pic:spPr>
                </pic:pic>
              </a:graphicData>
            </a:graphic>
          </wp:inline>
        </w:drawing>
      </w:r>
      <w:r>
        <w:t xml:space="preserve"> es el efecto </w:t>
      </w:r>
      <w:r>
        <w:rPr>
          <w:b/>
        </w:rPr>
        <w:t>solo</w:t>
      </w:r>
      <w:r>
        <w:t xml:space="preserve"> cuando z = 0 (grupo de referencia) y la pendiente efectiva es la de (5); leer </w:t>
      </w:r>
      <w:r>
        <w:drawing>
          <wp:inline xmlns:a="http://schemas.openxmlformats.org/drawingml/2006/main" xmlns:pic="http://schemas.openxmlformats.org/drawingml/2006/picture">
            <wp:extent cx="220705" cy="206692"/>
            <wp:docPr id="12" name="Picture 12"/>
            <wp:cNvGraphicFramePr>
              <a:graphicFrameLocks noChangeAspect="1"/>
            </wp:cNvGraphicFramePr>
            <a:graphic>
              <a:graphicData uri="http://schemas.openxmlformats.org/drawingml/2006/picture">
                <pic:pic>
                  <pic:nvPicPr>
                    <pic:cNvPr id="0" name="eq_c48ee430094c.png"/>
                    <pic:cNvPicPr/>
                  </pic:nvPicPr>
                  <pic:blipFill>
                    <a:blip r:embed="rId19"/>
                    <a:stretch>
                      <a:fillRect/>
                    </a:stretch>
                  </pic:blipFill>
                  <pic:spPr>
                    <a:xfrm>
                      <a:off x="0" y="0"/>
                      <a:ext cx="220705" cy="206692"/>
                    </a:xfrm>
                    <a:prstGeom prst="rect"/>
                  </pic:spPr>
                </pic:pic>
              </a:graphicData>
            </a:graphic>
          </wp:inline>
        </w:drawing>
      </w:r>
      <w:r>
        <w:t xml:space="preserve"> de forma aislada como «el efecto del tamaño» es engañoso.</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3249"/>
        <w:gridCol w:w="3249"/>
        <w:gridCol w:w="3249"/>
      </w:tblGrid>
      <w:tr>
        <w:tc>
          <w:tcPr>
            <w:tcW w:type="dxa" w:w="3249"/>
            <w:tcMar>
              <w:top w:w="60" w:type="dxa"/>
              <w:bottom w:w="60" w:type="dxa"/>
              <w:start w:w="110" w:type="dxa"/>
              <w:end w:w="110" w:type="dxa"/>
            </w:tcMar>
            <w:vAlign w:val="center"/>
            <w:shd w:val="clear" w:color="auto" w:fill="E4002B"/>
          </w:tcPr>
          <w:p>
            <w:pPr>
              <w:spacing w:after="0"/>
            </w:pPr>
            <w:r/>
            <w:r>
              <w:rPr>
                <w:b/>
                <w:color w:val="FFFFFF"/>
                <w:sz w:val="19"/>
              </w:rPr>
              <w:t>Supuesto / decisión</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Cómo identificar (umbral)</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Cómo corregir (con qué método)</w:t>
            </w:r>
          </w:p>
        </w:tc>
      </w:tr>
      <w:tr>
        <w:tc>
          <w:tcPr>
            <w:tcW w:type="dxa" w:w="3249"/>
            <w:tcMar>
              <w:top w:w="60" w:type="dxa"/>
              <w:bottom w:w="60" w:type="dxa"/>
              <w:start w:w="110" w:type="dxa"/>
              <w:end w:w="110" w:type="dxa"/>
            </w:tcMar>
            <w:vAlign w:val="center"/>
          </w:tcPr>
          <w:p>
            <w:pPr>
              <w:spacing w:after="0"/>
            </w:pPr>
            <w:r>
              <w:rPr>
                <w:sz w:val="19"/>
              </w:rPr>
            </w:r>
            <w:r>
              <w:rPr>
                <w:b/>
                <w:sz w:val="19"/>
              </w:rPr>
              <w:t>Multicolinealidad / VIF</w:t>
            </w:r>
            <w:r>
              <w:rPr>
                <w:sz w:val="19"/>
              </w:rPr>
              <w:t xml:space="preserve"> (1.5, estrella de S04)</w:t>
            </w:r>
          </w:p>
        </w:tc>
        <w:tc>
          <w:tcPr>
            <w:tcW w:type="dxa" w:w="3249"/>
            <w:tcMar>
              <w:top w:w="60" w:type="dxa"/>
              <w:bottom w:w="60" w:type="dxa"/>
              <w:start w:w="110" w:type="dxa"/>
              <w:end w:w="110" w:type="dxa"/>
            </w:tcMar>
            <w:vAlign w:val="center"/>
          </w:tcPr>
          <w:p>
            <w:pPr>
              <w:spacing w:after="0"/>
            </w:pPr>
            <w:r>
              <w:rPr>
                <w:sz w:val="19"/>
              </w:rPr>
            </w:r>
            <w:r>
              <w:rPr>
                <w:sz w:val="19"/>
              </w:rPr>
              <w:t>VIF (2) (</w:t>
            </w:r>
            <w:r>
              <w:rPr>
                <w:rFonts w:ascii="Consolas" w:hAnsi="Consolas"/>
                <w:color w:val="9B1B30"/>
                <w:sz w:val="19"/>
              </w:rPr>
              <w:t>&gt;5</w:t>
            </w:r>
            <w:r>
              <w:rPr>
                <w:sz w:val="19"/>
              </w:rPr>
              <w:t xml:space="preserve"> preocupa, </w:t>
            </w:r>
            <w:r>
              <w:rPr>
                <w:rFonts w:ascii="Consolas" w:hAnsi="Consolas"/>
                <w:color w:val="9B1B30"/>
                <w:sz w:val="19"/>
              </w:rPr>
              <w:t>&gt;10</w:t>
            </w:r>
            <w:r>
              <w:rPr>
                <w:sz w:val="19"/>
              </w:rPr>
              <w:t xml:space="preserve"> severa); matriz de correlaciones (</w:t>
            </w:r>
            <w:r>
              <w:rPr>
                <w:rFonts w:ascii="Consolas" w:hAnsi="Consolas"/>
                <w:color w:val="9B1B30"/>
                <w:sz w:val="19"/>
              </w:rPr>
              <w:t>&gt;0,8–0,9</w:t>
            </w:r>
            <w:r>
              <w:rPr>
                <w:sz w:val="19"/>
              </w:rPr>
              <w:t>); signos/SE inestables</w:t>
            </w:r>
          </w:p>
        </w:tc>
        <w:tc>
          <w:tcPr>
            <w:tcW w:type="dxa" w:w="3249"/>
            <w:tcMar>
              <w:top w:w="60" w:type="dxa"/>
              <w:bottom w:w="60" w:type="dxa"/>
              <w:start w:w="110" w:type="dxa"/>
              <w:end w:w="110" w:type="dxa"/>
            </w:tcMar>
            <w:vAlign w:val="center"/>
          </w:tcPr>
          <w:p>
            <w:pPr>
              <w:spacing w:after="0"/>
            </w:pPr>
            <w:r>
              <w:rPr>
                <w:sz w:val="19"/>
              </w:rPr>
            </w:r>
            <w:r>
              <w:rPr>
                <w:b/>
                <w:sz w:val="19"/>
              </w:rPr>
              <w:t>Quitar o combinar</w:t>
            </w:r>
            <w:r>
              <w:rPr>
                <w:sz w:val="19"/>
              </w:rPr>
              <w:t xml:space="preserve"> predictores redundantes; recolectar datos — </w:t>
            </w:r>
            <w:r>
              <w:rPr>
                <w:i/>
                <w:sz w:val="19"/>
              </w:rPr>
              <w:t>Ridge/Lasso → S05, PCA → S06</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Homocedasticidad / Breusch-Pagan → HC3</w:t>
            </w:r>
            <w:r>
              <w:rPr>
                <w:sz w:val="19"/>
              </w:rPr>
              <w:t xml:space="preserve"> (1.3)</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Abanico en residuales vs. ajustados; Breusch-Pagan </w:t>
            </w:r>
            <w:r>
              <w:rPr>
                <w:rFonts w:ascii="Consolas" w:hAnsi="Consolas"/>
                <w:color w:val="9B1B30"/>
                <w:sz w:val="19"/>
              </w:rPr>
              <w:t>p&lt;0,05</w:t>
            </w:r>
          </w:p>
        </w:tc>
        <w:tc>
          <w:tcPr>
            <w:tcW w:type="dxa" w:w="3249"/>
            <w:tcMar>
              <w:top w:w="60" w:type="dxa"/>
              <w:bottom w:w="60" w:type="dxa"/>
              <w:start w:w="110" w:type="dxa"/>
              <w:end w:w="110" w:type="dxa"/>
            </w:tcMar>
            <w:vAlign w:val="center"/>
            <w:shd w:val="clear" w:color="auto" w:fill="FCEDEE"/>
          </w:tcPr>
          <w:p>
            <w:pPr>
              <w:spacing w:after="0"/>
            </w:pPr>
            <w:r>
              <w:rPr>
                <w:sz w:val="19"/>
              </w:rPr>
            </w:r>
            <w:r>
              <w:rPr>
                <w:b/>
                <w:sz w:val="19"/>
              </w:rPr>
              <w:t>Errores robustos HC3</w:t>
            </w:r>
            <w:r>
              <w:rPr>
                <w:sz w:val="19"/>
              </w:rPr>
              <w:t xml:space="preserve"> (3) (los coeficientes no cambian) y/o </w:t>
            </w:r>
            <w:r>
              <w:rPr>
                <w:b/>
                <w:sz w:val="19"/>
              </w:rPr>
              <w:t>transformar</w:t>
            </w:r>
            <w:r>
              <w:rPr>
                <w:sz w:val="19"/>
              </w:rPr>
              <w:t xml:space="preserve"> </w:t>
            </w:r>
            <w:r>
              <w:rPr>
                <w:rFonts w:ascii="Consolas" w:hAnsi="Consolas"/>
                <w:color w:val="9B1B30"/>
                <w:sz w:val="19"/>
              </w:rPr>
              <w:t>Y</w:t>
            </w:r>
            <w:r>
              <w:rPr>
                <w:sz w:val="19"/>
              </w:rPr>
              <w:t xml:space="preserve"> a log</w:t>
            </w:r>
          </w:p>
        </w:tc>
      </w:tr>
      <w:tr>
        <w:tc>
          <w:tcPr>
            <w:tcW w:type="dxa" w:w="3249"/>
            <w:tcMar>
              <w:top w:w="60" w:type="dxa"/>
              <w:bottom w:w="60" w:type="dxa"/>
              <w:start w:w="110" w:type="dxa"/>
              <w:end w:w="110" w:type="dxa"/>
            </w:tcMar>
            <w:vAlign w:val="center"/>
          </w:tcPr>
          <w:p>
            <w:pPr>
              <w:spacing w:after="0"/>
            </w:pPr>
            <w:r>
              <w:rPr>
                <w:sz w:val="19"/>
              </w:rPr>
            </w:r>
            <w:r>
              <w:rPr>
                <w:b/>
                <w:sz w:val="19"/>
              </w:rPr>
              <w:t>No autocorrelación / Durbin-Watson</w:t>
            </w:r>
            <w:r>
              <w:rPr>
                <w:sz w:val="19"/>
              </w:rPr>
              <w:t xml:space="preserve"> (1.4)</w:t>
            </w:r>
          </w:p>
        </w:tc>
        <w:tc>
          <w:tcPr>
            <w:tcW w:type="dxa" w:w="3249"/>
            <w:tcMar>
              <w:top w:w="60" w:type="dxa"/>
              <w:bottom w:w="60" w:type="dxa"/>
              <w:start w:w="110" w:type="dxa"/>
              <w:end w:w="110" w:type="dxa"/>
            </w:tcMar>
            <w:vAlign w:val="center"/>
          </w:tcPr>
          <w:p>
            <w:pPr>
              <w:spacing w:after="0"/>
            </w:pPr>
            <w:r>
              <w:rPr>
                <w:sz w:val="19"/>
              </w:rPr>
            </w:r>
            <w:r>
              <w:rPr>
                <w:sz w:val="19"/>
              </w:rPr>
              <w:t xml:space="preserve">Durbin-Watson (≈2 sano; </w:t>
            </w:r>
            <w:r>
              <w:rPr>
                <w:rFonts w:ascii="Consolas" w:hAnsi="Consolas"/>
                <w:color w:val="9B1B30"/>
                <w:sz w:val="19"/>
              </w:rPr>
              <w:t>&lt;1,5</w:t>
            </w:r>
            <w:r>
              <w:rPr>
                <w:sz w:val="19"/>
              </w:rPr>
              <w:t xml:space="preserve"> positiva) </w:t>
            </w:r>
            <w:r>
              <w:rPr>
                <w:b/>
                <w:sz w:val="19"/>
              </w:rPr>
              <w:t>solo si el orden informa</w:t>
            </w:r>
            <w:r>
              <w:rPr>
                <w:sz w:val="19"/>
              </w:rPr>
              <w:t xml:space="preserve">; en Ames el CSV está </w:t>
            </w:r>
            <w:r>
              <w:rPr>
                <w:b/>
                <w:sz w:val="19"/>
              </w:rPr>
              <w:t>agrupado por barrio</w:t>
            </w:r>
            <w:r>
              <w:rPr>
                <w:sz w:val="19"/>
              </w:rPr>
              <w:t xml:space="preserve"> (86 % de contigüidad) y </w:t>
            </w:r>
            <w:r>
              <w:rPr>
                <w:rFonts w:ascii="Consolas" w:hAnsi="Consolas"/>
                <w:color w:val="9B1B30"/>
                <w:sz w:val="19"/>
              </w:rPr>
              <w:t>DW ≈ 1,68</w:t>
            </w:r>
            <w:r>
              <w:rPr>
                <w:sz w:val="19"/>
              </w:rPr>
              <w:t xml:space="preserve"> es </w:t>
            </w:r>
            <w:r>
              <w:rPr>
                <w:b/>
                <w:sz w:val="19"/>
              </w:rPr>
              <w:t>señal de dependencia espacial</w:t>
            </w:r>
            <w:r>
              <w:rPr>
                <w:sz w:val="19"/>
              </w:rPr>
              <w:t xml:space="preserve"> (barajado ≈ 1,97; por barrio 1,70)</w:t>
            </w:r>
          </w:p>
        </w:tc>
        <w:tc>
          <w:tcPr>
            <w:tcW w:type="dxa" w:w="3249"/>
            <w:tcMar>
              <w:top w:w="60" w:type="dxa"/>
              <w:bottom w:w="60" w:type="dxa"/>
              <w:start w:w="110" w:type="dxa"/>
              <w:end w:w="110" w:type="dxa"/>
            </w:tcMar>
            <w:vAlign w:val="center"/>
          </w:tcPr>
          <w:p>
            <w:pPr>
              <w:spacing w:after="0"/>
            </w:pPr>
            <w:r>
              <w:rPr>
                <w:sz w:val="19"/>
              </w:rPr>
            </w:r>
            <w:r>
              <w:rPr>
                <w:b/>
                <w:sz w:val="19"/>
              </w:rPr>
              <w:t>SE de clúster por barrio</w:t>
            </w:r>
            <w:r>
              <w:rPr>
                <w:sz w:val="19"/>
              </w:rPr>
              <w:t xml:space="preserve"> (hoja </w:t>
            </w:r>
            <w:r>
              <w:rPr>
                <w:rFonts w:ascii="Consolas" w:hAnsi="Consolas"/>
                <w:color w:val="9B1B30"/>
                <w:sz w:val="19"/>
              </w:rPr>
              <w:t>se_cluster_barrio</w:t>
            </w:r>
            <w:r>
              <w:rPr>
                <w:sz w:val="19"/>
              </w:rPr>
              <w:t xml:space="preserve">, SE ×2,3–2,9); Newey-West/HAC y modelado espacial/serie — </w:t>
            </w:r>
            <w:r>
              <w:rPr>
                <w:i/>
                <w:sz w:val="19"/>
              </w:rPr>
              <w:t>S11+</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Normalidad / Q-Q</w:t>
            </w:r>
            <w:r>
              <w:rPr>
                <w:sz w:val="19"/>
              </w:rPr>
              <w:t xml:space="preserve"> (2.1)</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Q-Q con colas en S; Omnibus/Jarque-Bera </w:t>
            </w:r>
            <w:r>
              <w:rPr>
                <w:rFonts w:ascii="Consolas" w:hAnsi="Consolas"/>
                <w:color w:val="9B1B30"/>
                <w:sz w:val="19"/>
              </w:rPr>
              <w:t>p&lt;0,05</w:t>
            </w:r>
            <w:r>
              <w:rPr>
                <w:sz w:val="19"/>
              </w:rPr>
              <w:t xml:space="preserve">; en el modelo log </w:t>
            </w:r>
            <w:r>
              <w:rPr>
                <w:b/>
                <w:sz w:val="19"/>
              </w:rPr>
              <w:t>JB ≈ 16 160 rechaza</w:t>
            </w:r>
            <w:r>
              <w:rPr>
                <w:sz w:val="19"/>
              </w:rPr>
              <w:t xml:space="preserve"> (colas pesadas)</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Con </w:t>
            </w:r>
            <w:r>
              <w:rPr>
                <w:rFonts w:ascii="Consolas" w:hAnsi="Consolas"/>
                <w:color w:val="9B1B30"/>
                <w:sz w:val="19"/>
              </w:rPr>
              <w:t>n</w:t>
            </w:r>
            <w:r>
              <w:rPr>
                <w:sz w:val="19"/>
              </w:rPr>
              <w:t xml:space="preserve"> grande el </w:t>
            </w:r>
            <w:r>
              <w:rPr>
                <w:b/>
                <w:sz w:val="19"/>
              </w:rPr>
              <w:t>TCL</w:t>
            </w:r>
            <w:r>
              <w:rPr>
                <w:sz w:val="19"/>
              </w:rPr>
              <w:t xml:space="preserve"> protege los </w:t>
            </w:r>
            <w:r>
              <w:rPr>
                <w:b/>
                <w:sz w:val="19"/>
              </w:rPr>
              <w:t>coeficientes</w:t>
            </w:r>
            <w:r>
              <w:rPr>
                <w:sz w:val="19"/>
              </w:rPr>
              <w:t xml:space="preserve"> (no los intervalos de predicción); HC3/bootstrap para la incertidumbre; transformar </w:t>
            </w:r>
            <w:r>
              <w:rPr>
                <w:rFonts w:ascii="Consolas" w:hAnsi="Consolas"/>
                <w:color w:val="9B1B30"/>
                <w:sz w:val="19"/>
              </w:rPr>
              <w:t>Y</w:t>
            </w:r>
            <w:r>
              <w:rPr>
                <w:sz w:val="19"/>
              </w:rPr>
              <w:t xml:space="preserve"> si además hay asimetría</w:t>
            </w:r>
          </w:p>
        </w:tc>
      </w:tr>
      <w:tr>
        <w:tc>
          <w:tcPr>
            <w:tcW w:type="dxa" w:w="3249"/>
            <w:tcMar>
              <w:top w:w="60" w:type="dxa"/>
              <w:bottom w:w="60" w:type="dxa"/>
              <w:start w:w="110" w:type="dxa"/>
              <w:end w:w="110" w:type="dxa"/>
            </w:tcMar>
            <w:vAlign w:val="center"/>
          </w:tcPr>
          <w:p>
            <w:pPr>
              <w:spacing w:after="0"/>
            </w:pPr>
            <w:r>
              <w:rPr>
                <w:sz w:val="19"/>
              </w:rPr>
            </w:r>
            <w:r>
              <w:rPr>
                <w:b/>
                <w:sz w:val="19"/>
              </w:rPr>
              <w:t>Influyentes / Cook</w:t>
            </w:r>
            <w:r>
              <w:rPr>
                <w:sz w:val="19"/>
              </w:rPr>
              <w:t xml:space="preserve"> (2.2)</w:t>
            </w:r>
          </w:p>
        </w:tc>
        <w:tc>
          <w:tcPr>
            <w:tcW w:type="dxa" w:w="3249"/>
            <w:tcMar>
              <w:top w:w="60" w:type="dxa"/>
              <w:bottom w:w="60" w:type="dxa"/>
              <w:start w:w="110" w:type="dxa"/>
              <w:end w:w="110" w:type="dxa"/>
            </w:tcMar>
            <w:vAlign w:val="center"/>
          </w:tcPr>
          <w:p>
            <w:pPr>
              <w:spacing w:after="0"/>
            </w:pPr>
            <w:r>
              <w:rPr>
                <w:sz w:val="19"/>
              </w:rPr>
            </w:r>
            <w:r>
              <w:rPr>
                <w:sz w:val="19"/>
              </w:rPr>
              <w:t>Distancia de Cook (</w:t>
            </w:r>
            <w:r>
              <w:rPr>
                <w:rFonts w:ascii="Consolas" w:hAnsi="Consolas"/>
                <w:color w:val="9B1B30"/>
                <w:sz w:val="19"/>
              </w:rPr>
              <w:t>&gt;1</w:t>
            </w:r>
            <w:r>
              <w:rPr>
                <w:sz w:val="19"/>
              </w:rPr>
              <w:t xml:space="preserve"> claro, </w:t>
            </w:r>
            <w:r>
              <w:rPr>
                <w:rFonts w:ascii="Consolas" w:hAnsi="Consolas"/>
                <w:color w:val="9B1B30"/>
                <w:sz w:val="19"/>
              </w:rPr>
              <w:t>&gt;4/n</w:t>
            </w:r>
            <w:r>
              <w:rPr>
                <w:sz w:val="19"/>
              </w:rPr>
              <w:t xml:space="preserve"> candidatos); leverage; residuos estudentizados</w:t>
            </w:r>
          </w:p>
        </w:tc>
        <w:tc>
          <w:tcPr>
            <w:tcW w:type="dxa" w:w="3249"/>
            <w:tcMar>
              <w:top w:w="60" w:type="dxa"/>
              <w:bottom w:w="60" w:type="dxa"/>
              <w:start w:w="110" w:type="dxa"/>
              <w:end w:w="110" w:type="dxa"/>
            </w:tcMar>
            <w:vAlign w:val="center"/>
          </w:tcPr>
          <w:p>
            <w:pPr>
              <w:spacing w:after="0"/>
            </w:pPr>
            <w:r>
              <w:rPr>
                <w:sz w:val="19"/>
              </w:rPr>
            </w:r>
            <w:r>
              <w:rPr>
                <w:b/>
                <w:sz w:val="19"/>
              </w:rPr>
              <w:t>Investigar</w:t>
            </w:r>
            <w:r>
              <w:rPr>
                <w:sz w:val="19"/>
              </w:rPr>
              <w:t xml:space="preserve"> el caso y análisis de sensibilidad; remoción solo justificada (las 5 de De Cock)</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Dummy redundante</w:t>
            </w:r>
            <w:r>
              <w:rPr>
                <w:sz w:val="19"/>
              </w:rPr>
              <w:t xml:space="preserve"> (3.1)</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Colinealidad perfecta al ajustar (</w:t>
            </w:r>
            <w:r>
              <w:rPr>
                <w:sz w:val="19"/>
              </w:rPr>
              <w:drawing>
                <wp:inline xmlns:a="http://schemas.openxmlformats.org/drawingml/2006/main" xmlns:pic="http://schemas.openxmlformats.org/drawingml/2006/picture">
                  <wp:extent cx="352022" cy="206692"/>
                  <wp:docPr id="13" name="Picture 13"/>
                  <wp:cNvGraphicFramePr>
                    <a:graphicFrameLocks noChangeAspect="1"/>
                  </wp:cNvGraphicFramePr>
                  <a:graphic>
                    <a:graphicData uri="http://schemas.openxmlformats.org/drawingml/2006/picture">
                      <pic:pic>
                        <pic:nvPicPr>
                          <pic:cNvPr id="0" name="eq_80ce1f127f7e.png"/>
                          <pic:cNvPicPr/>
                        </pic:nvPicPr>
                        <pic:blipFill>
                          <a:blip r:embed="rId10"/>
                          <a:stretch>
                            <a:fillRect/>
                          </a:stretch>
                        </pic:blipFill>
                        <pic:spPr>
                          <a:xfrm>
                            <a:off x="0" y="0"/>
                            <a:ext cx="352022" cy="206692"/>
                          </a:xfrm>
                          <a:prstGeom prst="rect"/>
                        </pic:spPr>
                      </pic:pic>
                    </a:graphicData>
                  </a:graphic>
                </wp:inline>
              </w:drawing>
            </w:r>
            <w:r>
              <w:rPr>
                <w:sz w:val="19"/>
              </w:rPr>
              <w:t xml:space="preserve"> no invertible en (1); VIF ∞, coef. </w:t>
            </w:r>
            <w:r>
              <w:rPr>
                <w:rFonts w:ascii="Consolas" w:hAnsi="Consolas"/>
                <w:color w:val="9B1B30"/>
                <w:sz w:val="19"/>
              </w:rPr>
              <w:t>NaN</w:t>
            </w:r>
            <w:r>
              <w:rPr>
                <w:sz w:val="19"/>
              </w:rPr>
              <w:t>)</w:t>
            </w:r>
          </w:p>
        </w:tc>
        <w:tc>
          <w:tcPr>
            <w:tcW w:type="dxa" w:w="32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drop_first=True</w:t>
            </w:r>
            <w:r>
              <w:rPr>
                <w:sz w:val="19"/>
              </w:rPr>
              <w:t xml:space="preserve"> (categoría de referencia); leer cada dummy como diferencia vs. la base</w:t>
            </w:r>
          </w:p>
        </w:tc>
      </w:tr>
      <w:tr>
        <w:tc>
          <w:tcPr>
            <w:tcW w:type="dxa" w:w="3249"/>
            <w:tcMar>
              <w:top w:w="60" w:type="dxa"/>
              <w:bottom w:w="60" w:type="dxa"/>
              <w:start w:w="110" w:type="dxa"/>
              <w:end w:w="110" w:type="dxa"/>
            </w:tcMar>
            <w:vAlign w:val="center"/>
          </w:tcPr>
          <w:p>
            <w:pPr>
              <w:spacing w:after="0"/>
            </w:pPr>
            <w:r>
              <w:rPr>
                <w:sz w:val="19"/>
              </w:rPr>
            </w:r>
            <w:r>
              <w:rPr>
                <w:b/>
                <w:sz w:val="19"/>
              </w:rPr>
              <w:t>Interacciones</w:t>
            </w:r>
            <w:r>
              <w:rPr>
                <w:sz w:val="19"/>
              </w:rPr>
              <w:t xml:space="preserve"> (3.2)</w:t>
            </w:r>
          </w:p>
        </w:tc>
        <w:tc>
          <w:tcPr>
            <w:tcW w:type="dxa" w:w="3249"/>
            <w:tcMar>
              <w:top w:w="60" w:type="dxa"/>
              <w:bottom w:w="60" w:type="dxa"/>
              <w:start w:w="110" w:type="dxa"/>
              <w:end w:w="110" w:type="dxa"/>
            </w:tcMar>
            <w:vAlign w:val="center"/>
          </w:tcPr>
          <w:p>
            <w:pPr>
              <w:spacing w:after="0"/>
            </w:pPr>
            <w:r>
              <w:rPr>
                <w:sz w:val="19"/>
              </w:rPr>
            </w:r>
            <w:r>
              <w:rPr>
                <w:sz w:val="19"/>
              </w:rPr>
              <w:t xml:space="preserve">p-valor del término </w:t>
            </w:r>
            <w:r>
              <w:rPr>
                <w:rFonts w:ascii="Consolas" w:hAnsi="Consolas"/>
                <w:color w:val="9B1B30"/>
                <w:sz w:val="19"/>
              </w:rPr>
              <w:t>X·Z</w:t>
            </w:r>
            <w:r>
              <w:rPr>
                <w:sz w:val="19"/>
              </w:rPr>
              <w:t>; pendientes distintas por grupo</w:t>
            </w:r>
          </w:p>
        </w:tc>
        <w:tc>
          <w:tcPr>
            <w:tcW w:type="dxa" w:w="3249"/>
            <w:tcMar>
              <w:top w:w="60" w:type="dxa"/>
              <w:bottom w:w="60" w:type="dxa"/>
              <w:start w:w="110" w:type="dxa"/>
              <w:end w:w="110" w:type="dxa"/>
            </w:tcMar>
            <w:vAlign w:val="center"/>
          </w:tcPr>
          <w:p>
            <w:pPr>
              <w:spacing w:after="0"/>
            </w:pPr>
            <w:r>
              <w:rPr>
                <w:sz w:val="19"/>
              </w:rPr>
            </w:r>
            <w:r>
              <w:rPr>
                <w:sz w:val="19"/>
              </w:rPr>
              <w:t xml:space="preserve">Incluir con </w:t>
            </w:r>
            <w:r>
              <w:rPr>
                <w:b/>
                <w:sz w:val="19"/>
              </w:rPr>
              <w:t>principio de jerarquía</w:t>
            </w:r>
            <w:r>
              <w:rPr>
                <w:sz w:val="19"/>
              </w:rPr>
              <w:t xml:space="preserve"> (los términos principales); leer (5), no </w:t>
            </w:r>
            <w:r>
              <w:rPr>
                <w:sz w:val="19"/>
              </w:rPr>
              <w:drawing>
                <wp:inline xmlns:a="http://schemas.openxmlformats.org/drawingml/2006/main" xmlns:pic="http://schemas.openxmlformats.org/drawingml/2006/picture">
                  <wp:extent cx="220705" cy="206692"/>
                  <wp:docPr id="14" name="Picture 14"/>
                  <wp:cNvGraphicFramePr>
                    <a:graphicFrameLocks noChangeAspect="1"/>
                  </wp:cNvGraphicFramePr>
                  <a:graphic>
                    <a:graphicData uri="http://schemas.openxmlformats.org/drawingml/2006/picture">
                      <pic:pic>
                        <pic:nvPicPr>
                          <pic:cNvPr id="0" name="eq_c48ee430094c.png"/>
                          <pic:cNvPicPr/>
                        </pic:nvPicPr>
                        <pic:blipFill>
                          <a:blip r:embed="rId19"/>
                          <a:stretch>
                            <a:fillRect/>
                          </a:stretch>
                        </pic:blipFill>
                        <pic:spPr>
                          <a:xfrm>
                            <a:off x="0" y="0"/>
                            <a:ext cx="220705" cy="206692"/>
                          </a:xfrm>
                          <a:prstGeom prst="rect"/>
                        </pic:spPr>
                      </pic:pic>
                    </a:graphicData>
                  </a:graphic>
                </wp:inline>
              </w:drawing>
            </w:r>
            <w:r>
              <w:rPr>
                <w:sz w:val="19"/>
              </w:rPr>
              <w:t xml:space="preserve"> aislada</w:t>
            </w:r>
          </w:p>
        </w:tc>
      </w:tr>
    </w:tbl>
    <w:p>
      <w:pPr>
        <w:spacing w:after="40"/>
      </w:pPr>
    </w:p>
    <w:p>
      <w:pPr>
        <w:spacing w:before="80" w:after="160" w:line="288" w:lineRule="auto"/>
        <w:ind w:left="85" w:right="85"/>
        <w:shd w:val="clear" w:color="auto" w:fill="F4F4F4"/>
        <w:pBdr>
          <w:left w:val="single" w:sz="24" w:space="10" w:color="E4002B"/>
        </w:pBdr>
      </w:pPr>
      <w:r>
        <w:rPr>
          <w:b/>
          <w:color w:val="2D2D2D"/>
        </w:rPr>
        <w:t>Fuente única de supuestos.</w:t>
      </w:r>
      <w:r>
        <w:rPr>
          <w:color w:val="2D2D2D"/>
        </w:rPr>
        <w:t xml:space="preserve"> El tratamiento completo (los cinco supuestos de Gauss-Markov, la normalidad, el diagnóstico de datos influyentes y las tres decisiones de modelado —dummies, interacciones, transformación log—, cada uno con «qué es, cómo se identifica, cómo se corrige, alcance») está en la guía de supuestos de la sesión (Parte 1 supuestos BLUE, Parte 2 inferencia y datos, Parte 3 decisiones de modelado, Parte 4 tablas-resumen). La elección de modelo por validación cruzada que aplica estos diagnósticos se registra en </w:t>
      </w:r>
      <w:r>
        <w:rPr>
          <w:rFonts w:ascii="Consolas" w:hAnsi="Consolas"/>
          <w:color w:val="2D2D2D"/>
          <w:sz w:val="19"/>
        </w:rPr>
        <w:t>plantillas/comparacion_modelos_cv.docx</w:t>
      </w:r>
      <w:r>
        <w:rPr>
          <w:color w:val="2D2D2D"/>
        </w:rPr>
        <w:t>.</w:t>
      </w:r>
    </w:p>
    <w:p>
      <w:pPr>
        <w:spacing w:before="40" w:after="40"/>
        <w:pBdr>
          <w:bottom w:val="single" w:sz="6" w:space="1" w:color="D9D9D9"/>
        </w:pBdr>
      </w:pPr>
    </w:p>
    <w:p>
      <w:pPr>
        <w:keepNext/>
        <w:spacing w:before="240" w:after="60"/>
        <w:pBdr>
          <w:bottom w:val="single" w:sz="6" w:space="2" w:color="E4002B"/>
        </w:pBdr>
      </w:pPr>
      <w:r>
        <w:rPr>
          <w:b/>
          <w:color w:val="E4002B"/>
          <w:sz w:val="30"/>
        </w:rPr>
        <w:t>Errores de lectura frecuentes (control final)</w:t>
      </w:r>
    </w:p>
    <w:p>
      <w:pPr>
        <w:pStyle w:val="ListBullet"/>
        <w:spacing w:after="40"/>
      </w:pPr>
      <w:r>
        <w:t xml:space="preserve">[ ] No se confundió el coeficiente </w:t>
      </w:r>
      <w:r>
        <w:rPr>
          <w:b/>
        </w:rPr>
        <w:t>parcial</w:t>
      </w:r>
      <w:r>
        <w:t xml:space="preserve"> ("con lo demás constante") con la correlación bruta ni con causalidad.</w:t>
      </w:r>
    </w:p>
    <w:p>
      <w:pPr>
        <w:pStyle w:val="ListBullet"/>
        <w:spacing w:after="40"/>
      </w:pPr>
      <w:r>
        <w:t xml:space="preserve">[ ] No se leyó el </w:t>
      </w:r>
      <w:r>
        <w:rPr>
          <w:b/>
        </w:rPr>
        <w:t>Durbin-Watson</w:t>
      </w:r>
      <w:r>
        <w:t xml:space="preserve"> como «cercano a 2 ⇒ sin problema» ni se despachó como «no aplica (transversal)»: se </w:t>
      </w:r>
      <w:r>
        <w:rPr>
          <w:b/>
        </w:rPr>
        <w:t>verificó si el orden de las filas informa</w:t>
      </w:r>
      <w:r>
        <w:t xml:space="preserve"> (en Ames es geográfico: CSV agrupado por barrio) y, al serlo, el DW ≈ 1.68 se leyó como </w:t>
      </w:r>
      <w:r>
        <w:rPr>
          <w:b/>
        </w:rPr>
        <w:t>dependencia espacial residual</w:t>
      </w:r>
      <w:r>
        <w:t xml:space="preserve">; se contrasta la incertidumbre con SE por barrio (hoja </w:t>
      </w:r>
      <w:r>
        <w:rPr>
          <w:rFonts w:ascii="Consolas" w:hAnsi="Consolas"/>
          <w:color w:val="9B1B30"/>
          <w:sz w:val="19"/>
        </w:rPr>
        <w:t>se_cluster_barrio</w:t>
      </w:r>
      <w:r>
        <w:t>).</w:t>
      </w:r>
    </w:p>
    <w:p>
      <w:pPr>
        <w:pStyle w:val="ListBullet"/>
        <w:spacing w:after="40"/>
      </w:pPr>
      <w:r>
        <w:t xml:space="preserve">[ ] No se describió la no normalidad como "colas leves" cuando la prueba la </w:t>
      </w:r>
      <w:r>
        <w:rPr>
          <w:b/>
        </w:rPr>
        <w:t>rechaza</w:t>
      </w:r>
      <w:r>
        <w:t xml:space="preserve"> (Jarque-Bera aproximadamente 16 160): se nombró como </w:t>
      </w:r>
      <w:r>
        <w:rPr>
          <w:b/>
        </w:rPr>
        <w:t>colas pesadas</w:t>
      </w:r>
      <w:r>
        <w:t>, con el TCL, que protege los coeficientes pero no los intervalos de predicción.</w:t>
      </w:r>
    </w:p>
    <w:p>
      <w:pPr>
        <w:pStyle w:val="ListBullet"/>
        <w:spacing w:after="40"/>
      </w:pPr>
      <w:r>
        <w:t xml:space="preserve">[ ] No se compararon </w:t>
      </w:r>
      <w:r>
        <w:rPr>
          <w:b/>
        </w:rPr>
        <w:t>R² de modelos en escalas distintas</w:t>
      </w:r>
      <w:r>
        <w:t xml:space="preserve"> (nivel vs. log: 0.820 frente a 0.847) como si midieran lo mismo; la comparación se hizo con una métrica en la </w:t>
      </w:r>
      <w:r>
        <w:rPr>
          <w:b/>
        </w:rPr>
        <w:t>misma escala</w:t>
      </w:r>
      <w:r>
        <w:t xml:space="preserve"> — RMSE en USD: se retransforma el modelo en log con el </w:t>
      </w:r>
      <w:r>
        <w:rPr>
          <w:b/>
        </w:rPr>
        <w:t>smearing de Duan</w:t>
      </w:r>
      <w:r>
        <w:t xml:space="preserve"> (S = 1.0119): 27 282 frente a 33 308 USD, −6 027 por tasación (ver </w:t>
      </w:r>
      <w:r>
        <w:rPr>
          <w:rFonts w:ascii="Consolas" w:hAnsi="Consolas"/>
          <w:color w:val="9B1B30"/>
          <w:sz w:val="19"/>
        </w:rPr>
        <w:t>plantillas/comparacion_modelos_cv.docx</w:t>
      </w:r>
      <w:r>
        <w:t>).</w:t>
      </w:r>
    </w:p>
    <w:p>
      <w:pPr>
        <w:pStyle w:val="ListBullet"/>
        <w:spacing w:after="40"/>
      </w:pPr>
      <w:r>
        <w:t xml:space="preserve">[ ] No se eligió el modelo por el </w:t>
      </w:r>
      <w:r>
        <w:rPr>
          <w:b/>
        </w:rPr>
        <w:t>R² crudo</w:t>
      </w:r>
      <w:r>
        <w:t xml:space="preserve">; para comparar se usó el R² ajustado y, como árbitro, la validación cruzada (ver </w:t>
      </w:r>
      <w:r>
        <w:rPr>
          <w:rFonts w:ascii="Consolas" w:hAnsi="Consolas"/>
          <w:color w:val="9B1B30"/>
          <w:sz w:val="19"/>
        </w:rPr>
        <w:t>plantillas/comparacion_modelos_cv.docx</w:t>
      </w:r>
      <w:r>
        <w:t>).</w:t>
      </w:r>
    </w:p>
    <w:p>
      <w:pPr>
        <w:pStyle w:val="ListBullet"/>
        <w:spacing w:after="40"/>
      </w:pPr>
      <w:r>
        <w:t xml:space="preserve">[ ] No se interpretó el </w:t>
      </w:r>
      <w:r>
        <w:rPr>
          <w:b/>
        </w:rPr>
        <w:t>VIF del intercepto</w:t>
      </w:r>
      <w:r>
        <w:t>.</w:t>
      </w:r>
    </w:p>
    <w:p>
      <w:pPr>
        <w:pStyle w:val="ListBullet"/>
        <w:spacing w:after="40"/>
      </w:pPr>
      <w:r>
        <w:t xml:space="preserve">[ ] No se </w:t>
      </w:r>
      <w:r>
        <w:rPr>
          <w:b/>
        </w:rPr>
        <w:t>borraron</w:t>
      </w:r>
      <w:r>
        <w:t xml:space="preserve"> puntos por D_i mayor que 4/n sin investigarlos.</w:t>
      </w:r>
    </w:p>
    <w:p>
      <w:pPr>
        <w:pStyle w:val="ListBullet"/>
        <w:spacing w:after="40"/>
      </w:pPr>
      <w:r>
        <w:t xml:space="preserve">[ ] No se reportaron p-valores del modelo en </w:t>
      </w:r>
      <w:r>
        <w:rPr>
          <w:b/>
        </w:rPr>
        <w:t>nivel</w:t>
      </w:r>
      <w:r>
        <w:t xml:space="preserve"> sin considerar la heterocedasticidad (Breusch-Pagan): se usaron errores robustos.</w:t>
      </w:r>
    </w:p>
    <w:p>
      <w:pPr>
        <w:pStyle w:val="ListBullet"/>
        <w:spacing w:after="40"/>
      </w:pPr>
      <w:r>
        <w:t xml:space="preserve">[ ] Si hubo interacción, no se leyó la </w:t>
      </w:r>
      <w:r>
        <w:rPr>
          <w:b/>
        </w:rPr>
        <w:t>pendiente principal</w:t>
      </w:r>
      <w:r>
        <w:t xml:space="preserve"> de x como constante (la pendiente efectiva es la de (5), </w:t>
      </w:r>
      <w:r>
        <w:drawing>
          <wp:inline xmlns:a="http://schemas.openxmlformats.org/drawingml/2006/main" xmlns:pic="http://schemas.openxmlformats.org/drawingml/2006/picture">
            <wp:extent cx="588548" cy="206692"/>
            <wp:docPr id="15" name="Picture 15"/>
            <wp:cNvGraphicFramePr>
              <a:graphicFrameLocks noChangeAspect="1"/>
            </wp:cNvGraphicFramePr>
            <a:graphic>
              <a:graphicData uri="http://schemas.openxmlformats.org/drawingml/2006/picture">
                <pic:pic>
                  <pic:nvPicPr>
                    <pic:cNvPr id="0" name="eq_6f5ca2341c07.png"/>
                    <pic:cNvPicPr/>
                  </pic:nvPicPr>
                  <pic:blipFill>
                    <a:blip r:embed="rId20"/>
                    <a:stretch>
                      <a:fillRect/>
                    </a:stretch>
                  </pic:blipFill>
                  <pic:spPr>
                    <a:xfrm>
                      <a:off x="0" y="0"/>
                      <a:ext cx="588548" cy="206692"/>
                    </a:xfrm>
                    <a:prstGeom prst="rect"/>
                  </pic:spPr>
                </pic:pic>
              </a:graphicData>
            </a:graphic>
          </wp:inline>
        </w:drawing>
      </w:r>
      <w:r>
        <w:t>).</w:t>
      </w:r>
    </w:p>
    <w:p>
      <w:pPr>
        <w:pStyle w:val="ListBullet"/>
        <w:spacing w:after="40"/>
      </w:pPr>
      <w:r>
        <w:t xml:space="preserve">[ ] Al usar dummies, no se olvidó </w:t>
      </w:r>
      <w:r>
        <w:rPr>
          <w:rFonts w:ascii="Consolas" w:hAnsi="Consolas"/>
          <w:color w:val="9B1B30"/>
          <w:sz w:val="19"/>
        </w:rPr>
        <w:t>drop_first</w:t>
      </w:r>
      <w:r>
        <w:t xml:space="preserve"> (dummy redundante) ni se leyó un coeficiente dummy como nivel absoluto en vez de diferencia contra la base.</w:t>
      </w:r>
    </w:p>
    <w:p>
      <w:pPr>
        <w:spacing w:before="40" w:after="40"/>
        <w:pBdr>
          <w:bottom w:val="single" w:sz="6" w:space="1" w:color="D9D9D9"/>
        </w:pBdr>
      </w:pPr>
    </w:p>
    <w:p>
      <w:pPr>
        <w:spacing w:before="80" w:after="80" w:line="288" w:lineRule="auto"/>
        <w:ind w:left="85" w:right="85"/>
        <w:shd w:val="clear" w:color="auto" w:fill="F4F4F4"/>
        <w:pBdr>
          <w:left w:val="single" w:sz="24" w:space="10" w:color="E4002B"/>
        </w:pBdr>
      </w:pPr>
      <w:r>
        <w:rPr>
          <w:b/>
          <w:color w:val="2D2D2D"/>
        </w:rPr>
        <w:t>Uso en la sesión.</w:t>
      </w:r>
      <w:r>
        <w:rPr>
          <w:color w:val="2D2D2D"/>
        </w:rPr>
        <w:t xml:space="preserve"> Esta plantilla se completa a partir del diagnóstico del cuaderno </w:t>
      </w:r>
      <w:r>
        <w:rPr>
          <w:rFonts w:ascii="Consolas" w:hAnsi="Consolas"/>
          <w:color w:val="2D2D2D"/>
          <w:sz w:val="19"/>
        </w:rPr>
        <w:t>notebook/S04_regresion_multiple.ipynb</w:t>
      </w:r>
      <w:r>
        <w:rPr>
          <w:color w:val="2D2D2D"/>
        </w:rPr>
        <w:t xml:space="preserve"> (VIF, residuales vs. ajustados, Q-Q, Breusch-Pagan, Durbin-Watson, Cook y errores robustos HC3) y su versión completada acompaña al entregable </w:t>
      </w:r>
      <w:r>
        <w:rPr>
          <w:rFonts w:ascii="Consolas" w:hAnsi="Consolas"/>
          <w:color w:val="2D2D2D"/>
          <w:sz w:val="19"/>
        </w:rPr>
        <w:t>evaluacion/entregable.docx</w:t>
      </w:r>
      <w:r>
        <w:rPr>
          <w:color w:val="2D2D2D"/>
        </w:rPr>
        <w:t xml:space="preserve"> como evidencia de que los supuestos se verificaron antes de interpretar los coeficientes. Se usa junto con </w:t>
      </w:r>
      <w:r>
        <w:rPr>
          <w:rFonts w:ascii="Consolas" w:hAnsi="Consolas"/>
          <w:color w:val="2D2D2D"/>
          <w:sz w:val="19"/>
        </w:rPr>
        <w:t>plantillas/comparacion_modelos_cv.docx</w:t>
      </w:r>
      <w:r>
        <w:rPr>
          <w:color w:val="2D2D2D"/>
        </w:rPr>
        <w:t xml:space="preserve"> (elección del modelo por CV) y </w:t>
      </w:r>
      <w:r>
        <w:rPr>
          <w:rFonts w:ascii="Consolas" w:hAnsi="Consolas"/>
          <w:color w:val="2D2D2D"/>
          <w:sz w:val="19"/>
        </w:rPr>
        <w:t>plantillas/diccionario_ames.docx</w:t>
      </w:r>
      <w:r>
        <w:rPr>
          <w:color w:val="2D2D2D"/>
        </w:rPr>
        <w:t xml:space="preserve"> (significado de las variables). El desarrollo completo de cada supuesto está en la guía de supuestos de la sesión (fuente única; ver la sección «Supuestos y diagnósticos» de arriba).</w:t>
      </w:r>
    </w:p>
    <w:p>
      <w:pPr>
        <w:spacing w:before="0" w:after="160" w:line="288" w:lineRule="auto"/>
        <w:ind w:left="85" w:right="85"/>
        <w:shd w:val="clear" w:color="auto" w:fill="F4F4F4"/>
        <w:pBdr>
          <w:left w:val="single" w:sz="24" w:space="10" w:color="E4002B"/>
        </w:pBdr>
      </w:pPr>
      <w:r>
        <w:rPr>
          <w:color w:val="2D2D2D"/>
        </w:rPr>
        <w:t>Derivado de la guía de supuestos de la sesión (fuente canónica de supuestos), la guía de interpretación de resultados (Sección 4 VIF, Sección 5 distancia de Cook, Sección 6 diagnóstico de supuestos, Sección 7 errores robustos, Sección 11 checklist de errores) e el glosario de la sesión (Secciones 5–9 multicolinealidad, VIF, Cook, supuestos y robustos). Fuentes: ISLR cap. 3.3.3 (statlearning.com); Cook (1977), Technometrics 19(1); White (1980), Econometrica 48(4); Belsley, Kuh &amp; Welsch (1980); documentación de statsmodels (</w:t>
      </w:r>
      <w:r>
        <w:rPr>
          <w:rFonts w:ascii="Consolas" w:hAnsi="Consolas"/>
          <w:color w:val="2D2D2D"/>
          <w:sz w:val="19"/>
        </w:rPr>
        <w:t>variance_inflation_factor</w:t>
      </w:r>
      <w:r>
        <w:rPr>
          <w:color w:val="2D2D2D"/>
        </w:rPr>
        <w:t xml:space="preserve">, </w:t>
      </w:r>
      <w:r>
        <w:rPr>
          <w:rFonts w:ascii="Consolas" w:hAnsi="Consolas"/>
          <w:color w:val="2D2D2D"/>
          <w:sz w:val="19"/>
        </w:rPr>
        <w:t>het_breuschpagan</w:t>
      </w:r>
      <w:r>
        <w:rPr>
          <w:color w:val="2D2D2D"/>
        </w:rPr>
        <w:t xml:space="preserve">, </w:t>
      </w:r>
      <w:r>
        <w:rPr>
          <w:rFonts w:ascii="Consolas" w:hAnsi="Consolas"/>
          <w:color w:val="2D2D2D"/>
          <w:sz w:val="19"/>
        </w:rPr>
        <w:t>durbin_watson</w:t>
      </w:r>
      <w:r>
        <w:rPr>
          <w:color w:val="2D2D2D"/>
        </w:rPr>
        <w:t>).</w:t>
      </w:r>
    </w:p>
    <w:sectPr w:rsidR="00FC693F" w:rsidRPr="0006063C" w:rsidSect="00034616">
      <w:headerReference w:type="default" r:id="rId21"/>
      <w:footerReference w:type="default" r:id="rId22"/>
      <w:pgSz w:w="12240" w:h="15840"/>
      <w:pgMar w:top="1134"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D9D9D9"/>
      </w:pBdr>
    </w:pPr>
    <w:r>
      <w:rPr>
        <w:color w:val="6E6E6E"/>
        <w:sz w:val="16"/>
      </w:rPr>
      <w:t xml:space="preserve">Herramientas para la Ciencia de Datos, UPC, Facultad de Negocios     |     </w:t>
    </w:r>
    <w:r>
      <w:rPr>
        <w:color w:val="6E6E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4002B"/>
      </w:pBdr>
    </w:pPr>
    <w:r>
      <w:rPr>
        <w:color w:val="6E6E6E"/>
        <w:sz w:val="16"/>
      </w:rPr>
      <w:t>Checklist de diagnóstico de regresión múltiple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