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S06</w:t>
      </w:r>
    </w:p>
    <w:p>
      <w:pPr>
        <w:pBdr>
          <w:bottom w:val="single" w:color="E4002B" w:sz="18" w:space="10"/>
        </w:pBdr>
        <w:spacing w:after="160"/>
      </w:pPr>
      <w:r>
        <w:rPr>
          <w:rFonts w:ascii="Cambria" w:cs="Cambria" w:eastAsia="Cambria" w:hAnsi="Cambria"/>
          <w:color w:val="7A1526"/>
          <w:sz w:val="28"/>
          <w:szCs w:val="28"/>
        </w:rPr>
        <w:t xml:space="preserve">Reducción de dimensionalidad: PCA + Análisis Factorial + t-SNE + UMAP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06 · Reducción de dimensionalidad: PCA, Análisis Factorial, t-SNE y UMAP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y en casa —junto con los pasos 3-6 del laboratorio, ya que la ventana de aula solo alcanza para los pasos 0-2— · entrega individual, se comentan al abrir la S07</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notebook/S06_reduccion_dim.ipynb</w:t>
            </w:r>
          </w:p>
        </w:tc>
      </w:tr>
    </w:tbl>
    <w:p>
      <w:pPr>
        <w:spacing w:after="150"/>
      </w:pPr>
    </w:p>
    <w:p>
      <w:pPr>
        <w:spacing w:after="180" w:line="265"/>
      </w:pPr>
      <w:r>
        <w:rPr>
          <w:rFonts w:ascii="Cambria" w:cs="Cambria" w:eastAsia="Cambria" w:hAnsi="Cambria"/>
          <w:color w:val="3A3A3A"/>
          <w:sz w:val="18"/>
          <w:szCs w:val="18"/>
        </w:rPr>
        <w:t xml:space="preserve">Material del estudiante. Tres ejercicios de práctica de la Sesión 6 (Reducción de dimensionalidad: PCA + Análisis Factorial + t-SNE + UMAP). Se resuelven </w:t>
      </w:r>
      <w:r>
        <w:rPr>
          <w:rFonts w:ascii="Cambria" w:cs="Cambria" w:eastAsia="Cambria" w:hAnsi="Cambria"/>
          <w:b/>
          <w:bCs/>
          <w:color w:val="3A3A3A"/>
          <w:sz w:val="18"/>
          <w:szCs w:val="18"/>
        </w:rPr>
        <w:t xml:space="preserve">en parejas y en casa</w:t>
      </w:r>
      <w:r>
        <w:rPr>
          <w:rFonts w:ascii="Cambria" w:cs="Cambria" w:eastAsia="Cambria" w:hAnsi="Cambria"/>
          <w:color w:val="3A3A3A"/>
          <w:sz w:val="18"/>
          <w:szCs w:val="18"/>
        </w:rPr>
        <w:t xml:space="preserve"> —junto con los pasos 3-6 del laboratorio, ya que la ventana de aula solo alcanza para los pasos 0-2—; la entrega es individual y se comentan al abrir la S07. Español impersonal.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notebook/S06_reduccion_dim.ipynb</w:t>
      </w:r>
      <w:r>
        <w:rPr>
          <w:rFonts w:ascii="Cambria" w:cs="Cambria" w:eastAsia="Cambria" w:hAnsi="Cambria"/>
          <w:color w:val="3A3A3A"/>
          <w:sz w:val="18"/>
          <w:szCs w:val="18"/>
        </w:rPr>
        <w:t xml:space="preserve">, la guía </w:t>
      </w:r>
      <w:r>
        <w:rPr>
          <w:rFonts w:ascii="Consolas" w:cs="Consolas" w:eastAsia="Consolas" w:hAnsi="Consolas"/>
          <w:color w:val="7A1526"/>
          <w:sz w:val="16"/>
          <w:szCs w:val="16"/>
        </w:rPr>
        <w:t xml:space="preserve">plantillas/guia_componentes_factores.docx</w:t>
      </w:r>
      <w:r>
        <w:rPr>
          <w:rFonts w:ascii="Cambria" w:cs="Cambria" w:eastAsia="Cambria" w:hAnsi="Cambria"/>
          <w:color w:val="3A3A3A"/>
          <w:sz w:val="18"/>
          <w:szCs w:val="18"/>
        </w:rPr>
        <w:t xml:space="preserve"> (varianza explicada, scree, Kaiser, cargas — Drills 1 y 2) y la plantilla </w:t>
      </w:r>
      <w:r>
        <w:rPr>
          <w:rFonts w:ascii="Consolas" w:cs="Consolas" w:eastAsia="Consolas" w:hAnsi="Consolas"/>
          <w:color w:val="7A1526"/>
          <w:sz w:val="16"/>
          <w:szCs w:val="16"/>
        </w:rPr>
        <w:t xml:space="preserve">plantillas/comparacion_pca_tsne_umap.docx</w:t>
      </w:r>
      <w:r>
        <w:rPr>
          <w:rFonts w:ascii="Cambria" w:cs="Cambria" w:eastAsia="Cambria" w:hAnsi="Cambria"/>
          <w:color w:val="3A3A3A"/>
          <w:sz w:val="18"/>
          <w:szCs w:val="18"/>
        </w:rPr>
        <w:t xml:space="preserve"> (qué preserva cada técnica — Drill 3).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Convención del curso: el análisis se apoya en </w:t>
      </w:r>
      <w:r>
        <w:rPr>
          <w:rFonts w:ascii="Consolas" w:cs="Consolas" w:eastAsia="Consolas" w:hAnsi="Consolas"/>
          <w:color w:val="7A1526"/>
          <w:sz w:val="16"/>
          <w:szCs w:val="16"/>
        </w:rPr>
        <w:t xml:space="preserve">scikit-learn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decomposition.PCA</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preprocessing.StandardScaler</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manifold.TSNE</w:t>
      </w:r>
      <w:r>
        <w:rPr>
          <w:rFonts w:ascii="Cambria" w:cs="Cambria" w:eastAsia="Cambria" w:hAnsi="Cambria"/>
          <w:color w:val="3A3A3A"/>
          <w:sz w:val="18"/>
          <w:szCs w:val="18"/>
        </w:rPr>
        <w:t xml:space="preserve">/</w:t>
      </w:r>
      <w:r>
        <w:rPr>
          <w:rFonts w:ascii="Cambria" w:cs="Cambria" w:eastAsia="Cambria" w:hAnsi="Cambria"/>
          <w:i/>
          <w:iCs/>
          <w:color w:val="3A3A3A"/>
          <w:sz w:val="18"/>
          <w:szCs w:val="18"/>
        </w:rPr>
        <w:t xml:space="preserve">trustworthiness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datasets.load_wine</w:t>
      </w:r>
      <w:r>
        <w:rPr>
          <w:rFonts w:ascii="Cambria" w:cs="Cambria" w:eastAsia="Cambria" w:hAnsi="Cambria"/>
          <w:color w:val="3A3A3A"/>
          <w:sz w:val="18"/>
          <w:szCs w:val="18"/>
        </w:rPr>
        <w:t xml:space="preserve">/</w:t>
      </w:r>
      <w:r>
        <w:rPr>
          <w:rFonts w:ascii="Consolas" w:cs="Consolas" w:eastAsia="Consolas" w:hAnsi="Consolas"/>
          <w:color w:val="7A1526"/>
          <w:sz w:val="16"/>
          <w:szCs w:val="16"/>
        </w:rPr>
        <w:t xml:space="preserve">load_digits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umap-learn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umap.UMAP</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factor_analyzer</w:t>
      </w:r>
      <w:r>
        <w:rPr>
          <w:rFonts w:ascii="Cambria" w:cs="Cambria" w:eastAsia="Cambria" w:hAnsi="Cambria"/>
          <w:color w:val="3A3A3A"/>
          <w:sz w:val="18"/>
          <w:szCs w:val="18"/>
        </w:rPr>
        <w:t xml:space="preserve">. Datasets integrados: </w:t>
      </w:r>
      <w:r>
        <w:rPr>
          <w:rFonts w:ascii="Cambria" w:cs="Cambria" w:eastAsia="Cambria" w:hAnsi="Cambria"/>
          <w:b/>
          <w:bCs/>
          <w:color w:val="3A3A3A"/>
          <w:sz w:val="18"/>
          <w:szCs w:val="18"/>
        </w:rPr>
        <w:t xml:space="preserve">Wine</w:t>
      </w:r>
      <w:r>
        <w:rPr>
          <w:rFonts w:ascii="Cambria" w:cs="Cambria" w:eastAsia="Cambria" w:hAnsi="Cambria"/>
          <w:color w:val="3A3A3A"/>
          <w:sz w:val="18"/>
          <w:szCs w:val="18"/>
        </w:rPr>
        <w:t xml:space="preserve"> (178×13) y </w:t>
      </w:r>
      <w:r>
        <w:rPr>
          <w:rFonts w:ascii="Cambria" w:cs="Cambria" w:eastAsia="Cambria" w:hAnsi="Cambria"/>
          <w:b/>
          <w:bCs/>
          <w:color w:val="3A3A3A"/>
          <w:sz w:val="18"/>
          <w:szCs w:val="18"/>
        </w:rPr>
        <w:t xml:space="preserve">digits</w:t>
      </w:r>
      <w:r>
        <w:rPr>
          <w:rFonts w:ascii="Cambria" w:cs="Cambria" w:eastAsia="Cambria" w:hAnsi="Cambria"/>
          <w:color w:val="3A3A3A"/>
          <w:sz w:val="18"/>
          <w:szCs w:val="18"/>
        </w:rPr>
        <w:t xml:space="preserve"> (1797×64). </w:t>
      </w:r>
      <w:r>
        <w:rPr>
          <w:rFonts w:ascii="Cambria" w:cs="Cambria" w:eastAsia="Cambria" w:hAnsi="Cambria"/>
          <w:b/>
          <w:bCs/>
          <w:color w:val="3A3A3A"/>
          <w:sz w:val="18"/>
          <w:szCs w:val="18"/>
        </w:rPr>
        <w:t xml:space="preserve">El PCA de </w:t>
      </w:r>
      <w:r>
        <w:rPr>
          <w:rFonts w:ascii="Consolas" w:cs="Consolas" w:eastAsia="Consolas" w:hAnsi="Consolas"/>
          <w:b/>
          <w:bCs/>
          <w:color w:val="7A1526"/>
          <w:sz w:val="16"/>
          <w:szCs w:val="16"/>
        </w:rPr>
        <w:t xml:space="preserve">scikit-learn</w:t>
      </w:r>
      <w:r>
        <w:rPr>
          <w:rFonts w:ascii="Cambria" w:cs="Cambria" w:eastAsia="Cambria" w:hAnsi="Cambria"/>
          <w:b/>
          <w:bCs/>
          <w:color w:val="3A3A3A"/>
          <w:sz w:val="18"/>
          <w:szCs w:val="18"/>
        </w:rPr>
        <w:t xml:space="preserve"> centra pero no escala</w:t>
      </w:r>
      <w:r>
        <w:rPr>
          <w:rFonts w:ascii="Cambria" w:cs="Cambria" w:eastAsia="Cambria" w:hAnsi="Cambria"/>
          <w:color w:val="3A3A3A"/>
          <w:sz w:val="18"/>
          <w:szCs w:val="18"/>
        </w:rPr>
        <w:t xml:space="preserve"> (equivale a matriz de covarianza); para la convención de correlación hay que aplicar </w:t>
      </w:r>
      <w:r>
        <w:rPr>
          <w:rFonts w:ascii="Consolas" w:cs="Consolas" w:eastAsia="Consolas" w:hAnsi="Consolas"/>
          <w:color w:val="7A1526"/>
          <w:sz w:val="16"/>
          <w:szCs w:val="16"/>
        </w:rPr>
        <w:t xml:space="preserve">StandardScaler</w:t>
      </w:r>
      <w:r>
        <w:rPr>
          <w:rFonts w:ascii="Cambria" w:cs="Cambria" w:eastAsia="Cambria" w:hAnsi="Cambria"/>
          <w:color w:val="3A3A3A"/>
          <w:sz w:val="18"/>
          <w:szCs w:val="18"/>
        </w:rPr>
        <w:t xml:space="preserve"> antes. Semilla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=42 en t-SNE, UMAP y toda CV; el PCA es determinista (salvo el signo del componente).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clustering (jerárquico, DBSCAN, K-Means) ni detección de anomalías sobre los mapas (materia de S07); t-SNE y UMAP aquí </w:t>
      </w:r>
      <w:r>
        <w:rPr>
          <w:rFonts w:ascii="Cambria" w:cs="Cambria" w:eastAsia="Cambria" w:hAnsi="Cambria"/>
          <w:b/>
          <w:bCs/>
          <w:color w:val="3A3A3A"/>
          <w:sz w:val="18"/>
          <w:szCs w:val="18"/>
        </w:rPr>
        <w:t xml:space="preserve">solo visualizan</w:t>
      </w:r>
      <w:r>
        <w:rPr>
          <w:rFonts w:ascii="Cambria" w:cs="Cambria" w:eastAsia="Cambria" w:hAnsi="Cambria"/>
          <w:color w:val="3A3A3A"/>
          <w:sz w:val="18"/>
          <w:szCs w:val="18"/>
        </w:rPr>
        <w:t xml:space="preserve">, no agrupan formalmente.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cómo decidir el número de componentes de un PCA al cruzar el umbral de varianza acumulada, el scree plot y el criterio de Kaiser; cómo nombrar de negocio los dos primeros ejes de un biplot a partir de sus cargas; y cómo comparar t-SNE y UMAP con sus proxies cuantitativos, discutiendo la estabilidad del resultado ante los hiperparámetros y ante la semilla.</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Decidir cuántos componentes retener con scree plot + 90 % de varianza</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Interpretar de negocio los dos primeros componentes de un biplot</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Comparar t-SNE vs. UMAP con hiperparámetros variados y discutir estabilidad</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DECIDIR CUÁNTOS COMPONENTES RETENER CON SCREE PLOT + 90 % DE VARIANZA</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Se aplica PCA a </w:t>
      </w:r>
      <w:r>
        <w:rPr>
          <w:rFonts w:ascii="Cambria" w:cs="Cambria" w:eastAsia="Cambria" w:hAnsi="Cambria"/>
          <w:b/>
          <w:bCs/>
          <w:color w:val="2D2D2D"/>
          <w:sz w:val="20"/>
          <w:szCs w:val="20"/>
        </w:rPr>
        <w:t xml:space="preserve">Wine</w:t>
      </w:r>
      <w:r>
        <w:rPr>
          <w:rFonts w:ascii="Cambria" w:cs="Cambria" w:eastAsia="Cambria" w:hAnsi="Cambria"/>
          <w:color w:val="2D2D2D"/>
          <w:sz w:val="20"/>
          <w:szCs w:val="20"/>
        </w:rPr>
        <w:t xml:space="preserve"> (13 variables químicas de escalas muy distintas: </w:t>
      </w:r>
      <w:r>
        <w:rPr>
          <w:rFonts w:ascii="Consolas" w:cs="Consolas" w:eastAsia="Consolas" w:hAnsi="Consolas"/>
          <w:color w:val="7A1526"/>
          <w:sz w:val="18"/>
          <w:szCs w:val="18"/>
        </w:rPr>
        <w:t xml:space="preserve">proline</w:t>
      </w:r>
      <w:r>
        <w:rPr>
          <w:rFonts w:ascii="Cambria" w:cs="Cambria" w:eastAsia="Cambria" w:hAnsi="Cambria"/>
          <w:color w:val="2D2D2D"/>
          <w:sz w:val="20"/>
          <w:szCs w:val="20"/>
        </w:rPr>
        <w:t xml:space="preserve"> en cientos, </w:t>
      </w:r>
      <w:r>
        <w:rPr>
          <w:rFonts w:ascii="Consolas" w:cs="Consolas" w:eastAsia="Consolas" w:hAnsi="Consolas"/>
          <w:color w:val="7A1526"/>
          <w:sz w:val="18"/>
          <w:szCs w:val="18"/>
        </w:rPr>
        <w:t xml:space="preserve">hue</w:t>
      </w:r>
      <w:r>
        <w:rPr>
          <w:rFonts w:ascii="Cambria" w:cs="Cambria" w:eastAsia="Cambria" w:hAnsi="Cambria"/>
          <w:color w:val="2D2D2D"/>
          <w:sz w:val="20"/>
          <w:szCs w:val="20"/>
        </w:rPr>
        <w:t xml:space="preserve"> en decimales). La tabla muestra la </w:t>
      </w:r>
      <w:r>
        <w:rPr>
          <w:rFonts w:ascii="Cambria" w:cs="Cambria" w:eastAsia="Cambria" w:hAnsi="Cambria"/>
          <w:b/>
          <w:bCs/>
          <w:color w:val="2D2D2D"/>
          <w:sz w:val="20"/>
          <w:szCs w:val="20"/>
        </w:rPr>
        <w:t xml:space="preserve">varianza explicada por componente</w:t>
      </w:r>
      <w:r>
        <w:rPr>
          <w:rFonts w:ascii="Cambria" w:cs="Cambria" w:eastAsia="Cambria" w:hAnsi="Cambria"/>
          <w:color w:val="2D2D2D"/>
          <w:sz w:val="20"/>
          <w:szCs w:val="20"/>
        </w:rPr>
        <w:t xml:space="preserve"> y la </w:t>
      </w:r>
      <w:r>
        <w:rPr>
          <w:rFonts w:ascii="Cambria" w:cs="Cambria" w:eastAsia="Cambria" w:hAnsi="Cambria"/>
          <w:b/>
          <w:bCs/>
          <w:color w:val="2D2D2D"/>
          <w:sz w:val="20"/>
          <w:szCs w:val="20"/>
        </w:rPr>
        <w:t xml:space="preserve">acumulada</w:t>
      </w:r>
      <w:r>
        <w:rPr>
          <w:rFonts w:ascii="Cambria" w:cs="Cambria" w:eastAsia="Cambria" w:hAnsi="Cambria"/>
          <w:color w:val="2D2D2D"/>
          <w:sz w:val="20"/>
          <w:szCs w:val="20"/>
        </w:rPr>
        <w:t xml:space="preserve">, en dos convenciones: sobre los datos </w:t>
      </w:r>
      <w:r>
        <w:rPr>
          <w:rFonts w:ascii="Cambria" w:cs="Cambria" w:eastAsia="Cambria" w:hAnsi="Cambria"/>
          <w:b/>
          <w:bCs/>
          <w:color w:val="2D2D2D"/>
          <w:sz w:val="20"/>
          <w:szCs w:val="20"/>
        </w:rPr>
        <w:t xml:space="preserve">crudos</w:t>
      </w:r>
      <w:r>
        <w:rPr>
          <w:rFonts w:ascii="Cambria" w:cs="Cambria" w:eastAsia="Cambria" w:hAnsi="Cambria"/>
          <w:color w:val="2D2D2D"/>
          <w:sz w:val="20"/>
          <w:szCs w:val="20"/>
        </w:rPr>
        <w:t xml:space="preserve"> (matriz de covarianza) y sobre los datos </w:t>
      </w:r>
      <w:r>
        <w:rPr>
          <w:rFonts w:ascii="Cambria" w:cs="Cambria" w:eastAsia="Cambria" w:hAnsi="Cambria"/>
          <w:b/>
          <w:bCs/>
          <w:color w:val="2D2D2D"/>
          <w:sz w:val="20"/>
          <w:szCs w:val="20"/>
        </w:rPr>
        <w:t xml:space="preserve">estandarizados</w:t>
      </w:r>
      <w:r>
        <w:rPr>
          <w:rFonts w:ascii="Cambria" w:cs="Cambria" w:eastAsia="Cambria" w:hAnsi="Cambria"/>
          <w:color w:val="2D2D2D"/>
          <w:sz w:val="20"/>
          <w:szCs w:val="20"/>
        </w:rPr>
        <w:t xml:space="preserve"> (matriz de correlación, </w:t>
      </w:r>
      <w:r>
        <w:rPr>
          <w:rFonts w:ascii="Consolas" w:cs="Consolas" w:eastAsia="Consolas" w:hAnsi="Consolas"/>
          <w:color w:val="7A1526"/>
          <w:sz w:val="18"/>
          <w:szCs w:val="18"/>
        </w:rPr>
        <w:t xml:space="preserve">StandardScaler</w:t>
      </w:r>
      <w:r>
        <w:rPr>
          <w:rFonts w:ascii="Cambria" w:cs="Cambria" w:eastAsia="Cambria" w:hAnsi="Cambria"/>
          <w:color w:val="2D2D2D"/>
          <w:sz w:val="20"/>
          <w:szCs w:val="20"/>
        </w:rPr>
        <w:t xml:space="preserve"> antes del PCA). La varianza explicada del componente k es </w:t>
      </w:r>
      <w:r>
        <w:rPr>
          <w:rFonts w:ascii="Consolas" w:cs="Consolas" w:eastAsia="Consolas" w:hAnsi="Consolas"/>
          <w:color w:val="7A1526"/>
          <w:sz w:val="18"/>
          <w:szCs w:val="18"/>
        </w:rPr>
        <w:t xml:space="preserve">VE_k = λ_k / Σλ_j</w:t>
      </w:r>
      <w:r>
        <w:rPr>
          <w:rFonts w:ascii="Cambria" w:cs="Cambria" w:eastAsia="Cambria" w:hAnsi="Cambria"/>
          <w:color w:val="2D2D2D"/>
          <w:sz w:val="20"/>
          <w:szCs w:val="20"/>
        </w:rPr>
        <w:t xml:space="preserve"> (con λk su </w:t>
      </w:r>
      <w:r>
        <w:rPr>
          <w:rFonts w:ascii="Cambria" w:cs="Cambria" w:eastAsia="Cambria" w:hAnsi="Cambria"/>
          <w:b/>
          <w:bCs/>
          <w:color w:val="2D2D2D"/>
          <w:sz w:val="20"/>
          <w:szCs w:val="20"/>
        </w:rPr>
        <w:t xml:space="preserve">autovalor</w:t>
      </w:r>
      <w:r>
        <w:rPr>
          <w:rFonts w:ascii="Cambria" w:cs="Cambria" w:eastAsia="Cambria" w:hAnsi="Cambria"/>
          <w:color w:val="2D2D2D"/>
          <w:sz w:val="20"/>
          <w:szCs w:val="20"/>
        </w:rPr>
        <w:t xml:space="preserve">) y la acumulada de los primeros K es </w:t>
      </w:r>
      <w:r>
        <w:rPr>
          <w:rFonts w:ascii="Consolas" w:cs="Consolas" w:eastAsia="Consolas" w:hAnsi="Consolas"/>
          <w:color w:val="7A1526"/>
          <w:sz w:val="18"/>
          <w:szCs w:val="18"/>
        </w:rPr>
        <w:t xml:space="preserve">ΣVE_k (k=1..K)</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b/>
          <w:bCs/>
          <w:color w:val="2D2D2D"/>
          <w:sz w:val="20"/>
          <w:szCs w:val="20"/>
        </w:rPr>
        <w:t xml:space="preserve">Wine estandarizado (correlación):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Componente</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Varianza explicada (%)</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Acumulada (%)</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PC1</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36.2</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36.2</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PC2</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19.2</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55.4</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PC3</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11.1</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66.5</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PC4</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7.1</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73.6</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PC5</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6.6</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80.2</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PC6</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4.9</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85.1</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PC7</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4.2</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89.3</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PC8</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2.7</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92.0</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PC9</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2.2</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94.2</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PC10</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1.9</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96.2</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PC11</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1.7</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97.9</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PC12</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1.3</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99.2</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PC13</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w:t>
            </w:r>
          </w:p>
        </w:tc>
      </w:tr>
    </w:tbl>
    <w:p>
      <w:pPr>
        <w:spacing w:after="220"/>
      </w:pPr>
    </w:p>
    <w:p>
      <w:pPr>
        <w:spacing w:line="270"/>
      </w:pPr>
      <w:r>
        <w:rPr>
          <w:rFonts w:ascii="Cambria" w:cs="Cambria" w:eastAsia="Cambria" w:hAnsi="Cambria"/>
          <w:b/>
          <w:bCs/>
          <w:color w:val="2D2D2D"/>
          <w:sz w:val="20"/>
          <w:szCs w:val="20"/>
        </w:rPr>
        <w:t xml:space="preserve">Wine crudo (covarianza, sin estandarizar):</w:t>
      </w:r>
      <w:r>
        <w:rPr>
          <w:rFonts w:ascii="Cambria" w:cs="Cambria" w:eastAsia="Cambria" w:hAnsi="Cambria"/>
          <w:color w:val="2D2D2D"/>
          <w:sz w:val="20"/>
          <w:szCs w:val="20"/>
        </w:rPr>
        <w:t xml:space="preserve"> PC1 = </w:t>
      </w:r>
      <w:r>
        <w:rPr>
          <w:rFonts w:ascii="Cambria" w:cs="Cambria" w:eastAsia="Cambria" w:hAnsi="Cambria"/>
          <w:b/>
          <w:bCs/>
          <w:color w:val="2D2D2D"/>
          <w:sz w:val="20"/>
          <w:szCs w:val="20"/>
        </w:rPr>
        <w:t xml:space="preserve">99.81 %</w:t>
      </w:r>
      <w:r>
        <w:rPr>
          <w:rFonts w:ascii="Cambria" w:cs="Cambria" w:eastAsia="Cambria" w:hAnsi="Cambria"/>
          <w:color w:val="2D2D2D"/>
          <w:sz w:val="20"/>
          <w:szCs w:val="20"/>
        </w:rPr>
        <w:t xml:space="preserve"> (los 12 componentes restantes suman 0.19 %).</w:t>
      </w:r>
    </w:p>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Sobre el Wine </w:t>
            </w:r>
            <w:r>
              <w:rPr>
                <w:rFonts w:ascii="Cambria" w:cs="Cambria" w:eastAsia="Cambria" w:hAnsi="Cambria"/>
                <w:b/>
                <w:bCs/>
                <w:color w:val="2D2D2D"/>
                <w:sz w:val="19"/>
                <w:szCs w:val="19"/>
              </w:rPr>
              <w:t xml:space="preserve">estandarizado</w:t>
            </w:r>
            <w:r>
              <w:rPr>
                <w:rFonts w:ascii="Cambria" w:cs="Cambria" w:eastAsia="Cambria" w:hAnsi="Cambria"/>
                <w:color w:val="2D2D2D"/>
                <w:sz w:val="19"/>
                <w:szCs w:val="19"/>
              </w:rPr>
              <w:t xml:space="preserve">, ¿cuántos componentes hacen falta para retener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90 %</w:t>
            </w:r>
            <w:r>
              <w:rPr>
                <w:rFonts w:ascii="Cambria" w:cs="Cambria" w:eastAsia="Cambria" w:hAnsi="Cambria"/>
                <w:color w:val="2D2D2D"/>
                <w:sz w:val="19"/>
                <w:szCs w:val="19"/>
              </w:rPr>
              <w:t xml:space="preserve"> de la varianza? Indicar el componente exacto en que la acumulada cruza el umbral y justificar con las dos filas de la tabla.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Describir la forma del </w:t>
            </w:r>
            <w:r>
              <w:rPr>
                <w:rFonts w:ascii="Cambria" w:cs="Cambria" w:eastAsia="Cambria" w:hAnsi="Cambria"/>
                <w:b/>
                <w:bCs/>
                <w:color w:val="2D2D2D"/>
                <w:sz w:val="19"/>
                <w:szCs w:val="19"/>
              </w:rPr>
              <w:t xml:space="preserve">scree plot</w:t>
            </w:r>
            <w:r>
              <w:rPr>
                <w:rFonts w:ascii="Cambria" w:cs="Cambria" w:eastAsia="Cambria" w:hAnsi="Cambria"/>
                <w:color w:val="2D2D2D"/>
                <w:sz w:val="19"/>
                <w:szCs w:val="19"/>
              </w:rPr>
              <w:t xml:space="preserve"> del Wine estandarizado (la curva de varianza explicada por componente). ¿Hay un </w:t>
            </w:r>
            <w:r>
              <w:rPr>
                <w:rFonts w:ascii="Cambria" w:cs="Cambria" w:eastAsia="Cambria" w:hAnsi="Cambria"/>
                <w:b/>
                <w:bCs/>
                <w:color w:val="2D2D2D"/>
                <w:sz w:val="19"/>
                <w:szCs w:val="19"/>
              </w:rPr>
              <w:t xml:space="preserve">codo</w:t>
            </w:r>
            <w:r>
              <w:rPr>
                <w:rFonts w:ascii="Cambria" w:cs="Cambria" w:eastAsia="Cambria" w:hAnsi="Cambria"/>
                <w:color w:val="2D2D2D"/>
                <w:sz w:val="19"/>
                <w:szCs w:val="19"/>
              </w:rPr>
              <w:t xml:space="preserve"> nítido o la caída es gradual? ¿Qué implica eso para decidir el número de componentes y por qué en este caso conviene apoyarse en el </w:t>
            </w:r>
            <w:r>
              <w:rPr>
                <w:rFonts w:ascii="Cambria" w:cs="Cambria" w:eastAsia="Cambria" w:hAnsi="Cambria"/>
                <w:b/>
                <w:bCs/>
                <w:color w:val="2D2D2D"/>
                <w:sz w:val="19"/>
                <w:szCs w:val="19"/>
              </w:rPr>
              <w:t xml:space="preserve">umbral de varianza acumulada</w:t>
            </w:r>
            <w:r>
              <w:rPr>
                <w:rFonts w:ascii="Cambria" w:cs="Cambria" w:eastAsia="Cambria" w:hAnsi="Cambria"/>
                <w:color w:val="2D2D2D"/>
                <w:sz w:val="19"/>
                <w:szCs w:val="19"/>
              </w:rPr>
              <w:t xml:space="preserve"> más que en el codo?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Wine </w:t>
            </w:r>
            <w:r>
              <w:rPr>
                <w:rFonts w:ascii="Cambria" w:cs="Cambria" w:eastAsia="Cambria" w:hAnsi="Cambria"/>
                <w:b/>
                <w:bCs/>
                <w:color w:val="2D2D2D"/>
                <w:sz w:val="19"/>
                <w:szCs w:val="19"/>
              </w:rPr>
              <w:t xml:space="preserve">crudo</w:t>
            </w:r>
            <w:r>
              <w:rPr>
                <w:rFonts w:ascii="Cambria" w:cs="Cambria" w:eastAsia="Cambria" w:hAnsi="Cambria"/>
                <w:color w:val="2D2D2D"/>
                <w:sz w:val="19"/>
                <w:szCs w:val="19"/>
              </w:rPr>
              <w:t xml:space="preserve"> dice que </w:t>
            </w:r>
            <w:r>
              <w:rPr>
                <w:rFonts w:ascii="Cambria" w:cs="Cambria" w:eastAsia="Cambria" w:hAnsi="Cambria"/>
                <w:b/>
                <w:bCs/>
                <w:color w:val="2D2D2D"/>
                <w:sz w:val="19"/>
                <w:szCs w:val="19"/>
              </w:rPr>
              <w:t xml:space="preserve">1</w:t>
            </w:r>
            <w:r>
              <w:rPr>
                <w:rFonts w:ascii="Cambria" w:cs="Cambria" w:eastAsia="Cambria" w:hAnsi="Cambria"/>
                <w:color w:val="2D2D2D"/>
                <w:sz w:val="19"/>
                <w:szCs w:val="19"/>
              </w:rPr>
              <w:t xml:space="preserve"> componente basta (PC1 ≈ 99.81 %). Explicar por qué ese "1" </w:t>
            </w:r>
            <w:r>
              <w:rPr>
                <w:rFonts w:ascii="Cambria" w:cs="Cambria" w:eastAsia="Cambria" w:hAnsi="Cambria"/>
                <w:b/>
                <w:bCs/>
                <w:color w:val="2D2D2D"/>
                <w:sz w:val="19"/>
                <w:szCs w:val="19"/>
              </w:rPr>
              <w:t xml:space="preserve">no es una buena noticia</w:t>
            </w:r>
            <w:r>
              <w:rPr>
                <w:rFonts w:ascii="Cambria" w:cs="Cambria" w:eastAsia="Cambria" w:hAnsi="Cambria"/>
                <w:color w:val="2D2D2D"/>
                <w:sz w:val="19"/>
                <w:szCs w:val="19"/>
              </w:rPr>
              <w:t xml:space="preserve"> sino una </w:t>
            </w:r>
            <w:r>
              <w:rPr>
                <w:rFonts w:ascii="Cambria" w:cs="Cambria" w:eastAsia="Cambria" w:hAnsi="Cambria"/>
                <w:b/>
                <w:bCs/>
                <w:color w:val="2D2D2D"/>
                <w:sz w:val="19"/>
                <w:szCs w:val="19"/>
              </w:rPr>
              <w:t xml:space="preserve">señal de alarma</w:t>
            </w:r>
            <w:r>
              <w:rPr>
                <w:rFonts w:ascii="Cambria" w:cs="Cambria" w:eastAsia="Cambria" w:hAnsi="Cambria"/>
                <w:color w:val="2D2D2D"/>
                <w:sz w:val="19"/>
                <w:szCs w:val="19"/>
              </w:rPr>
              <w:t xml:space="preserve">, y qué paso de preprocesamiento lo provoca. ¿Qué convención (covarianza o correlación) debe usarse cuando las variables están en unidades muy distintas, y por qué?</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Aplicar el </w:t>
            </w:r>
            <w:r>
              <w:rPr>
                <w:rFonts w:ascii="Cambria" w:cs="Cambria" w:eastAsia="Cambria" w:hAnsi="Cambria"/>
                <w:b/>
                <w:bCs/>
                <w:color w:val="2D2D2D"/>
                <w:sz w:val="19"/>
                <w:szCs w:val="19"/>
              </w:rPr>
              <w:t xml:space="preserve">criterio de Kaiser</w:t>
            </w:r>
            <w:r>
              <w:rPr>
                <w:rFonts w:ascii="Cambria" w:cs="Cambria" w:eastAsia="Cambria" w:hAnsi="Cambria"/>
                <w:color w:val="2D2D2D"/>
                <w:sz w:val="19"/>
                <w:szCs w:val="19"/>
              </w:rPr>
              <w:t xml:space="preserve"> (retener los componentes con autovalor λ &gt; 1, sobre la matriz de correlación): sobre Wine estandarizado sugiere </w:t>
            </w:r>
            <w:r>
              <w:rPr>
                <w:rFonts w:ascii="Cambria" w:cs="Cambria" w:eastAsia="Cambria" w:hAnsi="Cambria"/>
                <w:b/>
                <w:bCs/>
                <w:color w:val="2D2D2D"/>
                <w:sz w:val="19"/>
                <w:szCs w:val="19"/>
              </w:rPr>
              <w:t xml:space="preserve">3</w:t>
            </w:r>
            <w:r>
              <w:rPr>
                <w:rFonts w:ascii="Cambria" w:cs="Cambria" w:eastAsia="Cambria" w:hAnsi="Cambria"/>
                <w:color w:val="2D2D2D"/>
                <w:sz w:val="19"/>
                <w:szCs w:val="19"/>
              </w:rPr>
              <w:t xml:space="preserve"> componentes. Comparar las tres respuestas —umbral del 90 % (≈8), scree y Kaiser (3)— y explicar por qué </w:t>
            </w:r>
            <w:r>
              <w:rPr>
                <w:rFonts w:ascii="Cambria" w:cs="Cambria" w:eastAsia="Cambria" w:hAnsi="Cambria"/>
                <w:b/>
                <w:bCs/>
                <w:color w:val="2D2D2D"/>
                <w:sz w:val="19"/>
                <w:szCs w:val="19"/>
              </w:rPr>
              <w:t xml:space="preserve">los criterios pueden discrepar</w:t>
            </w:r>
            <w:r>
              <w:rPr>
                <w:rFonts w:ascii="Cambria" w:cs="Cambria" w:eastAsia="Cambria" w:hAnsi="Cambria"/>
                <w:color w:val="2D2D2D"/>
                <w:sz w:val="19"/>
                <w:szCs w:val="19"/>
              </w:rPr>
              <w:t xml:space="preserve"> y cómo se decide entonces. </w:t>
            </w:r>
            <w:r>
              <w:rPr>
                <w:rFonts w:ascii="Cambria" w:cs="Cambria" w:eastAsia="Cambria" w:hAnsi="Cambria"/>
                <w:i/>
                <w:iCs/>
                <w:color w:val="2D2D2D"/>
                <w:sz w:val="19"/>
                <w:szCs w:val="19"/>
              </w:rPr>
              <w:t xml:space="preserve">(Contraste opcional: el dataset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digits</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(64 variables, misma escala 0-16) necesita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21</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de 64 componentes para el 90 %; comparar con Wine.)</w:t>
            </w:r>
          </w:p>
        </w:tc>
      </w:tr>
    </w:tbl>
    <w:p>
      <w:pPr>
        <w:spacing w:after="220"/>
      </w:pPr>
    </w:p>
    <w:p>
      <w:pPr>
        <w:spacing w:after="260" w:line="265"/>
      </w:pPr>
      <w:r>
        <w:rPr>
          <w:rFonts w:ascii="Cambria" w:cs="Cambria" w:eastAsia="Cambria" w:hAnsi="Cambria"/>
          <w:i/>
          <w:iCs/>
          <w:color w:val="6E6E6E"/>
          <w:sz w:val="18"/>
          <w:szCs w:val="18"/>
        </w:rPr>
        <w:t xml:space="preserve">(Pista: la acumulada es la métrica de decisión —"con k componentes se conserva el X %"—; el scree es una guía visual y subjetiva; Kaiser (λ&gt;1) es un filtro objetivo pero tosco que suele subestimar el número de componentes. Ninguno se usa en aislado. Recordar que PCA de sklearn no estandariza: hay que anteponer </w:t>
      </w:r>
      <w:r>
        <w:rPr>
          <w:rFonts w:ascii="Consolas" w:cs="Consolas" w:eastAsia="Consolas" w:hAnsi="Consolas"/>
          <w:i/>
          <w:iCs/>
          <w:color w:val="7A1526"/>
          <w:sz w:val="16"/>
          <w:szCs w:val="16"/>
        </w:rPr>
        <w:t xml:space="preserve">StandardScaler</w:t>
      </w:r>
      <w:r>
        <w:rPr>
          <w:rFonts w:ascii="Cambria" w:cs="Cambria" w:eastAsia="Cambria" w:hAnsi="Cambria"/>
          <w:i/>
          <w:iCs/>
          <w:color w:val="6E6E6E"/>
          <w:sz w:val="18"/>
          <w:szCs w:val="18"/>
        </w:rPr>
        <w:t xml:space="preserve"> para la convención de correlación.)</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INTERPRETAR DE NEGOCIO LOS DOS PRIMEROS COMPONENTES DE UN BIPLOT</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w:t>
      </w:r>
      <w:r>
        <w:rPr>
          <w:rFonts w:ascii="Cambria" w:cs="Cambria" w:eastAsia="Cambria" w:hAnsi="Cambria"/>
          <w:b/>
          <w:bCs/>
          <w:color w:val="2D2D2D"/>
          <w:sz w:val="20"/>
          <w:szCs w:val="20"/>
        </w:rPr>
        <w:t xml:space="preserve">Wine estandarizado</w:t>
      </w:r>
      <w:r>
        <w:rPr>
          <w:rFonts w:ascii="Cambria" w:cs="Cambria" w:eastAsia="Cambria" w:hAnsi="Cambria"/>
          <w:color w:val="2D2D2D"/>
          <w:sz w:val="20"/>
          <w:szCs w:val="20"/>
        </w:rPr>
        <w:t xml:space="preserve">, un biplot proyecta las 178 muestras sobre PC1-PC2 (la proyección de una muestra </w:t>
      </w:r>
      <w:r>
        <w:rPr>
          <w:rFonts w:ascii="Cambria" w:cs="Cambria" w:eastAsia="Cambria" w:hAnsi="Cambria"/>
          <w:b/>
          <w:bCs/>
          <w:color w:val="2D2D2D"/>
          <w:sz w:val="20"/>
          <w:szCs w:val="20"/>
        </w:rPr>
        <w:t xml:space="preserve">centrada</w:t>
      </w:r>
      <w:r>
        <w:rPr>
          <w:rFonts w:ascii="Cambria" w:cs="Cambria" w:eastAsia="Cambria" w:hAnsi="Cambria"/>
          <w:color w:val="2D2D2D"/>
          <w:sz w:val="20"/>
          <w:szCs w:val="20"/>
        </w:rPr>
        <w:t xml:space="preserve"> sobre el componente k es </w:t>
      </w:r>
      <w:r>
        <w:rPr>
          <w:rFonts w:ascii="Consolas" w:cs="Consolas" w:eastAsia="Consolas" w:hAnsi="Consolas"/>
          <w:color w:val="7A1526"/>
          <w:sz w:val="18"/>
          <w:szCs w:val="18"/>
        </w:rPr>
        <w:t xml:space="preserve">z_ik = x_i^T w_k</w:t>
      </w:r>
      <w:r>
        <w:rPr>
          <w:rFonts w:ascii="Cambria" w:cs="Cambria" w:eastAsia="Cambria" w:hAnsi="Cambria"/>
          <w:color w:val="2D2D2D"/>
          <w:sz w:val="20"/>
          <w:szCs w:val="20"/>
        </w:rPr>
        <w:t xml:space="preserve">, con wk el autovector del componente) y dibuja las 13 variables como flechas. Las </w:t>
      </w:r>
      <w:r>
        <w:rPr>
          <w:rFonts w:ascii="Cambria" w:cs="Cambria" w:eastAsia="Cambria" w:hAnsi="Cambria"/>
          <w:b/>
          <w:bCs/>
          <w:color w:val="2D2D2D"/>
          <w:sz w:val="20"/>
          <w:szCs w:val="20"/>
        </w:rPr>
        <w:t xml:space="preserve">cargas</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loadings</w:t>
      </w:r>
      <w:r>
        <w:rPr>
          <w:rFonts w:ascii="Cambria" w:cs="Cambria" w:eastAsia="Cambria" w:hAnsi="Cambria"/>
          <w:color w:val="2D2D2D"/>
          <w:sz w:val="20"/>
          <w:szCs w:val="20"/>
        </w:rPr>
        <w:t xml:space="preserve"> = correlación variable–componente, </w:t>
      </w:r>
      <w:r>
        <w:rPr>
          <w:rFonts w:ascii="Consolas" w:cs="Consolas" w:eastAsia="Consolas" w:hAnsi="Consolas"/>
          <w:color w:val="7A1526"/>
          <w:sz w:val="18"/>
          <w:szCs w:val="18"/>
        </w:rPr>
        <w:t xml:space="preserve">carga_jk = v_jk·√λ_k</w:t>
      </w:r>
      <w:r>
        <w:rPr>
          <w:rFonts w:ascii="Cambria" w:cs="Cambria" w:eastAsia="Cambria" w:hAnsi="Cambria"/>
          <w:color w:val="2D2D2D"/>
          <w:sz w:val="20"/>
          <w:szCs w:val="20"/>
        </w:rPr>
        <w:t xml:space="preserve">: la coordenada del autovector vjk escalada por la raíz de su autovalor; magnitud = cuánto pesa la variable en ese eje, signo = dirección) son </w:t>
      </w:r>
      <w:r>
        <w:rPr>
          <w:rFonts w:ascii="Cambria" w:cs="Cambria" w:eastAsia="Cambria" w:hAnsi="Cambria"/>
          <w:b/>
          <w:bCs/>
          <w:color w:val="2D2D2D"/>
          <w:sz w:val="20"/>
          <w:szCs w:val="20"/>
        </w:rPr>
        <w:t xml:space="preserve">valores de referencia a calcular en este drill</w:t>
      </w:r>
      <w:r>
        <w:rPr>
          <w:rFonts w:ascii="Cambria" w:cs="Cambria" w:eastAsia="Cambria" w:hAnsi="Cambria"/>
          <w:color w:val="2D2D2D"/>
          <w:sz w:val="20"/>
          <w:szCs w:val="20"/>
        </w:rPr>
        <w:t xml:space="preserve"> (no una salida directa de </w:t>
      </w:r>
      <w:r>
        <w:rPr>
          <w:rFonts w:ascii="Consolas" w:cs="Consolas" w:eastAsia="Consolas" w:hAnsi="Consolas"/>
          <w:color w:val="7A1526"/>
          <w:sz w:val="18"/>
          <w:szCs w:val="18"/>
        </w:rPr>
        <w:t xml:space="preserve">pca.components_</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Variable</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Carga en PC1</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Carga en PC2</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flavanoids</w:t>
            </w:r>
            <w:r>
              <w:rPr>
                <w:rFonts w:ascii="Calibri" w:cs="Calibri" w:eastAsia="Calibri" w:hAnsi="Calibri"/>
                <w:b/>
                <w:bCs/>
                <w:color w:val="7A1526"/>
                <w:sz w:val="18"/>
                <w:szCs w:val="18"/>
              </w:rPr>
              <w:t xml:space="preserve"> (flavonoides)</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+0.92</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total_phenols</w:t>
            </w:r>
            <w:r>
              <w:rPr>
                <w:rFonts w:ascii="Calibri" w:cs="Calibri" w:eastAsia="Calibri" w:hAnsi="Calibri"/>
                <w:b/>
                <w:bCs/>
                <w:color w:val="7A1526"/>
                <w:sz w:val="18"/>
                <w:szCs w:val="18"/>
              </w:rPr>
              <w:t xml:space="preserve"> (fenoles totales)</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+0.86</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+0.10</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od280/od315</w:t>
            </w:r>
            <w:r>
              <w:rPr>
                <w:rFonts w:ascii="Calibri" w:cs="Calibri" w:eastAsia="Calibri" w:hAnsi="Calibri"/>
                <w:b/>
                <w:bCs/>
                <w:color w:val="7A1526"/>
                <w:sz w:val="18"/>
                <w:szCs w:val="18"/>
              </w:rPr>
              <w:t xml:space="preserve"> (absorbancia, proteínas)</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+0.82</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−0.26</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proanthocyanins</w:t>
            </w:r>
            <w:r>
              <w:rPr>
                <w:rFonts w:ascii="Calibri" w:cs="Calibri" w:eastAsia="Calibri" w:hAnsi="Calibri"/>
                <w:b/>
                <w:bCs/>
                <w:color w:val="7A1526"/>
                <w:sz w:val="18"/>
                <w:szCs w:val="18"/>
              </w:rPr>
              <w:t xml:space="preserve"> (proantocianinas)</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+0.68</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+0.06</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hue</w:t>
            </w:r>
            <w:r>
              <w:rPr>
                <w:rFonts w:ascii="Calibri" w:cs="Calibri" w:eastAsia="Calibri" w:hAnsi="Calibri"/>
                <w:b/>
                <w:bCs/>
                <w:color w:val="7A1526"/>
                <w:sz w:val="18"/>
                <w:szCs w:val="18"/>
              </w:rPr>
              <w:t xml:space="preserve"> (tono)</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+0.65</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−0.44</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proline</w:t>
            </w:r>
            <w:r>
              <w:rPr>
                <w:rFonts w:ascii="Calibri" w:cs="Calibri" w:eastAsia="Calibri" w:hAnsi="Calibri"/>
                <w:b/>
                <w:bCs/>
                <w:color w:val="7A1526"/>
                <w:sz w:val="18"/>
                <w:szCs w:val="18"/>
              </w:rPr>
              <w:t xml:space="preserve"> (prolina)</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+0.58</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alcohol</w:t>
            </w:r>
            <w:r>
              <w:rPr>
                <w:rFonts w:ascii="Calibri" w:cs="Calibri" w:eastAsia="Calibri" w:hAnsi="Calibri"/>
                <w:b/>
                <w:bCs/>
                <w:color w:val="7A1526"/>
                <w:sz w:val="18"/>
                <w:szCs w:val="18"/>
              </w:rPr>
              <w:t xml:space="preserve"> (grado alcohólico)</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+0.31</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+0.77</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magnesium</w:t>
            </w:r>
            <w:r>
              <w:rPr>
                <w:rFonts w:ascii="Calibri" w:cs="Calibri" w:eastAsia="Calibri" w:hAnsi="Calibri"/>
                <w:b/>
                <w:bCs/>
                <w:color w:val="7A1526"/>
                <w:sz w:val="18"/>
                <w:szCs w:val="18"/>
              </w:rPr>
              <w:t xml:space="preserve"> (magnesio)</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+0.31</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+0.48</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ash</w:t>
            </w:r>
            <w:r>
              <w:rPr>
                <w:rFonts w:ascii="Calibri" w:cs="Calibri" w:eastAsia="Calibri" w:hAnsi="Calibri"/>
                <w:b/>
                <w:bCs/>
                <w:color w:val="7A1526"/>
                <w:sz w:val="18"/>
                <w:szCs w:val="18"/>
              </w:rPr>
              <w:t xml:space="preserve"> (cenizas)</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+0.50</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color_intensity</w:t>
            </w:r>
            <w:r>
              <w:rPr>
                <w:rFonts w:ascii="Calibri" w:cs="Calibri" w:eastAsia="Calibri" w:hAnsi="Calibri"/>
                <w:b/>
                <w:bCs/>
                <w:color w:val="7A1526"/>
                <w:sz w:val="18"/>
                <w:szCs w:val="18"/>
              </w:rPr>
              <w:t xml:space="preserve"> (intensidad del color)</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−0.19</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+0.84</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alcalinity_of_ash</w:t>
            </w:r>
            <w:r>
              <w:rPr>
                <w:rFonts w:ascii="Calibri" w:cs="Calibri" w:eastAsia="Calibri" w:hAnsi="Calibri"/>
                <w:b/>
                <w:bCs/>
                <w:color w:val="7A1526"/>
                <w:sz w:val="18"/>
                <w:szCs w:val="18"/>
              </w:rPr>
              <w:t xml:space="preserve"> (alcalinidad)</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−0.52</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malic_acid</w:t>
            </w:r>
            <w:r>
              <w:rPr>
                <w:rFonts w:ascii="Calibri" w:cs="Calibri" w:eastAsia="Calibri" w:hAnsi="Calibri"/>
                <w:b/>
                <w:bCs/>
                <w:color w:val="7A1526"/>
                <w:sz w:val="18"/>
                <w:szCs w:val="18"/>
              </w:rPr>
              <w:t xml:space="preserve"> (ácido málico)</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−0.53</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+0.36</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nonflavanoid_phenols</w:t>
            </w:r>
            <w:r>
              <w:rPr>
                <w:rFonts w:ascii="Calibri" w:cs="Calibri" w:eastAsia="Calibri" w:hAnsi="Calibri"/>
                <w:b/>
                <w:bCs/>
                <w:color w:val="7A1526"/>
                <w:sz w:val="18"/>
                <w:szCs w:val="18"/>
              </w:rPr>
              <w:t xml:space="preserve"> (fenoles no flavonoides)</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−0.65</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r>
    </w:tbl>
    <w:p>
      <w:pPr>
        <w:spacing w:after="220"/>
      </w:pPr>
    </w:p>
    <w:p>
      <w:pPr>
        <w:spacing w:line="270"/>
      </w:pPr>
      <w:r>
        <w:rPr>
          <w:rFonts w:ascii="Cambria" w:cs="Cambria" w:eastAsia="Cambria" w:hAnsi="Cambria"/>
          <w:color w:val="2D2D2D"/>
          <w:sz w:val="20"/>
          <w:szCs w:val="20"/>
        </w:rPr>
        <w:t xml:space="preserve">(PC1 explica el 36.2 % de la varianza y PC2 el 19.2 %; juntos, 55.4 %.)</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pca.components_ ≠ carga</w:t>
            </w:r>
          </w:p>
          <w:p>
            <w:pPr>
              <w:spacing w:after="70" w:line="265"/>
            </w:pPr>
            <w:r>
              <w:rPr>
                <w:rFonts w:ascii="Consolas" w:cs="Consolas" w:eastAsia="Consolas" w:hAnsi="Consolas"/>
                <w:color w:val="7A1526"/>
                <w:sz w:val="16"/>
                <w:szCs w:val="16"/>
              </w:rPr>
              <w:t xml:space="preserve">pca.components_</w:t>
            </w:r>
            <w:r>
              <w:rPr>
                <w:rFonts w:ascii="Cambria" w:cs="Cambria" w:eastAsia="Cambria" w:hAnsi="Cambria"/>
                <w:color w:val="3A3A3A"/>
                <w:sz w:val="18"/>
                <w:szCs w:val="18"/>
              </w:rPr>
              <w:t xml:space="preserve"> devuelve el </w:t>
            </w:r>
            <w:r>
              <w:rPr>
                <w:rFonts w:ascii="Cambria" w:cs="Cambria" w:eastAsia="Cambria" w:hAnsi="Cambria"/>
                <w:b/>
                <w:bCs/>
                <w:color w:val="3A3A3A"/>
                <w:sz w:val="18"/>
                <w:szCs w:val="18"/>
              </w:rPr>
              <w:t xml:space="preserve">autovector unitario</w:t>
            </w:r>
            <w:r>
              <w:rPr>
                <w:rFonts w:ascii="Cambria" w:cs="Cambria" w:eastAsia="Cambria" w:hAnsi="Cambria"/>
                <w:color w:val="3A3A3A"/>
                <w:sz w:val="18"/>
                <w:szCs w:val="18"/>
              </w:rPr>
              <w:t xml:space="preserve"> (para </w:t>
            </w:r>
            <w:r>
              <w:rPr>
                <w:rFonts w:ascii="Consolas" w:cs="Consolas" w:eastAsia="Consolas" w:hAnsi="Consolas"/>
                <w:color w:val="7A1526"/>
                <w:sz w:val="16"/>
                <w:szCs w:val="16"/>
              </w:rPr>
              <w:t xml:space="preserve">flavanoids</w:t>
            </w:r>
            <w:r>
              <w:rPr>
                <w:rFonts w:ascii="Cambria" w:cs="Cambria" w:eastAsia="Cambria" w:hAnsi="Cambria"/>
                <w:color w:val="3A3A3A"/>
                <w:sz w:val="18"/>
                <w:szCs w:val="18"/>
              </w:rPr>
              <w:t xml:space="preserve"> en PC1 ≈ </w:t>
            </w:r>
            <w:r>
              <w:rPr>
                <w:rFonts w:ascii="Cambria" w:cs="Cambria" w:eastAsia="Cambria" w:hAnsi="Cambria"/>
                <w:b/>
                <w:bCs/>
                <w:color w:val="3A3A3A"/>
                <w:sz w:val="18"/>
                <w:szCs w:val="18"/>
              </w:rPr>
              <w:t xml:space="preserve">0.42</w:t>
            </w:r>
            <w:r>
              <w:rPr>
                <w:rFonts w:ascii="Cambria" w:cs="Cambria" w:eastAsia="Cambria" w:hAnsi="Cambria"/>
                <w:color w:val="3A3A3A"/>
                <w:sz w:val="18"/>
                <w:szCs w:val="18"/>
              </w:rPr>
              <w:t xml:space="preserve">, con Σ de sus cuadrados = 1); la </w:t>
            </w:r>
            <w:r>
              <w:rPr>
                <w:rFonts w:ascii="Cambria" w:cs="Cambria" w:eastAsia="Cambria" w:hAnsi="Cambria"/>
                <w:b/>
                <w:bCs/>
                <w:color w:val="3A3A3A"/>
                <w:sz w:val="18"/>
                <w:szCs w:val="18"/>
              </w:rPr>
              <w:t xml:space="preserve">carga</w:t>
            </w:r>
            <w:r>
              <w:rPr>
                <w:rFonts w:ascii="Cambria" w:cs="Cambria" w:eastAsia="Cambria" w:hAnsi="Cambria"/>
                <w:color w:val="3A3A3A"/>
                <w:sz w:val="18"/>
                <w:szCs w:val="18"/>
              </w:rPr>
              <w:t xml:space="preserve"> del biplot es ese valor </w:t>
            </w:r>
            <w:r>
              <w:rPr>
                <w:rFonts w:ascii="Cambria" w:cs="Cambria" w:eastAsia="Cambria" w:hAnsi="Cambria"/>
                <w:b/>
                <w:bCs/>
                <w:color w:val="3A3A3A"/>
                <w:sz w:val="18"/>
                <w:szCs w:val="18"/>
              </w:rPr>
              <w:t xml:space="preserve">escalado por √λ</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flavanoids</w:t>
            </w:r>
            <w:r>
              <w:rPr>
                <w:rFonts w:ascii="Cambria" w:cs="Cambria" w:eastAsia="Cambria" w:hAnsi="Cambria"/>
                <w:color w:val="3A3A3A"/>
                <w:sz w:val="18"/>
                <w:szCs w:val="18"/>
              </w:rPr>
              <w:t xml:space="preserve"> da </w:t>
            </w:r>
            <w:r>
              <w:rPr>
                <w:rFonts w:ascii="Consolas" w:cs="Consolas" w:eastAsia="Consolas" w:hAnsi="Consolas"/>
                <w:color w:val="7A1526"/>
                <w:sz w:val="16"/>
                <w:szCs w:val="16"/>
              </w:rPr>
              <w:t xml:space="preserve">0.424·√4.706 ≈ 0.92</w:t>
            </w:r>
            <w:r>
              <w:rPr>
                <w:rFonts w:ascii="Cambria" w:cs="Cambria" w:eastAsia="Cambria" w:hAnsi="Cambria"/>
                <w:color w:val="3A3A3A"/>
                <w:sz w:val="18"/>
                <w:szCs w:val="18"/>
              </w:rPr>
              <w:t xml:space="preserve">. Reproducir esta tabla exige multiplicar </w:t>
            </w:r>
            <w:r>
              <w:rPr>
                <w:rFonts w:ascii="Consolas" w:cs="Consolas" w:eastAsia="Consolas" w:hAnsi="Consolas"/>
                <w:color w:val="7A1526"/>
                <w:sz w:val="16"/>
                <w:szCs w:val="16"/>
              </w:rPr>
              <w:t xml:space="preserve">pca.components_</w:t>
            </w:r>
            <w:r>
              <w:rPr>
                <w:rFonts w:ascii="Cambria" w:cs="Cambria" w:eastAsia="Cambria" w:hAnsi="Cambria"/>
                <w:color w:val="3A3A3A"/>
                <w:sz w:val="18"/>
                <w:szCs w:val="18"/>
              </w:rPr>
              <w:t xml:space="preserve"> por la raíz del autovalor de cada componente; por eso las cifras de arriba son </w:t>
            </w:r>
            <w:r>
              <w:rPr>
                <w:rFonts w:ascii="Cambria" w:cs="Cambria" w:eastAsia="Cambria" w:hAnsi="Cambria"/>
                <w:b/>
                <w:bCs/>
                <w:color w:val="3A3A3A"/>
                <w:sz w:val="18"/>
                <w:szCs w:val="18"/>
              </w:rPr>
              <w:t xml:space="preserve">a calcular</w:t>
            </w:r>
            <w:r>
              <w:rPr>
                <w:rFonts w:ascii="Cambria" w:cs="Cambria" w:eastAsia="Cambria" w:hAnsi="Cambria"/>
                <w:color w:val="3A3A3A"/>
                <w:sz w:val="18"/>
                <w:szCs w:val="18"/>
              </w:rPr>
              <w:t xml:space="preserve"> (v·√λ), no una lectura directa de </w:t>
            </w:r>
            <w:r>
              <w:rPr>
                <w:rFonts w:ascii="Consolas" w:cs="Consolas" w:eastAsia="Consolas" w:hAnsi="Consolas"/>
                <w:color w:val="7A1526"/>
                <w:sz w:val="16"/>
                <w:szCs w:val="16"/>
              </w:rPr>
              <w:t xml:space="preserve">pca.components_</w:t>
            </w:r>
            <w:r>
              <w:rPr>
                <w:rFonts w:ascii="Cambria" w:cs="Cambria" w:eastAsia="Cambria" w:hAnsi="Cambria"/>
                <w:color w:val="3A3A3A"/>
                <w:sz w:val="18"/>
                <w:szCs w:val="18"/>
              </w:rPr>
              <w:t xml:space="preserve">. Como Wine está </w:t>
            </w:r>
            <w:r>
              <w:rPr>
                <w:rFonts w:ascii="Cambria" w:cs="Cambria" w:eastAsia="Cambria" w:hAnsi="Cambria"/>
                <w:b/>
                <w:bCs/>
                <w:color w:val="3A3A3A"/>
                <w:sz w:val="18"/>
                <w:szCs w:val="18"/>
              </w:rPr>
              <w:t xml:space="preserve">estandarizado</w:t>
            </w:r>
            <w:r>
              <w:rPr>
                <w:rFonts w:ascii="Cambria" w:cs="Cambria" w:eastAsia="Cambria" w:hAnsi="Cambria"/>
                <w:color w:val="3A3A3A"/>
                <w:sz w:val="18"/>
                <w:szCs w:val="18"/>
              </w:rPr>
              <w:t xml:space="preserve">, aquí la carga v·√λ </w:t>
            </w:r>
            <w:r>
              <w:rPr>
                <w:rFonts w:ascii="Cambria" w:cs="Cambria" w:eastAsia="Cambria" w:hAnsi="Cambria"/>
                <w:b/>
                <w:bCs/>
                <w:color w:val="3A3A3A"/>
                <w:sz w:val="18"/>
                <w:szCs w:val="18"/>
              </w:rPr>
              <w:t xml:space="preserve">sí es</w:t>
            </w:r>
            <w:r>
              <w:rPr>
                <w:rFonts w:ascii="Cambria" w:cs="Cambria" w:eastAsia="Cambria" w:hAnsi="Cambria"/>
                <w:color w:val="3A3A3A"/>
                <w:sz w:val="18"/>
                <w:szCs w:val="18"/>
              </w:rPr>
              <w:t xml:space="preserve"> la correlación variable–componente y queda acotada en [−1, 1] (en convención de covarianza no lo estaría). Fuente única: el glosario de la sesión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Cómo comprobar el propio resultado</w:t>
            </w:r>
          </w:p>
          <w:p>
            <w:pPr>
              <w:spacing w:after="70" w:line="265"/>
            </w:pPr>
            <w:r>
              <w:rPr>
                <w:rFonts w:ascii="Cambria" w:cs="Cambria" w:eastAsia="Cambria" w:hAnsi="Cambria"/>
                <w:color w:val="3A3A3A"/>
                <w:sz w:val="18"/>
                <w:szCs w:val="18"/>
              </w:rPr>
              <w:t xml:space="preserve">Las 26 cargas —y el </w:t>
            </w:r>
            <w:r>
              <w:rPr>
                <w:rFonts w:ascii="Consolas" w:cs="Consolas" w:eastAsia="Consolas" w:hAnsi="Consolas"/>
                <w:color w:val="7A1526"/>
                <w:sz w:val="16"/>
                <w:szCs w:val="16"/>
              </w:rPr>
              <w:t xml:space="preserve">pca.components_</w:t>
            </w:r>
            <w:r>
              <w:rPr>
                <w:rFonts w:ascii="Cambria" w:cs="Cambria" w:eastAsia="Cambria" w:hAnsi="Cambria"/>
                <w:color w:val="3A3A3A"/>
                <w:sz w:val="18"/>
                <w:szCs w:val="18"/>
              </w:rPr>
              <w:t xml:space="preserve"> del que proceden— están certificadas en la hoja </w:t>
            </w:r>
            <w:r>
              <w:rPr>
                <w:rFonts w:ascii="Consolas" w:cs="Consolas" w:eastAsia="Consolas" w:hAnsi="Consolas"/>
                <w:color w:val="7A1526"/>
                <w:sz w:val="16"/>
                <w:szCs w:val="16"/>
              </w:rPr>
              <w:t xml:space="preserve">cargas_wine</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resultados/S06_resultados.xlsx</w:t>
            </w:r>
            <w:r>
              <w:rPr>
                <w:rFonts w:ascii="Cambria" w:cs="Cambria" w:eastAsia="Cambria" w:hAnsi="Cambria"/>
                <w:color w:val="3A3A3A"/>
                <w:sz w:val="18"/>
                <w:szCs w:val="18"/>
              </w:rPr>
              <w:t xml:space="preserve"> (columnas </w:t>
            </w:r>
            <w:r>
              <w:rPr>
                <w:rFonts w:ascii="Consolas" w:cs="Consolas" w:eastAsia="Consolas" w:hAnsi="Consolas"/>
                <w:color w:val="7A1526"/>
                <w:sz w:val="16"/>
                <w:szCs w:val="16"/>
              </w:rPr>
              <w:t xml:space="preserve">componente_pc1/carga_pc1</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componente_pc2/carga_pc2</w:t>
            </w:r>
            <w:r>
              <w:rPr>
                <w:rFonts w:ascii="Cambria" w:cs="Cambria" w:eastAsia="Cambria" w:hAnsi="Cambria"/>
                <w:color w:val="3A3A3A"/>
                <w:sz w:val="18"/>
                <w:szCs w:val="18"/>
              </w:rPr>
              <w:t xml:space="preserve">). El drill se calcula primero y se contrasta después contra esa hoja; el </w:t>
            </w:r>
            <w:r>
              <w:rPr>
                <w:rFonts w:ascii="Cambria" w:cs="Cambria" w:eastAsia="Cambria" w:hAnsi="Cambria"/>
                <w:b/>
                <w:bCs/>
                <w:color w:val="3A3A3A"/>
                <w:sz w:val="18"/>
                <w:szCs w:val="18"/>
              </w:rPr>
              <w:t xml:space="preserve">biplot de Wine estandarizado</w:t>
            </w:r>
            <w:r>
              <w:rPr>
                <w:rFonts w:ascii="Cambria" w:cs="Cambria" w:eastAsia="Cambria" w:hAnsi="Cambria"/>
                <w:color w:val="3A3A3A"/>
                <w:sz w:val="18"/>
                <w:szCs w:val="18"/>
              </w:rPr>
              <w:t xml:space="preserve"> que pide el drill se construye con esas cargas (flechas) sobre los </w:t>
            </w:r>
            <w:r>
              <w:rPr>
                <w:rFonts w:ascii="Cambria" w:cs="Cambria" w:eastAsia="Cambria" w:hAnsi="Cambria"/>
                <w:i/>
                <w:iCs/>
                <w:color w:val="3A3A3A"/>
                <w:sz w:val="18"/>
                <w:szCs w:val="18"/>
              </w:rPr>
              <w:t xml:space="preserve">scores</w:t>
            </w:r>
            <w:r>
              <w:rPr>
                <w:rFonts w:ascii="Cambria" w:cs="Cambria" w:eastAsia="Cambria" w:hAnsi="Cambria"/>
                <w:color w:val="3A3A3A"/>
                <w:sz w:val="18"/>
                <w:szCs w:val="18"/>
              </w:rPr>
              <w:t xml:space="preserve"> de PC1-PC2 (puntos, coloreados por cultivar).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El biplot de Wine ya está construido en el cuaderno</w:t>
            </w:r>
          </w:p>
          <w:p>
            <w:pPr>
              <w:spacing w:after="70" w:line="265"/>
            </w:pPr>
            <w:r>
              <w:rPr>
                <w:rFonts w:ascii="Cambria" w:cs="Cambria" w:eastAsia="Cambria" w:hAnsi="Cambria"/>
                <w:color w:val="3A3A3A"/>
                <w:sz w:val="18"/>
                <w:szCs w:val="18"/>
              </w:rPr>
              <w:t xml:space="preserve">La </w:t>
            </w:r>
            <w:r>
              <w:rPr>
                <w:rFonts w:ascii="Cambria" w:cs="Cambria" w:eastAsia="Cambria" w:hAnsi="Cambria"/>
                <w:b/>
                <w:bCs/>
                <w:color w:val="3A3A3A"/>
                <w:sz w:val="18"/>
                <w:szCs w:val="18"/>
              </w:rPr>
              <w:t xml:space="preserve">celda 85</w:t>
            </w:r>
            <w:r>
              <w:rPr>
                <w:rFonts w:ascii="Cambria" w:cs="Cambria" w:eastAsia="Cambria" w:hAnsi="Cambria"/>
                <w:color w:val="3A3A3A"/>
                <w:sz w:val="18"/>
                <w:szCs w:val="18"/>
              </w:rPr>
              <w:t xml:space="preserve"> («FIGURA DE RESULTADOS 4») lo traza </w:t>
            </w:r>
            <w:r>
              <w:rPr>
                <w:rFonts w:ascii="Cambria" w:cs="Cambria" w:eastAsia="Cambria" w:hAnsi="Cambria"/>
                <w:b/>
                <w:bCs/>
                <w:color w:val="3A3A3A"/>
                <w:sz w:val="18"/>
                <w:szCs w:val="18"/>
              </w:rPr>
              <w:t xml:space="preserve">al leer la hoja </w:t>
            </w:r>
            <w:r>
              <w:rPr>
                <w:rFonts w:ascii="Consolas" w:cs="Consolas" w:eastAsia="Consolas" w:hAnsi="Consolas"/>
                <w:b/>
                <w:bCs/>
                <w:color w:val="7A1526"/>
                <w:sz w:val="16"/>
                <w:szCs w:val="16"/>
              </w:rPr>
              <w:t xml:space="preserve">cargas_wine</w:t>
            </w:r>
            <w:r>
              <w:rPr>
                <w:rFonts w:ascii="Cambria" w:cs="Cambria" w:eastAsia="Cambria" w:hAnsi="Cambria"/>
                <w:color w:val="3A3A3A"/>
                <w:sz w:val="18"/>
                <w:szCs w:val="18"/>
              </w:rPr>
              <w:t xml:space="preserve"> —las 13 flechas salen del Excel, no se recalculan— sobre los </w:t>
            </w:r>
            <w:r>
              <w:rPr>
                <w:rFonts w:ascii="Cambria" w:cs="Cambria" w:eastAsia="Cambria" w:hAnsi="Cambria"/>
                <w:i/>
                <w:iCs/>
                <w:color w:val="3A3A3A"/>
                <w:sz w:val="18"/>
                <w:szCs w:val="18"/>
              </w:rPr>
              <w:t xml:space="preserve">scores</w:t>
            </w:r>
            <w:r>
              <w:rPr>
                <w:rFonts w:ascii="Cambria" w:cs="Cambria" w:eastAsia="Cambria" w:hAnsi="Cambria"/>
                <w:color w:val="3A3A3A"/>
                <w:sz w:val="18"/>
                <w:szCs w:val="18"/>
              </w:rPr>
              <w:t xml:space="preserve"> de los 178 vinos coloreados por cultivar, y guarda la figura en </w:t>
            </w:r>
            <w:r>
              <w:rPr>
                <w:rFonts w:ascii="Consolas" w:cs="Consolas" w:eastAsia="Consolas" w:hAnsi="Consolas"/>
                <w:color w:val="7A1526"/>
                <w:sz w:val="16"/>
                <w:szCs w:val="16"/>
              </w:rPr>
              <w:t xml:space="preserve">figuras/S06_biplot_wine.png</w:t>
            </w:r>
            <w:r>
              <w:rPr>
                <w:rFonts w:ascii="Cambria" w:cs="Cambria" w:eastAsia="Cambria" w:hAnsi="Cambria"/>
                <w:color w:val="3A3A3A"/>
                <w:sz w:val="18"/>
                <w:szCs w:val="18"/>
              </w:rPr>
              <w:t xml:space="preserve">. Conviene mirarlo </w:t>
            </w:r>
            <w:r>
              <w:rPr>
                <w:rFonts w:ascii="Cambria" w:cs="Cambria" w:eastAsia="Cambria" w:hAnsi="Cambria"/>
                <w:b/>
                <w:bCs/>
                <w:color w:val="3A3A3A"/>
                <w:sz w:val="18"/>
                <w:szCs w:val="18"/>
              </w:rPr>
              <w:t xml:space="preserve">después</w:t>
            </w:r>
            <w:r>
              <w:rPr>
                <w:rFonts w:ascii="Cambria" w:cs="Cambria" w:eastAsia="Cambria" w:hAnsi="Cambria"/>
                <w:color w:val="3A3A3A"/>
                <w:sz w:val="18"/>
                <w:szCs w:val="18"/>
              </w:rPr>
              <w:t xml:space="preserve"> de haber calculado las cargas de forma manual: sirve para contrastar el propio resultado y para ver los ángulos, no para saltarse el cálculo. (El biplot de la celda 51 es el de </w:t>
            </w:r>
            <w:r>
              <w:rPr>
                <w:rFonts w:ascii="Cambria" w:cs="Cambria" w:eastAsia="Cambria" w:hAnsi="Cambria"/>
                <w:b/>
                <w:bCs/>
                <w:color w:val="3A3A3A"/>
                <w:sz w:val="18"/>
                <w:szCs w:val="18"/>
              </w:rPr>
              <w:t xml:space="preserve">Iris por covarianza</w:t>
            </w:r>
            <w:r>
              <w:rPr>
                <w:rFonts w:ascii="Cambria" w:cs="Cambria" w:eastAsia="Cambria" w:hAnsi="Cambria"/>
                <w:color w:val="3A3A3A"/>
                <w:sz w:val="18"/>
                <w:szCs w:val="18"/>
              </w:rPr>
              <w:t xml:space="preserve">, otra convención: allí v·√λ vale 1,7615 cm y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una correlación.)</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Nombrar PC1.</w:t>
            </w:r>
            <w:r>
              <w:rPr>
                <w:rFonts w:ascii="Cambria" w:cs="Cambria" w:eastAsia="Cambria" w:hAnsi="Cambria"/>
                <w:color w:val="2D2D2D"/>
                <w:sz w:val="19"/>
                <w:szCs w:val="19"/>
              </w:rPr>
              <w:t xml:space="preserve"> ¿Qué variables cargan </w:t>
            </w:r>
            <w:r>
              <w:rPr>
                <w:rFonts w:ascii="Cambria" w:cs="Cambria" w:eastAsia="Cambria" w:hAnsi="Cambria"/>
                <w:b/>
                <w:bCs/>
                <w:color w:val="2D2D2D"/>
                <w:sz w:val="19"/>
                <w:szCs w:val="19"/>
              </w:rPr>
              <w:t xml:space="preserve">fuerte y positivo</w:t>
            </w:r>
            <w:r>
              <w:rPr>
                <w:rFonts w:ascii="Cambria" w:cs="Cambria" w:eastAsia="Cambria" w:hAnsi="Cambria"/>
                <w:color w:val="2D2D2D"/>
                <w:sz w:val="19"/>
                <w:szCs w:val="19"/>
              </w:rPr>
              <w:t xml:space="preserve"> en PC1 y cuáles fuerte y negativo? Proponer una etiqueta de negocio para el eje (p. ej. un rasgo del vino que resuma esas variables). ¿Qué significa que una muestra tenga </w:t>
            </w:r>
            <w:r>
              <w:rPr>
                <w:rFonts w:ascii="Cambria" w:cs="Cambria" w:eastAsia="Cambria" w:hAnsi="Cambria"/>
                <w:b/>
                <w:bCs/>
                <w:color w:val="2D2D2D"/>
                <w:sz w:val="19"/>
                <w:szCs w:val="19"/>
              </w:rPr>
              <w:t xml:space="preserve">PC1 alto</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Nombrar PC2.</w:t>
            </w:r>
            <w:r>
              <w:rPr>
                <w:rFonts w:ascii="Cambria" w:cs="Cambria" w:eastAsia="Cambria" w:hAnsi="Cambria"/>
                <w:color w:val="2D2D2D"/>
                <w:sz w:val="19"/>
                <w:szCs w:val="19"/>
              </w:rPr>
              <w:t xml:space="preserve"> Repetir el análisis con las cargas de PC2 y proponer una etiqueta de negocio distinta de la de PC1. ¿Por qué tiene sentido que sean </w:t>
            </w:r>
            <w:r>
              <w:rPr>
                <w:rFonts w:ascii="Cambria" w:cs="Cambria" w:eastAsia="Cambria" w:hAnsi="Cambria"/>
                <w:b/>
                <w:bCs/>
                <w:color w:val="2D2D2D"/>
                <w:sz w:val="19"/>
                <w:szCs w:val="19"/>
              </w:rPr>
              <w:t xml:space="preserve">ejes independientes</w:t>
            </w:r>
            <w:r>
              <w:rPr>
                <w:rFonts w:ascii="Cambria" w:cs="Cambria" w:eastAsia="Cambria" w:hAnsi="Cambria"/>
                <w:color w:val="2D2D2D"/>
                <w:sz w:val="19"/>
                <w:szCs w:val="19"/>
              </w:rPr>
              <w:t xml:space="preserve"> (ortogonales)?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Con la regla del </w:t>
            </w:r>
            <w:r>
              <w:rPr>
                <w:rFonts w:ascii="Cambria" w:cs="Cambria" w:eastAsia="Cambria" w:hAnsi="Cambria"/>
                <w:b/>
                <w:bCs/>
                <w:color w:val="2D2D2D"/>
                <w:sz w:val="19"/>
                <w:szCs w:val="19"/>
              </w:rPr>
              <w:t xml:space="preserve">ángulo entre flechas</w:t>
            </w:r>
            <w:r>
              <w:rPr>
                <w:rFonts w:ascii="Cambria" w:cs="Cambria" w:eastAsia="Cambria" w:hAnsi="Cambria"/>
                <w:color w:val="2D2D2D"/>
                <w:sz w:val="19"/>
                <w:szCs w:val="19"/>
              </w:rPr>
              <w:t xml:space="preserve"> (≈0° = correlación positiva; ≈180° = negativa; ≈90° = casi sin correlación), indicar: (a) un par de variables </w:t>
            </w:r>
            <w:r>
              <w:rPr>
                <w:rFonts w:ascii="Cambria" w:cs="Cambria" w:eastAsia="Cambria" w:hAnsi="Cambria"/>
                <w:b/>
                <w:bCs/>
                <w:color w:val="2D2D2D"/>
                <w:sz w:val="19"/>
                <w:szCs w:val="19"/>
              </w:rPr>
              <w:t xml:space="preserve">fuertemente correlacionadas positivamente</w:t>
            </w:r>
            <w:r>
              <w:rPr>
                <w:rFonts w:ascii="Cambria" w:cs="Cambria" w:eastAsia="Cambria" w:hAnsi="Cambria"/>
                <w:color w:val="2D2D2D"/>
                <w:sz w:val="19"/>
                <w:szCs w:val="19"/>
              </w:rPr>
              <w:t xml:space="preserve">; (b) un par con relación </w:t>
            </w:r>
            <w:r>
              <w:rPr>
                <w:rFonts w:ascii="Cambria" w:cs="Cambria" w:eastAsia="Cambria" w:hAnsi="Cambria"/>
                <w:b/>
                <w:bCs/>
                <w:color w:val="2D2D2D"/>
                <w:sz w:val="19"/>
                <w:szCs w:val="19"/>
              </w:rPr>
              <w:t xml:space="preserve">opuesta</w:t>
            </w:r>
            <w:r>
              <w:rPr>
                <w:rFonts w:ascii="Cambria" w:cs="Cambria" w:eastAsia="Cambria" w:hAnsi="Cambria"/>
                <w:color w:val="2D2D2D"/>
                <w:sz w:val="19"/>
                <w:szCs w:val="19"/>
              </w:rPr>
              <w:t xml:space="preserve">; (c) una variable </w:t>
            </w:r>
            <w:r>
              <w:rPr>
                <w:rFonts w:ascii="Cambria" w:cs="Cambria" w:eastAsia="Cambria" w:hAnsi="Cambria"/>
                <w:b/>
                <w:bCs/>
                <w:color w:val="2D2D2D"/>
                <w:sz w:val="19"/>
                <w:szCs w:val="19"/>
              </w:rPr>
              <w:t xml:space="preserve">casi no correlacionada</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flavanoids</w:t>
            </w:r>
            <w:r>
              <w:rPr>
                <w:rFonts w:ascii="Cambria" w:cs="Cambria" w:eastAsia="Cambria" w:hAnsi="Cambria"/>
                <w:color w:val="2D2D2D"/>
                <w:sz w:val="19"/>
                <w:szCs w:val="19"/>
              </w:rPr>
              <w:t xml:space="preserve">. Justificar con las cargas.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enólogo pregunta: "¿el signo negativo de </w:t>
            </w:r>
            <w:r>
              <w:rPr>
                <w:rFonts w:ascii="Consolas" w:cs="Consolas" w:eastAsia="Consolas" w:hAnsi="Consolas"/>
                <w:color w:val="7A1526"/>
                <w:sz w:val="17"/>
                <w:szCs w:val="17"/>
              </w:rPr>
              <w:t xml:space="preserve">malic_acid</w:t>
            </w:r>
            <w:r>
              <w:rPr>
                <w:rFonts w:ascii="Cambria" w:cs="Cambria" w:eastAsia="Cambria" w:hAnsi="Cambria"/>
                <w:color w:val="2D2D2D"/>
                <w:sz w:val="19"/>
                <w:szCs w:val="19"/>
              </w:rPr>
              <w:t xml:space="preserve"> en PC1 significa que el ácido málico es 'malo'?". Responder: ¿qué se puede y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puede concluir del </w:t>
            </w:r>
            <w:r>
              <w:rPr>
                <w:rFonts w:ascii="Cambria" w:cs="Cambria" w:eastAsia="Cambria" w:hAnsi="Cambria"/>
                <w:b/>
                <w:bCs/>
                <w:color w:val="2D2D2D"/>
                <w:sz w:val="19"/>
                <w:szCs w:val="19"/>
              </w:rPr>
              <w:t xml:space="preserve">signo</w:t>
            </w:r>
            <w:r>
              <w:rPr>
                <w:rFonts w:ascii="Cambria" w:cs="Cambria" w:eastAsia="Cambria" w:hAnsi="Cambria"/>
                <w:color w:val="2D2D2D"/>
                <w:sz w:val="19"/>
                <w:szCs w:val="19"/>
              </w:rPr>
              <w:t xml:space="preserve"> de una carga? ¿Qué precaución hay al leer </w:t>
            </w:r>
            <w:r>
              <w:rPr>
                <w:rFonts w:ascii="Cambria" w:cs="Cambria" w:eastAsia="Cambria" w:hAnsi="Cambria"/>
                <w:b/>
                <w:bCs/>
                <w:color w:val="2D2D2D"/>
                <w:sz w:val="19"/>
                <w:szCs w:val="19"/>
              </w:rPr>
              <w:t xml:space="preserve">distancias</w:t>
            </w:r>
            <w:r>
              <w:rPr>
                <w:rFonts w:ascii="Cambria" w:cs="Cambria" w:eastAsia="Cambria" w:hAnsi="Cambria"/>
                <w:color w:val="2D2D2D"/>
                <w:sz w:val="19"/>
                <w:szCs w:val="19"/>
              </w:rPr>
              <w:t xml:space="preserve"> en un biplot que solo muestra 2 de los 13 componentes?</w:t>
            </w:r>
          </w:p>
        </w:tc>
      </w:tr>
    </w:tbl>
    <w:p>
      <w:pPr>
        <w:spacing w:after="220"/>
      </w:pPr>
    </w:p>
    <w:p>
      <w:pPr>
        <w:spacing w:after="260" w:line="265"/>
      </w:pPr>
      <w:r>
        <w:rPr>
          <w:rFonts w:ascii="Cambria" w:cs="Cambria" w:eastAsia="Cambria" w:hAnsi="Cambria"/>
          <w:i/>
          <w:iCs/>
          <w:color w:val="6E6E6E"/>
          <w:sz w:val="18"/>
          <w:szCs w:val="18"/>
        </w:rPr>
        <w:t xml:space="preserve">(Pista: se nombran los ejes por el </w:t>
      </w:r>
      <w:r>
        <w:rPr>
          <w:rFonts w:ascii="Cambria" w:cs="Cambria" w:eastAsia="Cambria" w:hAnsi="Cambria"/>
          <w:b/>
          <w:bCs/>
          <w:i/>
          <w:iCs/>
          <w:color w:val="6E6E6E"/>
          <w:sz w:val="18"/>
          <w:szCs w:val="18"/>
        </w:rPr>
        <w:t xml:space="preserve">grupo de variables de carga alta</w:t>
      </w:r>
      <w:r>
        <w:rPr>
          <w:rFonts w:ascii="Cambria" w:cs="Cambria" w:eastAsia="Cambria" w:hAnsi="Cambria"/>
          <w:i/>
          <w:iCs/>
          <w:color w:val="6E6E6E"/>
          <w:sz w:val="18"/>
          <w:szCs w:val="18"/>
        </w:rPr>
        <w:t xml:space="preserve">; el signo del componente es </w:t>
      </w:r>
      <w:r>
        <w:rPr>
          <w:rFonts w:ascii="Cambria" w:cs="Cambria" w:eastAsia="Cambria" w:hAnsi="Cambria"/>
          <w:b/>
          <w:bCs/>
          <w:i/>
          <w:iCs/>
          <w:color w:val="6E6E6E"/>
          <w:sz w:val="18"/>
          <w:szCs w:val="18"/>
        </w:rPr>
        <w:t xml:space="preserve">arbitrario</w:t>
      </w:r>
      <w:r>
        <w:rPr>
          <w:rFonts w:ascii="Cambria" w:cs="Cambria" w:eastAsia="Cambria" w:hAnsi="Cambria"/>
          <w:i/>
          <w:iCs/>
          <w:color w:val="6E6E6E"/>
          <w:sz w:val="18"/>
          <w:szCs w:val="18"/>
        </w:rPr>
        <w:t xml:space="preserve"> —sklearn puede voltearlo— y no indica "bueno/malo"; el biplot es fiel solo en la medida en que PC1-PC2 expliquen mucha varianza. Flechas cortas = variables mal representadas en ese plano.)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2.4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Un solo registro trajera un error de digitación —una cifra con tres ceros de más— antes de ejecutar el PCA? ¿Cómo podría ese único punto distorsionar la primera componente principal y, con ella, la interpretación de todo el biplot? </w:t>
            </w:r>
            <w:r>
              <w:rPr>
                <w:rFonts w:ascii="Cambria" w:cs="Cambria" w:eastAsia="Cambria" w:hAnsi="Cambria"/>
                <w:i/>
                <w:iCs/>
                <w:color w:val="3A3A3A"/>
                <w:sz w:val="18"/>
                <w:szCs w:val="18"/>
              </w:rPr>
              <w:t xml:space="preserve">(La sensibilidad a atípicos está en la guía de supuestos de la sesión, punto 1.5.)</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COMPARAR T-SNE VS. UMAP CON HIPERPARÁMETROS VARIADOS Y DISCUTIR ESTABILIDAD</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w:t>
      </w:r>
      <w:r>
        <w:rPr>
          <w:rFonts w:ascii="Cambria" w:cs="Cambria" w:eastAsia="Cambria" w:hAnsi="Cambria"/>
          <w:b/>
          <w:bCs/>
          <w:color w:val="2D2D2D"/>
          <w:sz w:val="20"/>
          <w:szCs w:val="20"/>
        </w:rPr>
        <w:t xml:space="preserve">digits</w:t>
      </w:r>
      <w:r>
        <w:rPr>
          <w:rFonts w:ascii="Cambria" w:cs="Cambria" w:eastAsia="Cambria" w:hAnsi="Cambria"/>
          <w:color w:val="2D2D2D"/>
          <w:sz w:val="20"/>
          <w:szCs w:val="20"/>
        </w:rPr>
        <w:t xml:space="preserve"> (1797 imágenes de 8×8 = 64 dimensiones, 10 clases), se reducen los datos a </w:t>
      </w:r>
      <w:r>
        <w:rPr>
          <w:rFonts w:ascii="Cambria" w:cs="Cambria" w:eastAsia="Cambria" w:hAnsi="Cambria"/>
          <w:b/>
          <w:bCs/>
          <w:color w:val="2D2D2D"/>
          <w:sz w:val="20"/>
          <w:szCs w:val="20"/>
        </w:rPr>
        <w:t xml:space="preserve">2D</w:t>
      </w:r>
      <w:r>
        <w:rPr>
          <w:rFonts w:ascii="Cambria" w:cs="Cambria" w:eastAsia="Cambria" w:hAnsi="Cambria"/>
          <w:color w:val="2D2D2D"/>
          <w:sz w:val="20"/>
          <w:szCs w:val="20"/>
        </w:rPr>
        <w:t xml:space="preserve"> con t-SNE y con UMAP, con sus hiperparámetros variados (</w:t>
      </w:r>
      <w:r>
        <w:rPr>
          <w:rFonts w:ascii="Consolas" w:cs="Consolas" w:eastAsia="Consolas" w:hAnsi="Consolas"/>
          <w:color w:val="7A1526"/>
          <w:sz w:val="18"/>
          <w:szCs w:val="18"/>
        </w:rPr>
        <w:t xml:space="preserve">random_state</w:t>
      </w:r>
      <w:r>
        <w:rPr>
          <w:rFonts w:ascii="Cambria" w:cs="Cambria" w:eastAsia="Cambria" w:hAnsi="Cambria"/>
          <w:color w:val="2D2D2D"/>
          <w:sz w:val="20"/>
          <w:szCs w:val="20"/>
        </w:rPr>
        <w:t xml:space="preserve">=42 fijo en todos). Como la salida es un mapa (cualitativa), se mide su calidad con dos </w:t>
      </w:r>
      <w:r>
        <w:rPr>
          <w:rFonts w:ascii="Cambria" w:cs="Cambria" w:eastAsia="Cambria" w:hAnsi="Cambria"/>
          <w:b/>
          <w:bCs/>
          <w:color w:val="2D2D2D"/>
          <w:sz w:val="20"/>
          <w:szCs w:val="20"/>
        </w:rPr>
        <w:t xml:space="preserve">proxies cuantitativos</w:t>
      </w:r>
      <w:r>
        <w:rPr>
          <w:rFonts w:ascii="Cambria" w:cs="Cambria" w:eastAsia="Cambria" w:hAnsi="Cambria"/>
          <w:color w:val="2D2D2D"/>
          <w:sz w:val="20"/>
          <w:szCs w:val="20"/>
        </w:rPr>
        <w:t xml:space="preserve">: la </w:t>
      </w:r>
      <w:r>
        <w:rPr>
          <w:rFonts w:ascii="Cambria" w:cs="Cambria" w:eastAsia="Cambria" w:hAnsi="Cambria"/>
          <w:b/>
          <w:bCs/>
          <w:color w:val="2D2D2D"/>
          <w:sz w:val="20"/>
          <w:szCs w:val="20"/>
        </w:rPr>
        <w:t xml:space="preserve">exactitud de un kNN(5) con validación cruzada 5-fold</w:t>
      </w:r>
      <w:r>
        <w:rPr>
          <w:rFonts w:ascii="Cambria" w:cs="Cambria" w:eastAsia="Cambria" w:hAnsi="Cambria"/>
          <w:color w:val="2D2D2D"/>
          <w:sz w:val="20"/>
          <w:szCs w:val="20"/>
        </w:rPr>
        <w:t xml:space="preserve"> entrenado sobre las 2 coordenadas del mapa (¿se separan los dígitos con solo el embedding 2D?) y la </w:t>
      </w:r>
      <w:r>
        <w:rPr>
          <w:rFonts w:ascii="Cambria" w:cs="Cambria" w:eastAsia="Cambria" w:hAnsi="Cambria"/>
          <w:b/>
          <w:bCs/>
          <w:i/>
          <w:iCs/>
          <w:color w:val="2D2D2D"/>
          <w:sz w:val="20"/>
          <w:szCs w:val="20"/>
        </w:rPr>
        <w:t xml:space="preserve">trustworthiness</w:t>
      </w:r>
      <w:r>
        <w:rPr>
          <w:rFonts w:ascii="Cambria" w:cs="Cambria" w:eastAsia="Cambria" w:hAnsi="Cambria"/>
          <w:color w:val="2D2D2D"/>
          <w:sz w:val="20"/>
          <w:szCs w:val="20"/>
        </w:rPr>
        <w:t xml:space="preserve"> (0-1, cuánto se preservan los vecinos del espacio original; más cerca de 1 es mejor). Como referencia (benchmark del Excel </w:t>
      </w:r>
      <w:r>
        <w:rPr>
          <w:rFonts w:ascii="Consolas" w:cs="Consolas" w:eastAsia="Consolas" w:hAnsi="Consolas"/>
          <w:color w:val="7A1526"/>
          <w:sz w:val="18"/>
          <w:szCs w:val="18"/>
        </w:rPr>
        <w:t xml:space="preserve">resultados/S06_resultados.xlsx</w:t>
      </w:r>
      <w:r>
        <w:rPr>
          <w:rFonts w:ascii="Cambria" w:cs="Cambria" w:eastAsia="Cambria" w:hAnsi="Cambria"/>
          <w:color w:val="2D2D2D"/>
          <w:sz w:val="20"/>
          <w:szCs w:val="20"/>
        </w:rPr>
        <w:t xml:space="preserve">, hoja </w:t>
      </w:r>
      <w:r>
        <w:rPr>
          <w:rFonts w:ascii="Cambria" w:cs="Cambria" w:eastAsia="Cambria" w:hAnsi="Cambria"/>
          <w:b/>
          <w:bCs/>
          <w:color w:val="2D2D2D"/>
          <w:sz w:val="20"/>
          <w:szCs w:val="20"/>
        </w:rPr>
        <w:t xml:space="preserve">embeddings</w:t>
      </w:r>
      <w:r>
        <w:rPr>
          <w:rFonts w:ascii="Cambria" w:cs="Cambria" w:eastAsia="Cambria" w:hAnsi="Cambria"/>
          <w:color w:val="2D2D2D"/>
          <w:sz w:val="20"/>
          <w:szCs w:val="20"/>
        </w:rPr>
        <w:t xml:space="preserve">): kNN sobre los </w:t>
      </w:r>
      <w:r>
        <w:rPr>
          <w:rFonts w:ascii="Cambria" w:cs="Cambria" w:eastAsia="Cambria" w:hAnsi="Cambria"/>
          <w:b/>
          <w:bCs/>
          <w:color w:val="2D2D2D"/>
          <w:sz w:val="20"/>
          <w:szCs w:val="20"/>
        </w:rPr>
        <w:t xml:space="preserve">64D originales</w:t>
      </w:r>
      <w:r>
        <w:rPr>
          <w:rFonts w:ascii="Cambria" w:cs="Cambria" w:eastAsia="Cambria" w:hAnsi="Cambria"/>
          <w:color w:val="2D2D2D"/>
          <w:sz w:val="20"/>
          <w:szCs w:val="20"/>
        </w:rPr>
        <w:t xml:space="preserve"> = </w:t>
      </w:r>
      <w:r>
        <w:rPr>
          <w:rFonts w:ascii="Cambria" w:cs="Cambria" w:eastAsia="Cambria" w:hAnsi="Cambria"/>
          <w:b/>
          <w:bCs/>
          <w:color w:val="2D2D2D"/>
          <w:sz w:val="20"/>
          <w:szCs w:val="20"/>
        </w:rPr>
        <w:t xml:space="preserve">0.9627</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Representación 2D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Hiperparámetros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kNN(5) 5-fold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trustworthiness</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PCA</w:t>
            </w:r>
            <w:r>
              <w:rPr>
                <w:rFonts w:ascii="Calibri" w:cs="Calibri" w:eastAsia="Calibri" w:hAnsi="Calibri"/>
                <w:b/>
                <w:bCs/>
                <w:color w:val="7A1526"/>
                <w:sz w:val="18"/>
                <w:szCs w:val="18"/>
              </w:rPr>
              <w:t xml:space="preserve"> (lineal, baseline)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 componentes (28.5 % var.)</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0.6032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0.8304</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t-SNE</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perplexity = 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0.9794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0.9957</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t-SNE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perplexity = 30 </w:t>
            </w:r>
            <w:r>
              <w:rPr>
                <w:rFonts w:ascii="Calibri" w:cs="Calibri" w:eastAsia="Calibri" w:hAnsi="Calibri"/>
                <w:b w:val="false"/>
                <w:bCs w:val="false"/>
                <w:i/>
                <w:iCs/>
                <w:color w:val="2D2D2D"/>
                <w:sz w:val="18"/>
                <w:szCs w:val="18"/>
              </w:rPr>
              <w:t xml:space="preserve">(canónica)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0.9772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0.9950</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t-SNE</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perplexity = 50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0.9761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0.9945</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UMAP</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n_neighbors</w:t>
            </w:r>
            <w:r>
              <w:rPr>
                <w:rFonts w:ascii="Calibri" w:cs="Calibri" w:eastAsia="Calibri" w:hAnsi="Calibri"/>
                <w:b w:val="false"/>
                <w:bCs w:val="false"/>
                <w:color w:val="2D2D2D"/>
                <w:sz w:val="18"/>
                <w:szCs w:val="18"/>
              </w:rPr>
              <w:t xml:space="preserve"> = 5, </w:t>
            </w:r>
            <w:r>
              <w:rPr>
                <w:rFonts w:ascii="Consolas" w:cs="Consolas" w:eastAsia="Consolas" w:hAnsi="Consolas"/>
                <w:b w:val="false"/>
                <w:bCs w:val="false"/>
                <w:color w:val="7A1526"/>
                <w:sz w:val="16"/>
                <w:szCs w:val="16"/>
              </w:rPr>
              <w:t xml:space="preserve">min_dist</w:t>
            </w:r>
            <w:r>
              <w:rPr>
                <w:rFonts w:ascii="Calibri" w:cs="Calibri" w:eastAsia="Calibri" w:hAnsi="Calibri"/>
                <w:b w:val="false"/>
                <w:bCs w:val="false"/>
                <w:color w:val="2D2D2D"/>
                <w:sz w:val="18"/>
                <w:szCs w:val="18"/>
              </w:rPr>
              <w:t xml:space="preserve"> = 0.1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0.9833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0.9915</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UMAP</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n_neighbors</w:t>
            </w:r>
            <w:r>
              <w:rPr>
                <w:rFonts w:ascii="Calibri" w:cs="Calibri" w:eastAsia="Calibri" w:hAnsi="Calibri"/>
                <w:b w:val="false"/>
                <w:bCs w:val="false"/>
                <w:color w:val="2D2D2D"/>
                <w:sz w:val="18"/>
                <w:szCs w:val="18"/>
              </w:rPr>
              <w:t xml:space="preserve"> = 15, </w:t>
            </w:r>
            <w:r>
              <w:rPr>
                <w:rFonts w:ascii="Consolas" w:cs="Consolas" w:eastAsia="Consolas" w:hAnsi="Consolas"/>
                <w:b w:val="false"/>
                <w:bCs w:val="false"/>
                <w:color w:val="7A1526"/>
                <w:sz w:val="16"/>
                <w:szCs w:val="16"/>
              </w:rPr>
              <w:t xml:space="preserve">min_dist</w:t>
            </w:r>
            <w:r>
              <w:rPr>
                <w:rFonts w:ascii="Calibri" w:cs="Calibri" w:eastAsia="Calibri" w:hAnsi="Calibri"/>
                <w:b w:val="false"/>
                <w:bCs w:val="false"/>
                <w:color w:val="2D2D2D"/>
                <w:sz w:val="18"/>
                <w:szCs w:val="18"/>
              </w:rPr>
              <w:t xml:space="preserve"> = 0.1 </w:t>
            </w:r>
            <w:r>
              <w:rPr>
                <w:rFonts w:ascii="Calibri" w:cs="Calibri" w:eastAsia="Calibri" w:hAnsi="Calibri"/>
                <w:b w:val="false"/>
                <w:bCs w:val="false"/>
                <w:i/>
                <w:iCs/>
                <w:color w:val="2D2D2D"/>
                <w:sz w:val="18"/>
                <w:szCs w:val="18"/>
              </w:rPr>
              <w:t xml:space="preserve">(canónica)</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0.9716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0.9884</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UMAP</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n_neighbors</w:t>
            </w:r>
            <w:r>
              <w:rPr>
                <w:rFonts w:ascii="Calibri" w:cs="Calibri" w:eastAsia="Calibri" w:hAnsi="Calibri"/>
                <w:b w:val="false"/>
                <w:bCs w:val="false"/>
                <w:color w:val="2D2D2D"/>
                <w:sz w:val="18"/>
                <w:szCs w:val="18"/>
              </w:rPr>
              <w:t xml:space="preserve"> = 50, </w:t>
            </w:r>
            <w:r>
              <w:rPr>
                <w:rFonts w:ascii="Consolas" w:cs="Consolas" w:eastAsia="Consolas" w:hAnsi="Consolas"/>
                <w:b w:val="false"/>
                <w:bCs w:val="false"/>
                <w:color w:val="7A1526"/>
                <w:sz w:val="16"/>
                <w:szCs w:val="16"/>
              </w:rPr>
              <w:t xml:space="preserve">min_dist</w:t>
            </w:r>
            <w:r>
              <w:rPr>
                <w:rFonts w:ascii="Calibri" w:cs="Calibri" w:eastAsia="Calibri" w:hAnsi="Calibri"/>
                <w:b w:val="false"/>
                <w:bCs w:val="false"/>
                <w:color w:val="2D2D2D"/>
                <w:sz w:val="18"/>
                <w:szCs w:val="18"/>
              </w:rPr>
              <w:t xml:space="preserve"> = 0.1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0.9750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0.9859</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UMAP</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n_neighbors</w:t>
            </w:r>
            <w:r>
              <w:rPr>
                <w:rFonts w:ascii="Calibri" w:cs="Calibri" w:eastAsia="Calibri" w:hAnsi="Calibri"/>
                <w:b w:val="false"/>
                <w:bCs w:val="false"/>
                <w:color w:val="2D2D2D"/>
                <w:sz w:val="18"/>
                <w:szCs w:val="18"/>
              </w:rPr>
              <w:t xml:space="preserve"> = 15, </w:t>
            </w:r>
            <w:r>
              <w:rPr>
                <w:rFonts w:ascii="Consolas" w:cs="Consolas" w:eastAsia="Consolas" w:hAnsi="Consolas"/>
                <w:b w:val="false"/>
                <w:bCs w:val="false"/>
                <w:color w:val="7A1526"/>
                <w:sz w:val="16"/>
                <w:szCs w:val="16"/>
              </w:rPr>
              <w:t xml:space="preserve">min_dist</w:t>
            </w:r>
            <w:r>
              <w:rPr>
                <w:rFonts w:ascii="Calibri" w:cs="Calibri" w:eastAsia="Calibri" w:hAnsi="Calibri"/>
                <w:b w:val="false"/>
                <w:bCs w:val="false"/>
                <w:color w:val="2D2D2D"/>
                <w:sz w:val="18"/>
                <w:szCs w:val="18"/>
              </w:rPr>
              <w:t xml:space="preserve"> = 0.5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0.9811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0.9853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Todas las filas son reproducibles</w:t>
            </w:r>
          </w:p>
          <w:p>
            <w:pPr>
              <w:spacing w:after="70" w:line="265"/>
            </w:pPr>
            <w:r>
              <w:rPr>
                <w:rFonts w:ascii="Cambria" w:cs="Cambria" w:eastAsia="Cambria" w:hAnsi="Cambria"/>
                <w:color w:val="3A3A3A"/>
                <w:sz w:val="18"/>
                <w:szCs w:val="18"/>
              </w:rPr>
              <w:t xml:space="preserve">El barrido completo está volcado en la hoja </w:t>
            </w:r>
            <w:r>
              <w:rPr>
                <w:rFonts w:ascii="Consolas" w:cs="Consolas" w:eastAsia="Consolas" w:hAnsi="Consolas"/>
                <w:color w:val="7A1526"/>
                <w:sz w:val="16"/>
                <w:szCs w:val="16"/>
              </w:rPr>
              <w:t xml:space="preserve">barrido_drill3</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resultados/S06_resultados.xlsx</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random_state</w:t>
            </w:r>
            <w:r>
              <w:rPr>
                <w:rFonts w:ascii="Cambria" w:cs="Cambria" w:eastAsia="Cambria" w:hAnsi="Cambria"/>
                <w:color w:val="3A3A3A"/>
                <w:sz w:val="18"/>
                <w:szCs w:val="18"/>
              </w:rPr>
              <w:t xml:space="preserve">=42 en las ocho configuraciones); las dos filas marcadas </w:t>
            </w:r>
            <w:r>
              <w:rPr>
                <w:rFonts w:ascii="Cambria" w:cs="Cambria" w:eastAsia="Cambria" w:hAnsi="Cambria"/>
                <w:i/>
                <w:iCs/>
                <w:color w:val="3A3A3A"/>
                <w:sz w:val="18"/>
                <w:szCs w:val="18"/>
              </w:rPr>
              <w:t xml:space="preserve">(canónica)</w:t>
            </w:r>
            <w:r>
              <w:rPr>
                <w:rFonts w:ascii="Cambria" w:cs="Cambria" w:eastAsia="Cambria" w:hAnsi="Cambria"/>
                <w:color w:val="3A3A3A"/>
                <w:sz w:val="18"/>
                <w:szCs w:val="18"/>
              </w:rPr>
              <w:t xml:space="preserve"> son además las de la hoja embeddings, con el techo 64D </w:t>
            </w:r>
            <w:r>
              <w:rPr>
                <w:rFonts w:ascii="Cambria" w:cs="Cambria" w:eastAsia="Cambria" w:hAnsi="Cambria"/>
                <w:b/>
                <w:bCs/>
                <w:color w:val="3A3A3A"/>
                <w:sz w:val="18"/>
                <w:szCs w:val="18"/>
              </w:rPr>
              <w:t xml:space="preserve">0.9627</w:t>
            </w:r>
            <w:r>
              <w:rPr>
                <w:rFonts w:ascii="Cambria" w:cs="Cambria" w:eastAsia="Cambria" w:hAnsi="Cambria"/>
                <w:color w:val="3A3A3A"/>
                <w:sz w:val="18"/>
                <w:szCs w:val="18"/>
              </w:rPr>
              <w:t xml:space="preserve"> y el baseline PCA-2D </w:t>
            </w:r>
            <w:r>
              <w:rPr>
                <w:rFonts w:ascii="Cambria" w:cs="Cambria" w:eastAsia="Cambria" w:hAnsi="Cambria"/>
                <w:b/>
                <w:bCs/>
                <w:color w:val="3A3A3A"/>
                <w:sz w:val="18"/>
                <w:szCs w:val="18"/>
              </w:rPr>
              <w:t xml:space="preserve">0.6032 / 0.8304</w:t>
            </w:r>
            <w:r>
              <w:rPr>
                <w:rFonts w:ascii="Cambria" w:cs="Cambria" w:eastAsia="Cambria" w:hAnsi="Cambria"/>
                <w:color w:val="3A3A3A"/>
                <w:sz w:val="18"/>
                <w:szCs w:val="18"/>
              </w:rPr>
              <w:t xml:space="preserve">. No hay cifras "ilustrativas" en esta tabla: cada valor se puede recalcular y contrastar.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3.2   </w:t>
            </w:r>
            <w:r>
              <w:rPr>
                <w:rFonts w:ascii="Calibri" w:cs="Calibri" w:eastAsia="Calibri" w:hAnsi="Calibri"/>
                <w:b/>
                <w:bCs/>
                <w:color w:val="7A1526"/>
                <w:sz w:val="19"/>
                <w:szCs w:val="19"/>
              </w:rPr>
              <w:t xml:space="preserve">Con otra semilla, el orden entre t-SNE y UMAP cambia</w:t>
            </w:r>
          </w:p>
          <w:p>
            <w:pPr>
              <w:spacing w:after="70" w:line="265"/>
            </w:pPr>
            <w:r>
              <w:rPr>
                <w:rFonts w:ascii="Cambria" w:cs="Cambria" w:eastAsia="Cambria" w:hAnsi="Cambria"/>
                <w:color w:val="3A3A3A"/>
                <w:sz w:val="18"/>
                <w:szCs w:val="18"/>
              </w:rPr>
              <w:t xml:space="preserve">Al repetir la configuración canónica con </w:t>
            </w:r>
            <w:r>
              <w:rPr>
                <w:rFonts w:ascii="Cambria" w:cs="Cambria" w:eastAsia="Cambria" w:hAnsi="Cambria"/>
                <w:b/>
                <w:bCs/>
                <w:color w:val="3A3A3A"/>
                <w:sz w:val="18"/>
                <w:szCs w:val="18"/>
              </w:rPr>
              <w:t xml:space="preserve">cinco semillas</w:t>
            </w:r>
            <w:r>
              <w:rPr>
                <w:rFonts w:ascii="Cambria" w:cs="Cambria" w:eastAsia="Cambria" w:hAnsi="Cambria"/>
                <w:color w:val="3A3A3A"/>
                <w:sz w:val="18"/>
                <w:szCs w:val="18"/>
              </w:rPr>
              <w:t xml:space="preserve"> (0, 1, 7, 42, 2026; hoja </w:t>
            </w:r>
            <w:r>
              <w:rPr>
                <w:rFonts w:ascii="Consolas" w:cs="Consolas" w:eastAsia="Consolas" w:hAnsi="Consolas"/>
                <w:color w:val="7A1526"/>
                <w:sz w:val="16"/>
                <w:szCs w:val="16"/>
              </w:rPr>
              <w:t xml:space="preserve">estabilidad_semillas</w:t>
            </w:r>
            <w:r>
              <w:rPr>
                <w:rFonts w:ascii="Cambria" w:cs="Cambria" w:eastAsia="Cambria" w:hAnsi="Cambria"/>
                <w:color w:val="3A3A3A"/>
                <w:sz w:val="18"/>
                <w:szCs w:val="18"/>
              </w:rPr>
              <w:t xml:space="preserve">), t-SNE queda entre </w:t>
            </w:r>
            <w:r>
              <w:rPr>
                <w:rFonts w:ascii="Cambria" w:cs="Cambria" w:eastAsia="Cambria" w:hAnsi="Cambria"/>
                <w:b/>
                <w:bCs/>
                <w:color w:val="3A3A3A"/>
                <w:sz w:val="18"/>
                <w:szCs w:val="18"/>
              </w:rPr>
              <w:t xml:space="preserve">0.9750 y 0.9772</w:t>
            </w:r>
            <w:r>
              <w:rPr>
                <w:rFonts w:ascii="Cambria" w:cs="Cambria" w:eastAsia="Cambria" w:hAnsi="Cambria"/>
                <w:color w:val="3A3A3A"/>
                <w:sz w:val="18"/>
                <w:szCs w:val="18"/>
              </w:rPr>
              <w:t xml:space="preserve"> y UMAP entre </w:t>
            </w:r>
            <w:r>
              <w:rPr>
                <w:rFonts w:ascii="Cambria" w:cs="Cambria" w:eastAsia="Cambria" w:hAnsi="Cambria"/>
                <w:b/>
                <w:bCs/>
                <w:color w:val="3A3A3A"/>
                <w:sz w:val="18"/>
                <w:szCs w:val="18"/>
              </w:rPr>
              <w:t xml:space="preserve">0.9716 y 0.9816</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UMAP supera a t-SNE en 3 de las 5</w:t>
            </w:r>
            <w:r>
              <w:rPr>
                <w:rFonts w:ascii="Cambria" w:cs="Cambria" w:eastAsia="Cambria" w:hAnsi="Cambria"/>
                <w:color w:val="3A3A3A"/>
                <w:sz w:val="18"/>
                <w:szCs w:val="18"/>
              </w:rPr>
              <w:t xml:space="preserve">. El 0.9716 publicado para UMAP es el </w:t>
            </w:r>
            <w:r>
              <w:rPr>
                <w:rFonts w:ascii="Cambria" w:cs="Cambria" w:eastAsia="Cambria" w:hAnsi="Cambria"/>
                <w:b/>
                <w:bCs/>
                <w:color w:val="3A3A3A"/>
                <w:sz w:val="18"/>
                <w:szCs w:val="18"/>
              </w:rPr>
              <w:t xml:space="preserve">mínimo</w:t>
            </w:r>
            <w:r>
              <w:rPr>
                <w:rFonts w:ascii="Cambria" w:cs="Cambria" w:eastAsia="Cambria" w:hAnsi="Cambria"/>
                <w:color w:val="3A3A3A"/>
                <w:sz w:val="18"/>
                <w:szCs w:val="18"/>
              </w:rPr>
              <w:t xml:space="preserve"> de su distribución, no su valor típico. El PCA-2D, en cambio, es determinista (0.6032 siempre). Por eso el drill pregunta por la </w:t>
            </w:r>
            <w:r>
              <w:rPr>
                <w:rFonts w:ascii="Cambria" w:cs="Cambria" w:eastAsia="Cambria" w:hAnsi="Cambria"/>
                <w:b/>
                <w:bCs/>
                <w:color w:val="3A3A3A"/>
                <w:sz w:val="18"/>
                <w:szCs w:val="18"/>
              </w:rPr>
              <w:t xml:space="preserve">estabilidad</w:t>
            </w:r>
            <w:r>
              <w:rPr>
                <w:rFonts w:ascii="Cambria" w:cs="Cambria" w:eastAsia="Cambria" w:hAnsi="Cambria"/>
                <w:color w:val="3A3A3A"/>
                <w:sz w:val="18"/>
                <w:szCs w:val="18"/>
              </w:rPr>
              <w:t xml:space="preserve">, no por «cuál supera al otro».</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Comparar t-SNE y UMAP contra el baseline </w:t>
            </w:r>
            <w:r>
              <w:rPr>
                <w:rFonts w:ascii="Cambria" w:cs="Cambria" w:eastAsia="Cambria" w:hAnsi="Cambria"/>
                <w:b/>
                <w:bCs/>
                <w:color w:val="2D2D2D"/>
                <w:sz w:val="19"/>
                <w:szCs w:val="19"/>
              </w:rPr>
              <w:t xml:space="preserve">PCA-2D</w:t>
            </w:r>
            <w:r>
              <w:rPr>
                <w:rFonts w:ascii="Cambria" w:cs="Cambria" w:eastAsia="Cambria" w:hAnsi="Cambria"/>
                <w:color w:val="2D2D2D"/>
                <w:sz w:val="19"/>
                <w:szCs w:val="19"/>
              </w:rPr>
              <w:t xml:space="preserve"> (0.6032) y contra el techo </w:t>
            </w:r>
            <w:r>
              <w:rPr>
                <w:rFonts w:ascii="Cambria" w:cs="Cambria" w:eastAsia="Cambria" w:hAnsi="Cambria"/>
                <w:b/>
                <w:bCs/>
                <w:color w:val="2D2D2D"/>
                <w:sz w:val="19"/>
                <w:szCs w:val="19"/>
              </w:rPr>
              <w:t xml:space="preserve">64D</w:t>
            </w:r>
            <w:r>
              <w:rPr>
                <w:rFonts w:ascii="Cambria" w:cs="Cambria" w:eastAsia="Cambria" w:hAnsi="Cambria"/>
                <w:color w:val="2D2D2D"/>
                <w:sz w:val="19"/>
                <w:szCs w:val="19"/>
              </w:rPr>
              <w:t xml:space="preserve"> (0.9627). ¿Por qué el PCA-2D pierde casi la mitad de la señal mientras t-SNE/UMAP la recuperan casi entera en solo 2 dimensiones? Relacionarlo con que el PCA es </w:t>
            </w:r>
            <w:r>
              <w:rPr>
                <w:rFonts w:ascii="Cambria" w:cs="Cambria" w:eastAsia="Cambria" w:hAnsi="Cambria"/>
                <w:b/>
                <w:bCs/>
                <w:color w:val="2D2D2D"/>
                <w:sz w:val="19"/>
                <w:szCs w:val="19"/>
              </w:rPr>
              <w:t xml:space="preserve">lineal</w:t>
            </w:r>
            <w:r>
              <w:rPr>
                <w:rFonts w:ascii="Cambria" w:cs="Cambria" w:eastAsia="Cambria" w:hAnsi="Cambria"/>
                <w:color w:val="2D2D2D"/>
                <w:sz w:val="19"/>
                <w:szCs w:val="19"/>
              </w:rPr>
              <w:t xml:space="preserve"> y estas dos técnicas son </w:t>
            </w:r>
            <w:r>
              <w:rPr>
                <w:rFonts w:ascii="Cambria" w:cs="Cambria" w:eastAsia="Cambria" w:hAnsi="Cambria"/>
                <w:b/>
                <w:bCs/>
                <w:color w:val="2D2D2D"/>
                <w:sz w:val="19"/>
                <w:szCs w:val="19"/>
              </w:rPr>
              <w:t xml:space="preserve">no lineales</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locales</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Observar cómo cambian el kNN y la </w:t>
            </w:r>
            <w:r>
              <w:rPr>
                <w:rFonts w:ascii="Cambria" w:cs="Cambria" w:eastAsia="Cambria" w:hAnsi="Cambria"/>
                <w:i/>
                <w:iCs/>
                <w:color w:val="2D2D2D"/>
                <w:sz w:val="19"/>
                <w:szCs w:val="19"/>
              </w:rPr>
              <w:t xml:space="preserve">trustworthiness</w:t>
            </w:r>
            <w:r>
              <w:rPr>
                <w:rFonts w:ascii="Cambria" w:cs="Cambria" w:eastAsia="Cambria" w:hAnsi="Cambria"/>
                <w:color w:val="2D2D2D"/>
                <w:sz w:val="19"/>
                <w:szCs w:val="19"/>
              </w:rPr>
              <w:t xml:space="preserve"> al variar la </w:t>
            </w:r>
            <w:r>
              <w:rPr>
                <w:rFonts w:ascii="Cambria" w:cs="Cambria" w:eastAsia="Cambria" w:hAnsi="Cambria"/>
                <w:b/>
                <w:bCs/>
                <w:color w:val="2D2D2D"/>
                <w:sz w:val="19"/>
                <w:szCs w:val="19"/>
              </w:rPr>
              <w:t xml:space="preserve">perplexity</w:t>
            </w:r>
            <w:r>
              <w:rPr>
                <w:rFonts w:ascii="Cambria" w:cs="Cambria" w:eastAsia="Cambria" w:hAnsi="Cambria"/>
                <w:color w:val="2D2D2D"/>
                <w:sz w:val="19"/>
                <w:szCs w:val="19"/>
              </w:rPr>
              <w:t xml:space="preserve"> de t-SNE (5</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30</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50) y el </w:t>
            </w:r>
            <w:r>
              <w:rPr>
                <w:rFonts w:ascii="Consolas" w:cs="Consolas" w:eastAsia="Consolas" w:hAnsi="Consolas"/>
                <w:color w:val="7A1526"/>
                <w:sz w:val="17"/>
                <w:szCs w:val="17"/>
              </w:rPr>
              <w:t xml:space="preserve">n_neighbors/min_dist</w:t>
            </w:r>
            <w:r>
              <w:rPr>
                <w:rFonts w:ascii="Cambria" w:cs="Cambria" w:eastAsia="Cambria" w:hAnsi="Cambria"/>
                <w:color w:val="2D2D2D"/>
                <w:sz w:val="19"/>
                <w:szCs w:val="19"/>
              </w:rPr>
              <w:t xml:space="preserve"> de UMAP. ¿Es </w:t>
            </w:r>
            <w:r>
              <w:rPr>
                <w:rFonts w:ascii="Cambria" w:cs="Cambria" w:eastAsia="Cambria" w:hAnsi="Cambria"/>
                <w:b/>
                <w:bCs/>
                <w:color w:val="2D2D2D"/>
                <w:sz w:val="19"/>
                <w:szCs w:val="19"/>
              </w:rPr>
              <w:t xml:space="preserve">estable</w:t>
            </w:r>
            <w:r>
              <w:rPr>
                <w:rFonts w:ascii="Cambria" w:cs="Cambria" w:eastAsia="Cambria" w:hAnsi="Cambria"/>
                <w:color w:val="2D2D2D"/>
                <w:sz w:val="19"/>
                <w:szCs w:val="19"/>
              </w:rPr>
              <w:t xml:space="preserve"> la </w:t>
            </w:r>
            <w:r>
              <w:rPr>
                <w:rFonts w:ascii="Cambria" w:cs="Cambria" w:eastAsia="Cambria" w:hAnsi="Cambria"/>
                <w:b/>
                <w:bCs/>
                <w:color w:val="2D2D2D"/>
                <w:sz w:val="19"/>
                <w:szCs w:val="19"/>
              </w:rPr>
              <w:t xml:space="preserve">calidad</w:t>
            </w:r>
            <w:r>
              <w:rPr>
                <w:rFonts w:ascii="Cambria" w:cs="Cambria" w:eastAsia="Cambria" w:hAnsi="Cambria"/>
                <w:color w:val="2D2D2D"/>
                <w:sz w:val="19"/>
                <w:szCs w:val="19"/>
              </w:rPr>
              <w:t xml:space="preserve"> del embedding a través de los hiperparámetros? ¿Qué controla la perplexity (t-SNE) y qué controlan </w:t>
            </w:r>
            <w:r>
              <w:rPr>
                <w:rFonts w:ascii="Consolas" w:cs="Consolas" w:eastAsia="Consolas" w:hAnsi="Consolas"/>
                <w:color w:val="7A1526"/>
                <w:sz w:val="17"/>
                <w:szCs w:val="17"/>
              </w:rPr>
              <w:t xml:space="preserve">n_neighbors</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min_dist</w:t>
            </w:r>
            <w:r>
              <w:rPr>
                <w:rFonts w:ascii="Cambria" w:cs="Cambria" w:eastAsia="Cambria" w:hAnsi="Cambria"/>
                <w:color w:val="2D2D2D"/>
                <w:sz w:val="19"/>
                <w:szCs w:val="19"/>
              </w:rPr>
              <w:t xml:space="preserve"> (UMAP)? Con la hoja </w:t>
            </w:r>
            <w:r>
              <w:rPr>
                <w:rFonts w:ascii="Consolas" w:cs="Consolas" w:eastAsia="Consolas" w:hAnsi="Consolas"/>
                <w:color w:val="7A1526"/>
                <w:sz w:val="17"/>
                <w:szCs w:val="17"/>
              </w:rPr>
              <w:t xml:space="preserve">estabilidad_semillas</w:t>
            </w:r>
            <w:r>
              <w:rPr>
                <w:rFonts w:ascii="Cambria" w:cs="Cambria" w:eastAsia="Cambria" w:hAnsi="Cambria"/>
                <w:color w:val="2D2D2D"/>
                <w:sz w:val="19"/>
                <w:szCs w:val="19"/>
              </w:rPr>
              <w:t xml:space="preserve"> a la vista, responder además: ¿sería correcto escribir en un informe «t-SNE es mejor que UMAP porque 0.9772 &gt; 0.9716»? Justificar con el rango de cada técnica entre semillas.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Aunque los proxies apenas se mueven, el </w:t>
            </w:r>
            <w:r>
              <w:rPr>
                <w:rFonts w:ascii="Cambria" w:cs="Cambria" w:eastAsia="Cambria" w:hAnsi="Cambria"/>
                <w:b/>
                <w:bCs/>
                <w:color w:val="2D2D2D"/>
                <w:sz w:val="19"/>
                <w:szCs w:val="19"/>
              </w:rPr>
              <w:t xml:space="preserve">dibujo</w:t>
            </w:r>
            <w:r>
              <w:rPr>
                <w:rFonts w:ascii="Cambria" w:cs="Cambria" w:eastAsia="Cambria" w:hAnsi="Cambria"/>
                <w:color w:val="2D2D2D"/>
                <w:sz w:val="19"/>
                <w:szCs w:val="19"/>
              </w:rPr>
              <w:t xml:space="preserve"> (posición, tamaño y separación de las agrupaciones) sí cambia bastante entre configuraciones y entre semillas. Enumerar </w:t>
            </w:r>
            <w:r>
              <w:rPr>
                <w:rFonts w:ascii="Cambria" w:cs="Cambria" w:eastAsia="Cambria" w:hAnsi="Cambria"/>
                <w:b/>
                <w:bCs/>
                <w:color w:val="2D2D2D"/>
                <w:sz w:val="19"/>
                <w:szCs w:val="19"/>
              </w:rPr>
              <w:t xml:space="preserve">al menos tres aspectos que NO se deben interpretar</w:t>
            </w:r>
            <w:r>
              <w:rPr>
                <w:rFonts w:ascii="Cambria" w:cs="Cambria" w:eastAsia="Cambria" w:hAnsi="Cambria"/>
                <w:color w:val="2D2D2D"/>
                <w:sz w:val="19"/>
                <w:szCs w:val="19"/>
              </w:rPr>
              <w:t xml:space="preserve"> de un mapa t-SNE/UMAP (pistas: distancia entre agrupaciones, tamaño de una agrupación, densidad, significado de los ejes).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analista mira </w:t>
            </w:r>
            <w:r>
              <w:rPr>
                <w:rFonts w:ascii="Cambria" w:cs="Cambria" w:eastAsia="Cambria" w:hAnsi="Cambria"/>
                <w:b/>
                <w:bCs/>
                <w:color w:val="2D2D2D"/>
                <w:sz w:val="19"/>
                <w:szCs w:val="19"/>
              </w:rPr>
              <w:t xml:space="preserve">un solo</w:t>
            </w:r>
            <w:r>
              <w:rPr>
                <w:rFonts w:ascii="Cambria" w:cs="Cambria" w:eastAsia="Cambria" w:hAnsi="Cambria"/>
                <w:color w:val="2D2D2D"/>
                <w:sz w:val="19"/>
                <w:szCs w:val="19"/>
              </w:rPr>
              <w:t xml:space="preserve"> mapa UMAP y afirma: "el grupo A está muy lejos del B, así que son segmentos opuestos; además ya hice el clustering de clientes". Señalar los </w:t>
            </w:r>
            <w:r>
              <w:rPr>
                <w:rFonts w:ascii="Cambria" w:cs="Cambria" w:eastAsia="Cambria" w:hAnsi="Cambria"/>
                <w:b/>
                <w:bCs/>
                <w:color w:val="2D2D2D"/>
                <w:sz w:val="19"/>
                <w:szCs w:val="19"/>
              </w:rPr>
              <w:t xml:space="preserve">dos errores</w:t>
            </w:r>
            <w:r>
              <w:rPr>
                <w:rFonts w:ascii="Cambria" w:cs="Cambria" w:eastAsia="Cambria" w:hAnsi="Cambria"/>
                <w:color w:val="2D2D2D"/>
                <w:sz w:val="19"/>
                <w:szCs w:val="19"/>
              </w:rPr>
              <w:t xml:space="preserve"> y explicar el uso correcto de estas técnicas (generador de hipótesis visuales que se </w:t>
            </w:r>
            <w:r>
              <w:rPr>
                <w:rFonts w:ascii="Cambria" w:cs="Cambria" w:eastAsia="Cambria" w:hAnsi="Cambria"/>
                <w:b/>
                <w:bCs/>
                <w:color w:val="2D2D2D"/>
                <w:sz w:val="19"/>
                <w:szCs w:val="19"/>
              </w:rPr>
              <w:t xml:space="preserve">confirman por otros medios</w:t>
            </w:r>
            <w:r>
              <w:rPr>
                <w:rFonts w:ascii="Cambria" w:cs="Cambria" w:eastAsia="Cambria" w:hAnsi="Cambria"/>
                <w:color w:val="2D2D2D"/>
                <w:sz w:val="19"/>
                <w:szCs w:val="19"/>
              </w:rPr>
              <w:t xml:space="preserve">; visualizar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hacer clustering).</w:t>
            </w:r>
          </w:p>
        </w:tc>
      </w:tr>
    </w:tbl>
    <w:p>
      <w:pPr>
        <w:spacing w:after="220"/>
      </w:pPr>
    </w:p>
    <w:p>
      <w:pPr>
        <w:spacing w:after="260" w:line="265"/>
      </w:pPr>
      <w:r>
        <w:rPr>
          <w:rFonts w:ascii="Cambria" w:cs="Cambria" w:eastAsia="Cambria" w:hAnsi="Cambria"/>
          <w:i/>
          <w:iCs/>
          <w:color w:val="6E6E6E"/>
          <w:sz w:val="18"/>
          <w:szCs w:val="18"/>
        </w:rPr>
        <w:t xml:space="preserve">(Pista: una exactitud alta del kNN prueba que se preservó la estructura </w:t>
      </w:r>
      <w:r>
        <w:rPr>
          <w:rFonts w:ascii="Cambria" w:cs="Cambria" w:eastAsia="Cambria" w:hAnsi="Cambria"/>
          <w:b/>
          <w:bCs/>
          <w:i/>
          <w:iCs/>
          <w:color w:val="6E6E6E"/>
          <w:sz w:val="18"/>
          <w:szCs w:val="18"/>
        </w:rPr>
        <w:t xml:space="preserve">local</w:t>
      </w:r>
      <w:r>
        <w:rPr>
          <w:rFonts w:ascii="Cambria" w:cs="Cambria" w:eastAsia="Cambria" w:hAnsi="Cambria"/>
          <w:i/>
          <w:iCs/>
          <w:color w:val="6E6E6E"/>
          <w:sz w:val="18"/>
          <w:szCs w:val="18"/>
        </w:rPr>
        <w:t xml:space="preserve"> —vecinos cercanos siguen cercanos—, </w:t>
      </w:r>
      <w:r>
        <w:rPr>
          <w:rFonts w:ascii="Cambria" w:cs="Cambria" w:eastAsia="Cambria" w:hAnsi="Cambria"/>
          <w:b/>
          <w:bCs/>
          <w:i/>
          <w:iCs/>
          <w:color w:val="6E6E6E"/>
          <w:sz w:val="18"/>
          <w:szCs w:val="18"/>
        </w:rPr>
        <w:t xml:space="preserve">no</w:t>
      </w:r>
      <w:r>
        <w:rPr>
          <w:rFonts w:ascii="Cambria" w:cs="Cambria" w:eastAsia="Cambria" w:hAnsi="Cambria"/>
          <w:i/>
          <w:iCs/>
          <w:color w:val="6E6E6E"/>
          <w:sz w:val="18"/>
          <w:szCs w:val="18"/>
        </w:rPr>
        <w:t xml:space="preserve"> que las distancias globales del mapa sean fiables; ambos hechos son ciertos a la vez. Variar hiperparámetros y semilla es obligatorio: un único mapa nunca es "la verdad".)</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3.3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t-SNE y UMAP proyectan aquí la estructura de los datos en dos ejes para visualizarla. ¿Qué pasaría si no bastara con verla, y se necesitara asignar a cada cliente un grupo concreto con el que actuar —una campaña, una oferta? ¿Qué técnica agrupa observaciones en clústeres accionables en vez de solo proyectarlas? </w:t>
            </w:r>
            <w:r>
              <w:rPr>
                <w:rFonts w:ascii="Cambria" w:cs="Cambria" w:eastAsia="Cambria" w:hAnsi="Cambria"/>
                <w:i/>
                <w:iCs/>
                <w:color w:val="3A3A3A"/>
                <w:sz w:val="18"/>
                <w:szCs w:val="18"/>
              </w:rPr>
              <w:t xml:space="preserve">(No se resuelve aquí — el clustering es el tema de la S07.)</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S06: Reducción de dimensionalidad: PCA + Análisis Factorial + t-SNE + UMAP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S06</dc:title>
  <dc:creator>UPC</dc:creator>
  <dc:description>Reducción de dimensionalidad: PCA + Análisis Factorial + t-SNE + UMAP</dc:description>
  <cp:lastModifiedBy>Un-named</cp:lastModifiedBy>
  <cp:revision>1</cp:revision>
  <dcterms:created xsi:type="dcterms:W3CDTF">2026-09-11T14:14:03.095Z</dcterms:created>
  <dcterms:modified xsi:type="dcterms:W3CDTF">2026-09-11T14:14:03.095Z</dcterms:modified>
</cp:coreProperties>
</file>

<file path=docProps/custom.xml><?xml version="1.0" encoding="utf-8"?>
<Properties xmlns="http://schemas.openxmlformats.org/officeDocument/2006/custom-properties" xmlns:vt="http://schemas.openxmlformats.org/officeDocument/2006/docPropsVTypes"/>
</file>