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S06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PCA + biplot, t-SNE vs. UMAP y PCR contra la multicolinealidad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06 · Reducción de dimensionalidad: PCA, Análisis Factorial, t-SNE y UMAP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notebook/S06_reduccion_dim.ipynb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6. Modalidad: parejas,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entrega individual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Calificación vigesimal 0–20 según la rúbrica de este documento.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plantillas/guia_componentes_factores.docx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(varianza explicada, scree, Kaiser, cargas) y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plantillas/comparacion_pca_tsne_umap.docx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(qué preserva cada técnica y cuándo usarla).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notebook/S06_reduccion_dim.ipynb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Aplicar PCA sobre datos de escalas dispares para decidir cuántos componentes retener y construir un biplot con interpretación de negocio, comparar t-SNE y UMAP como técnicas de visualización no lineal evaluando su estabilidad ante hiperparámetros y semilla, aplicar PCR como una segunda vía contra la multicolinealidad diagnosticada en sesiones previas, identificar y decidir explícitamente un supuesto crítico de la sesión, y emitir una recomendación que distinga modelar de visualizar.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(seis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5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PCA/PCR para modelar y t-SNE/UMAP para visualizar, sobre tres conjuntos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La reducción de dimensionalidad responde a dos objetivos distintos que no deben confundirse: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modelar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(comprimir, quitar multicolinealidad, conservar interpretabilidad lineal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PCA / PCR / PLS)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visualizar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(ver la estructura de datos de muy alta dimensión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t-SNE / UMAP). Este entregable recorre ambos sobre tres conjuntos: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Wine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(178 vinos, 13 variables químicas de escalas muy distintas) — para PCA, elección del número de componentes y biplot interpretable.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digits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(1797 imágenes de 8×8 = 64 dimensiones, 10 clases) — para la visualización no lineal t-SNE vs. UMAP.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dataset con multicolinealidad de la Sesión 4/5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(Ames Housing o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Communities and Crime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a elección justificada) — para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PCR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como segunda vía (distinta de la regularización de S05) de combatir la multicolinealidad diagnosticada con el VIF en S04.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PCA, biplot, t-SNE/UMAP, PCR, supuesto y recomendación — informe máx. 5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Elaborar un informe (máx. 5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PCA y elección del número de componentes (Wine)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Cargar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load_wine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Ajustar PCA sobre los datos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crudos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(covarianza) y sobre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estandarizados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StandardScaler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correlación);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comparar ambas convenciones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explicar por qué difieren. Reportar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varianza explicada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VE_k = λ_k / Σλ_j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 λk el autovalor del componente k)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 la acumulada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ΣVE_k (k=1..K)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—, trazar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scree plot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la curva de acumulada con la línea del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90 %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decidir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número de componentes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cruzar al menos dos criterios (umbral de varianza, scree/codo, Kaiser λ&gt;1). Justificar por qué con variables de escalas dispares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la estandarización no es opcional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PC1 crudo ≈ 99.8 % es un artefacto).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Biplot e interpretación de negocio (Wine)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Sobre el PCA estandarizado, construir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biplot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PC1-PC2 con las flechas de las 13 cargas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carga = v·√λ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pca.components_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los puntos coloreados por cultivar.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Nombrar PC1 y PC2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una etiqueta de negocio derivada de sus cargas altas, identificar variables correlacionadas/opuestas por el ángulo de sus flechas, y advertir qué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 debe leer del biplot (signo arbitrario del componente, distancias sobre solo 2 de los 13 ejes). Las 26 cargas de referencia contra las que contrastar el propio cálculo están en la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cargas_wine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atención a los dos errores de interpretación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esa hoja desmiente: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alcohol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carga en PC2 (+0.7664), no en PC1 (+0.3140),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hue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carga positivo en PC1 (+0.6455)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negativo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PC2 (−0.4425).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Modelo ya trabajado: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biplot de Wine está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construido y nombrado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el cuaderno —celda 85, «FIGURA DE RESULTADOS 4», que dibuja las flechas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leer la hoja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cargas_wine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produce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figuras/S06_biplot_wine.png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 y se practica en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Drill 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el trabajo consiste en reproducirlo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argumentar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la etiqueta de cada eje, no en descubrir la técnica.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Visualización no lineal: t-SNE vs. UMAP (digits)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Reducir digits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2D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TSNE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(probar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perplexity ∈ {5, 30, 50}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umap.UMAP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(variar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n_neighbors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min_dist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random_state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=42. Graficar los mapas coloreados por dígito y calcular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proxy cuantitativo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kNN(5) 5-fold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trustworthiness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cada embedding 2D, comparados con el baseline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PCA-2D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con el techo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64D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(referencia: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barrido_drill3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Excel). Discutir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estabilidad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ante los hiperparámetros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 ante la semilla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—la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estabilidad_semillas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muestra que con 5 semillas t-SNE cae en 0.9750–0.9772 y UMAP en 0.9716–0.9816, de modo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 orden entre ambas no es robusto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el informe no debe proclamar un ganador— y enumerar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límites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(qué no interpretar del mapa). Recordar explícitamente: esto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es clustering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(S07); es visualización + una métrica de calidad del embedding.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PCR contra la multicolinealidad (dataset de S04/S05)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Sobre el dataset colineal previo, montar un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Pipeline(StandardScaler, PCA(k), LinearRegression)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elegir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k por validación cruzada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trazar la curva de error de CV vs. número de componentes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(referencia: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curva_cv_pcr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Excel, con el mínimo de la PCR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k = 60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de la PLS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k = 10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Verificar que los componentes son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ortogonales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(VIF ≈ 1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ya no hay multicolinealidad;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comparacion_pcr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columna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vif_maximo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reportar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 de test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contrastar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el OLS pleno de S04 y con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regularización de S05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como vías alternativas al mismo problema: las cifras de Ridge/LASSO/ElasticNet sobre el mismo dataset ya se produjeron en la sesión anterior y se leen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Sesiones/S05_regularizacion/resultados/S05_resultados.xlsx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communities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Modelo ya trabajado: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ambas piezas están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resueltas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el cuaderno —celda 83, «FIGURA DE RESULTADOS 3»,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traza la curva de CV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leer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curva_cv_pcr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 el mínimo y el codo señalados) y, al lado, imprime y grafica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tabla comparada de MSE de prueba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OLS / Ridge / LASSO / ElasticNet (S05) frente a PCR / PLS (S06), y produce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figuras/S06_curva_cv_pcr.png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y en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Paso 6·A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guía de laboratorio. Los dos errores que C4 penaliza: mezclar en un mismo eje el error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el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prueba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(miden aspectos distintos) y elegir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inspección visual.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(Opcional: contrastar con </w:t>
            </w:r>
            <w:r>
              <w:rPr>
                <w:rFonts w:ascii="Consolas" w:cs="Consolas" w:eastAsia="Consolas" w:hAnsi="Consolas"/>
                <w:i/>
                <w:iCs/>
                <w:color w:val="7A1526"/>
                <w:sz w:val="16"/>
                <w:szCs w:val="16"/>
              </w:rPr>
              <w:t xml:space="preserve">PLSRegression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 — si PLS iguala el error con menos componentes, comentarlo; sus coeficientes están en la hoja </w:t>
            </w:r>
            <w:r>
              <w:rPr>
                <w:rFonts w:ascii="Consolas" w:cs="Consolas" w:eastAsia="Consolas" w:hAnsi="Consolas"/>
                <w:i/>
                <w:iCs/>
                <w:color w:val="7A1526"/>
                <w:sz w:val="16"/>
                <w:szCs w:val="16"/>
              </w:rPr>
              <w:t xml:space="preserve">coeficientes_pls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.)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Supuesto/decisión crítica de la sesión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Identificar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decidir explícitamente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menos un supuesto o decisión metodológica de las que gobiernan la sesión —la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estandarización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(covarianza vs. correlación) antes del PCA,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lectura correcta de un mapa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t-SNE/UMAP (qué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 lee: distancias, tamaños, densidades ni ejes), o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adecuación de los datos para Análisis Factorial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(KMO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≥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0.60 y esfericidad de Bartlett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 &lt; 0.05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)— e indicar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identifica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(señal, gráfico o prueba, con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decide o corrige, y por qué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según la guía de supuestos de la sesión (estandarización Parte 1.1; lectura de t-SNE/UMAP Parte 3.2; KMO/Bartlett Partes 2.1-2.2). No basta con aplicarlo de forma implícita: debe quedar escrito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se decidió y con qué criterio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Recomendación: modelado vs. visualización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Cerrar con una recomendación accionable que responda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técnica de reducción aplicar según el objetivo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cuándo PCA/PCR (modelar, quitar multicolinealidad, interpretabilidad lineal) y cuándo t-SNE/UMAP (solo visualizar, generar hipótesis). Comunicar las salvaguardas: los mapas t-SNE/UMAP no dan distancias globales fiables ni ejes interpretables, y la selección de componentes de la PCR es predictiva, no causal.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Ángulo de negocio (valor en dinero) — hoja 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costeo_compresion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Conviene traducir la compresión 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costo evitado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no solo a % de varianza. El costeo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no se inventa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está calculado en el cuaderno y registrado en la hoja 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costeo_compresion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resultados/S06_resultados.xlsx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(única fuente; la guía del docente cita exactamente estas mismas cifras). Todos los parámetros salen de los datos de la sesión salvo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uno, declarado ilustrativo: la tarifa, 0,25 $/GB-mes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la misma en las tres filas; la base son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1 000 000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vectores.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Escenario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Antes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Después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Factor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Antes ($/mes)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Después ($/mes)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Ahorro ($/mes)</w:t>
            </w:r>
          </w:p>
        </w:tc>
      </w:tr>
      <w:tr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Índice RAG 1024d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float32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→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512d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float8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(PCA 50 % + cuantización)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4,096 GB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0,512 GB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8,000×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1,0240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0,1280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0,8960</w:t>
            </w:r>
          </w:p>
        </w:tc>
      </w:tr>
      <w:tr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digits 64 px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→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21 componentes (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≥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90 % var.)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0,256 GB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0,084 GB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3,048×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0,0640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0,0210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0,0430</w:t>
            </w:r>
          </w:p>
        </w:tc>
      </w:tr>
      <w:tr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Wine 13 variables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→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8 componentes (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≥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90 % var.)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0,052 GB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0,032 GB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1,625×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0,0130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0,0080</w:t>
            </w:r>
          </w:p>
        </w:tc>
        <w:tc>
          <w:tcPr>
            <w:tcW w:type="dxa" w:w="14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0,0050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8×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la primera fila (arXiv 2505.00105, 30/04/2025) es 2× (retener la mitad de las dimensiones) × 4× (de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float32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a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float8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): 10⁶ × 1024 × 4 bytes =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4,096 GB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1,024 $/mes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que comprimidos quedan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0,512 GB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0,128 $/mes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un ahorro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0,896 $/mes por millón de vectores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Las otras dos filas repiten la cuenta con la compresión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real y medida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esta sesión (sin cuantización). Generalización — la elección de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k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como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decisión por costo esperado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si cada dimensión/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feature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cuesta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$c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(almacenamiento, latencia, recolección), pasar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k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componentes ahorra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(p − k)·c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y se acepta mientras la pérdida de señal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(1 − VE_acumulada)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sea tolerable. Así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k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se decide por costo, no solo por el umbral de varianza.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(Enriquece la recomendación de C6; no añade un criterio nuevo a la rúbrica.)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notebook/S06_reduccion_dim.ipynb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resultados/S06_resultados.xlsx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14 hojas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el material de referencia) y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curso). Correspondencia salida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hoja: varianza explicada y acumulada de Wine cov/corr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varianza_explicada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nº de componentes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90 %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reduccion_pca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cargas del biplot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7"/>
                <w:szCs w:val="17"/>
              </w:rPr>
              <w:t xml:space="preserve">cargas_wine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(Wine) y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cargas_biplot_iris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(Iris); cargas factoriales rotadas y comunalidades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cargas_factoriales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KMO/Bartlett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adecuacion_af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proxy kNN/trustworthiness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embeddings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(y el barrido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barrido_drill3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la estabilidad por semilla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estabilidad_semillas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curva de CV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7"/>
                <w:szCs w:val="17"/>
              </w:rPr>
              <w:t xml:space="preserve">curva_cv_pcr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error de test, R² y VIF de OLS/PCR/PLS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comparacion_pcr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coeficientes de PLS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coeficientes_pls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costeo de la compresión en $/mes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7"/>
                <w:szCs w:val="17"/>
              </w:rPr>
              <w:t xml:space="preserve">costeo_compresion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informe debe existir en el cuaderno o en el Excel de resultados. Semilla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=42 en t-SNE, UMAP y toda CV; el PCA es determinista.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Prohibido: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hacer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clustering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(jerárquico, DBSCAN, K-Means) o detección de anomalías sobre los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embeddings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(materia de S07); usar el embedding 2D como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features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un modelo de producción; interpretar distancias/tamaños de las agrupaciones del mapa como reales.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siete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Siete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PCA: convención cov/corr y elección del nº de componentes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aplica PCA o no reporta varianza explicada.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Aplica PCA a una sola convención y elige k por un único criterio, sin estandarizar donde debía.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covarianza vs. correlación, estandariza, y elige k con el umbral del 90 % (scree o Kaiser).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ambas convenciones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explica la diferencia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estandariza (justifica que el PC1 crudo ≈99.8 % es artefacto), cruza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2 criterios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(umbral, scree/codo, Kaiser) para decidir k y reporta acumulada.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Biplot e interpretación de negocio de PC1 y PC2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7A1526"/>
                <w:sz w:val="17"/>
                <w:szCs w:val="17"/>
              </w:rPr>
              <w:t xml:space="preserve">(enseñado: cuaderno celda 85 «biplot de Wine desde </w:t>
            </w:r>
            <w:r>
              <w:rPr>
                <w:rFonts w:ascii="Consolas" w:cs="Consolas" w:eastAsia="Consolas" w:hAnsi="Consolas"/>
                <w:b/>
                <w:bCs/>
                <w:i/>
                <w:iCs/>
                <w:color w:val="7A1526"/>
                <w:sz w:val="15"/>
                <w:szCs w:val="15"/>
              </w:rPr>
              <w:t xml:space="preserve">cargas_wine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7A1526"/>
                <w:sz w:val="17"/>
                <w:szCs w:val="17"/>
              </w:rPr>
              <w:t xml:space="preserve">» + Drill 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construye biplot ni interpreta componentes.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Construye el biplot pero no nombra los ejes o lo hace sin apoyo en las cargas.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Nombra PC1 y PC2 a partir de sus cargas altas y describe alguna relación entre variables.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Nombra PC1 y PC2 con etiqueta de negocio justificada por las cargas, lee ángulos (correlación/oposición) y advierte los límites (signo arbitrario, distancias sobre 2 de p ejes, flechas cortas).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t-SNE vs. UMAP: visualización, proxy y límites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genera mapas o no varía hiperparámetros.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Genera un mapa t-SNE o UMAP sin proxy ni variación de hiperparámetros.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Genera t-SNE y UMAP con variación de hiperparámetros, con el proxy (kNN/trustworthiness) vs. PCA-2D.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t-SNE (perplexity variada) y UMAP (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n_neighbors/min_dist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variados) con proxy vs. PCA-2D y 64D, discute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estabilidad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enumera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límites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(qué no interpretar; no es clustering).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PCR contra la multicolinealidad (puente con S04/S05)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7A1526"/>
                <w:sz w:val="17"/>
                <w:szCs w:val="17"/>
              </w:rPr>
              <w:t xml:space="preserve">(enseñado: cuaderno celda 83 «curva de CV trazada + tabla comparada con S05» + laboratorio Paso 6·A)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ajusta PCR o no la conecta con la multicolinealidad.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PCR pero fija k por inspección visual o no estandariza antes del PCA.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Pipeline(StandardScaler, PCA(k), OLS)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k por CV, error de test y verificación de que los componentes son ortogonales (VIF≈1).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PCR con k elegido sobre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curva de error de CV trazada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(varios k, con el mínimo o el codo señalado; referencia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curva_cv_pcr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), VIF≈1 sobre los componentes,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error de test contrastado en una misma tabla con el OLS pleno de S04 y con Ridge/LASSO de S05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communities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del Excel de S05, mismo dataset); opcionalmente PLS; reproducible.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Reproducibilidad y convención 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cuaderno reproducible ni Excel de resultados.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Cuaderno presente pero cifras no trazables o sin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Resultados volcados 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S06_resultados.xlsx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cuaderno reproducible.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S06_resultados.xlsx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gráficas generadas al leer 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=42 fijo y toda cifra del informe trazable.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Recomendación: modelado (PCA/PCR) vs. visualización (t-SNE/UMAP)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confunde visualización con modelado.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presente pero sin ligar técnica y objetivo.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clara que asocia cada técnica a su objetivo (modelar vs. visualizar).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Decisión accionable que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justifica qué técnica según el objetivo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con salvaguardas (mapas sin distancias globales ni ejes interpretables; PCR predictiva, no causal), en lenguaje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C7. Supuesto/decisión crítica identificada y decidida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identifica ningún supuesto/decisión, o lo aplica sin nombrarlo.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un supuesto (p. ej. estandarizar) pero sin diagnóstico ni criterio.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un supuesto/decisión con su señal o umbral y toma la decisión correcta.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decide explícitamente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1 supuesto/decisión (estandarización cov/corr, lectura de t-SNE/UMAP o KMO/Bartlett), con su diagnóstico (señal/prueba +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umbral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y justificación, según la guía de supuestos de la sesión.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+ C7 = 3 + 3 + 3 + 4 + 2 + 3 + 2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Dónde se practica cada criterio antes de la entrega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Los tres drills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evaluacion/drills.docx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cubren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(Drill 1),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(Drill 2)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C3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(Drill 3) =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9 de los 20 puntos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11 restantes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 practican en la guía de laboratorio: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C4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el Paso 6·A (curva de CV + contraste con S04/S05),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C5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la disciplina de volcado a Excel de los Pasos 3 y 6,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C6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el Paso 6·C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C7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el Paso 2 (convención cov/corr) y el Paso 3·5 (KMO/Bartlett). Ningún criterio se califica sin haberse enseñado.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Nota de honestidad analítica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una única preparación "correcta", pero el análisis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 y trazable al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Como referencia (Excel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resultados/S06_resultados.xlsx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sobre Wine estandarizado hacen falta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8 de 13 componentes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para el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≥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90 % (el crudo dice 1, artefacto de no escalar; en Iris el PC1 pasa de 0.9246 en covarianza a 0.7296 al estandarizar); sobre digits, el proxy kNN 2D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0.6032 con PCA-2D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frente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0.9772 (t-SNE)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/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0.9716 (UMAP)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(que casi igualan el techo de 64D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0.9627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): ese salto es el mensaje central de la parte de visualización. En la PCR, los componentes ortogonales dan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VIF ≈ 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(desaparece la multicolinealidad de S04: el VIF máximo baja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≈ 1037.4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el OLS pleno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≈ 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y el error se contrasta con el OLS pleno y la regularización de S05. Un trabajo que no estandarice antes del PCA, fije k por inspección visual, interprete distancias del mapa t-SNE/UMAP como reales o confunda visualizar con hacer clustering no puede alcanzar C1/C3/C4/C7 altos.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[S06] del banco de exámenes. Alimenta las fases «Preparación/Modelado» del proyecto integrador. Lecturas de apoyo: ISLR cap. 6.3 (PCR/PLS) y 12.2 (PCA),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S06: PCA + biplot, t-SNE vs. UMAP y PCR contra la multicolinealidad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S06</dc:title>
  <dc:creator>UPC</dc:creator>
  <dc:description>PCA + biplot, t-SNE vs. UMAP y PCR contra la multicolinealidad</dc:description>
  <cp:lastModifiedBy>Un-named</cp:lastModifiedBy>
  <cp:revision>1</cp:revision>
  <dcterms:created xsi:type="dcterms:W3CDTF">2026-09-11T14:14:03.293Z</dcterms:created>
  <dcterms:modified xsi:type="dcterms:W3CDTF">2026-09-11T14:14:03.294Z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