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Comparación de técnicas de reducción de dimensionalidad (PCA, t-SNE, UMAP)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S06 — Herramientas para la Ciencia de Datos (UPC). Tabla para decidir qué técnica de reducción aplicar según el objetivo (modelar vs. visualizar), registrar qué preserva cada una, sus hiperparámetros, su determinismo/estabilidad y las advertencias de lectura de los mapas no lineales. Se completa junto al cuaderno </w:t>
      </w:r>
      <w:r>
        <w:rPr>
          <w:rFonts w:ascii="Consolas" w:hAnsi="Consolas"/>
          <w:color w:val="2D2D2D"/>
          <w:sz w:val="19"/>
        </w:rPr>
        <w:t>notebook/S06_reduccion_dim.ipynb</w:t>
      </w:r>
      <w:r>
        <w:rPr>
          <w:color w:val="2D2D2D"/>
        </w:rPr>
        <w:t xml:space="preserve">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una visualización t-SNE vs. UMAP y recomendar técnica según el objetivo).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Las tres técnicas reducen dimensiones, pero responden a preguntas distintas. El </w:t>
      </w:r>
      <w:r>
        <w:rPr>
          <w:b/>
        </w:rPr>
        <w:t>PCA</w:t>
      </w:r>
      <w:r>
        <w:t xml:space="preserve"> es </w:t>
      </w:r>
      <w:r>
        <w:rPr>
          <w:b/>
        </w:rPr>
        <w:t>lineal, determinista, con ejes interpretables y varianza medible</w:t>
      </w:r>
      <w:r>
        <w:t>: proyecta los datos sobre los primeros k componentes (los eigenvectores V de la matriz de covarianza), es decir, calcula las coordenadas nuevas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30530" cy="2951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b2d29247a8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530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y cada componente retiene una </w:t>
      </w:r>
      <w:r>
        <w:rPr>
          <w:b/>
        </w:rPr>
        <w:t>proporción de varianza explicada</w:t>
      </w:r>
      <w:r>
        <w:t xml:space="preserve"> conocida,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1476" cy="6691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83819ee23bf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476" cy="66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λ es el eigenvalor (varianza) de cada eje. Por eso el PCA sirve para </w:t>
      </w:r>
      <w:r>
        <w:rPr>
          <w:b/>
        </w:rPr>
        <w:t>modelar</w:t>
      </w:r>
      <w:r>
        <w:t xml:space="preserve"> (comprimir, quitar multicolinealidad vía PCR/PLS) y para una primera visualización, y por eso se puede afirmar «con 2 componentes se retiene el X % de la información». </w:t>
      </w:r>
      <w:r>
        <w:rPr>
          <w:b/>
        </w:rPr>
        <w:t>t-SNE</w:t>
      </w:r>
      <w:r>
        <w:t xml:space="preserve"> y </w:t>
      </w:r>
      <w:r>
        <w:rPr>
          <w:b/>
        </w:rPr>
        <w:t>UMAP</w:t>
      </w:r>
      <w:r>
        <w:t xml:space="preserve"> son </w:t>
      </w:r>
      <w:r>
        <w:rPr>
          <w:b/>
        </w:rPr>
        <w:t>no lineales, estocásticos, sin ejes interpretables y solo para ver</w:t>
      </w:r>
      <w:r>
        <w:t xml:space="preserve">: preservan muy bien la </w:t>
      </w:r>
      <w:r>
        <w:rPr>
          <w:b/>
        </w:rPr>
        <w:t>estructura local</w:t>
      </w:r>
      <w:r>
        <w:t xml:space="preserve"> (los vecinos cercanos siguen cercanos) y por eso separan clases que el PCA lineal no separa, pero </w:t>
      </w:r>
      <w:r>
        <w:rPr>
          <w:b/>
        </w:rPr>
        <w:t>no producen un modelo ni hacen clustering</w:t>
      </w:r>
      <w:r>
        <w:t xml:space="preserve"> —solo dibujan un mapa, sin un análogo de (1) ni de (2)—. El error conceptual que la sesión previene es confundir </w:t>
      </w:r>
      <w:r>
        <w:rPr>
          <w:b/>
        </w:rPr>
        <w:t>visualización</w:t>
      </w:r>
      <w:r>
        <w:t xml:space="preserve"> (t-SNE/UMAP) con </w:t>
      </w:r>
      <w:r>
        <w:rPr>
          <w:b/>
        </w:rPr>
        <w:t>reducción para modelar</w:t>
      </w:r>
      <w:r>
        <w:t xml:space="preserve"> (PCA/PCR); el segundo error, más caro, es </w:t>
      </w:r>
      <w:r>
        <w:rPr>
          <w:b/>
        </w:rPr>
        <w:t>sobre-interpretar</w:t>
      </w:r>
      <w:r>
        <w:t xml:space="preserve"> el mapa no lineal como si sus distancias globales fueran reales.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 comparativa (referencia)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t-SNE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UMAP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Objetivo primario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Modelar</w:t>
            </w:r>
            <w:r>
              <w:rPr>
                <w:sz w:val="19"/>
              </w:rPr>
              <w:t xml:space="preserve"> + visualizar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Visualizar</w:t>
            </w:r>
            <w:r>
              <w:rPr>
                <w:sz w:val="19"/>
              </w:rPr>
              <w:t xml:space="preserve"> (2D/3D)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Visualizar</w:t>
            </w:r>
            <w:r>
              <w:rPr>
                <w:sz w:val="19"/>
              </w:rPr>
              <w:t xml:space="preserve"> (2D/3D)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Naturaleza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Lineal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lineal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lineal (manifold / topología)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Qué preserva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Varianza global</w:t>
            </w:r>
            <w:r>
              <w:rPr>
                <w:sz w:val="19"/>
              </w:rPr>
              <w:t xml:space="preserve"> (direcciones de máxima varianza)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Estructura local</w:t>
            </w:r>
            <w:r>
              <w:rPr>
                <w:sz w:val="19"/>
              </w:rPr>
              <w:t xml:space="preserve"> (vecindarios)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Estructura </w:t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algo</w:t>
            </w:r>
            <w:r>
              <w:rPr>
                <w:sz w:val="19"/>
              </w:rPr>
              <w:t xml:space="preserve"> de global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¿Distancias globales fiables?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(en la medida de la varianza retenida)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(algo mejor que t-SNE, pero no del todo)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¿Ejes interpretables?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(cargas, biplot)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Determinismo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Determinista</w:t>
            </w:r>
            <w:r>
              <w:rPr>
                <w:sz w:val="19"/>
              </w:rPr>
              <w:t xml:space="preserve"> (salvo signo del eje)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Estocástico</w:t>
            </w:r>
            <w:r>
              <w:rPr>
                <w:sz w:val="19"/>
              </w:rPr>
              <w:t xml:space="preserve"> (depende de la semilla)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Estocástico</w:t>
            </w:r>
            <w:r>
              <w:rPr>
                <w:sz w:val="19"/>
              </w:rPr>
              <w:t xml:space="preserve"> (depende de la semilla)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Salida reutilizable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Componentes usables como </w:t>
            </w:r>
            <w:r>
              <w:rPr>
                <w:i/>
                <w:sz w:val="19"/>
              </w:rPr>
              <w:t>features</w:t>
            </w:r>
            <w:r>
              <w:rPr>
                <w:sz w:val="19"/>
              </w:rPr>
              <w:t xml:space="preserve"> (PCR/PLS)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Solo el mapa (no como </w:t>
            </w:r>
            <w:r>
              <w:rPr>
                <w:i/>
                <w:sz w:val="19"/>
              </w:rPr>
              <w:t>features</w:t>
            </w:r>
            <w:r>
              <w:rPr>
                <w:sz w:val="19"/>
              </w:rPr>
              <w:t>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Solo el mapa (no como </w:t>
            </w:r>
            <w:r>
              <w:rPr>
                <w:i/>
                <w:sz w:val="19"/>
              </w:rPr>
              <w:t>features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Coste / escala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Muy rápido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Lento; escala mal a </w:t>
            </w:r>
            <w:r>
              <w:rPr>
                <w:i/>
                <w:sz w:val="19"/>
              </w:rPr>
              <w:t>n</w:t>
            </w:r>
            <w:r>
              <w:rPr>
                <w:sz w:val="19"/>
              </w:rPr>
              <w:t xml:space="preserve"> grande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Rápido</w:t>
            </w:r>
            <w:r>
              <w:rPr>
                <w:sz w:val="19"/>
              </w:rPr>
              <w:t>; escala bien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Hiperparámetros clave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componentes 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>; convención (cov/corr)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perplexity</w:t>
            </w:r>
            <w:r>
              <w:rPr>
                <w:sz w:val="19"/>
              </w:rPr>
              <w:t xml:space="preserve"> (5–50); </w:t>
            </w:r>
            <w:r>
              <w:rPr>
                <w:rFonts w:ascii="Consolas" w:hAnsi="Consolas"/>
                <w:color w:val="9B1B30"/>
                <w:sz w:val="19"/>
              </w:rPr>
              <w:t>random_state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n_neighbors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min_dist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B1B30"/>
                <w:sz w:val="19"/>
              </w:rPr>
              <w:t>random_state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Librería (venv)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sklearn.decomposition.PCA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sklearn.manifold.TSNE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B1B30"/>
                <w:sz w:val="19"/>
              </w:rPr>
              <w:t>openTSNE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umap-learn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umap.UMAP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Hiperparámetros clave (qué controla cada hiperparámetro)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controla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Efecto de subirlo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Rango / default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componentes </w:t>
            </w:r>
            <w:r>
              <w:rPr>
                <w:i/>
                <w:sz w:val="19"/>
              </w:rPr>
              <w:t>k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Cuánta información se retiene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Más varianza retenida (2), menos compresión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 elige por varianza acumulada / scree / Kaiser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convención (cov vs. corr)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 se estandariza antes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Correlación reparte el peso entre variables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Correlación si las escalas difieren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t-SNE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perplexity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efectivo de vecinos considerados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Vecindarios más amplios → estructura más global (puede fundir grupos)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5–50 (default 30); &lt; nº de muestras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UMAP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n_neighbors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Tamaño del vecindario local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Más global, menos fragmentado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≈2–200 (default 15)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UMAP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min_dist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Cuán apretados quedan los puntos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Puntos más repartidos (mejor topología); bajarlo → agrupaciones densas separadas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0,0–0,99 (default 0,1)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Ninguno de estos ajustes cambia "la verdad" del dato: cambian qué se resalta.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n_neighbors</w:t>
      </w:r>
      <w:r>
        <w:rPr>
          <w:color w:val="2D2D2D"/>
        </w:rPr>
        <w:t xml:space="preserve"> de UMAP es el análogo de la perplejidad de t-SNE. Para reproducibilidad se </w:t>
      </w:r>
      <w:r>
        <w:rPr>
          <w:b/>
          <w:color w:val="2D2D2D"/>
        </w:rPr>
        <w:t>fija `random_state`</w:t>
      </w:r>
      <w:r>
        <w:rPr>
          <w:color w:val="2D2D2D"/>
        </w:rPr>
        <w:t xml:space="preserve"> en t-SNE y UMAP (el PCA no lo necesita).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Determinismo y estabilidad</w:t>
      </w:r>
    </w:p>
    <w:p>
      <w:pPr>
        <w:pStyle w:val="ListBullet"/>
        <w:spacing w:after="40"/>
      </w:pPr>
      <w:r>
        <w:rPr>
          <w:b/>
        </w:rPr>
        <w:t>PCA:</w:t>
      </w:r>
      <w:r>
        <w:t xml:space="preserve"> determinista. Al correrlo dos veces se obtiene lo mismo (solo puede voltearse el signo de un eje). Un único resultado es "la" respuesta.</w:t>
      </w:r>
    </w:p>
    <w:p>
      <w:pPr>
        <w:pStyle w:val="ListBullet"/>
        <w:spacing w:after="40"/>
      </w:pPr>
      <w:r>
        <w:rPr>
          <w:b/>
        </w:rPr>
        <w:t>t-SNE / UMAP:</w:t>
      </w:r>
      <w:r>
        <w:t xml:space="preserve"> el mapa </w:t>
      </w:r>
      <w:r>
        <w:rPr>
          <w:b/>
        </w:rPr>
        <w:t>cambia con la semilla y con los hiperparámetros</w:t>
      </w:r>
      <w:r>
        <w:t xml:space="preserve">; </w:t>
      </w:r>
      <w:r>
        <w:rPr>
          <w:b/>
        </w:rPr>
        <w:t>no es único</w:t>
      </w:r>
      <w:r>
        <w:t xml:space="preserve">. Un solo mapa nunca es "la verdad". El procedimiento correcto es </w:t>
      </w:r>
      <w:r>
        <w:rPr>
          <w:b/>
        </w:rPr>
        <w:t>variar los hiperparámetros</w:t>
      </w:r>
      <w:r>
        <w:t xml:space="preserve"> (perplejidad / </w:t>
      </w:r>
      <w:r>
        <w:rPr>
          <w:rFonts w:ascii="Consolas" w:hAnsi="Consolas"/>
          <w:color w:val="9B1B30"/>
          <w:sz w:val="19"/>
        </w:rPr>
        <w:t>n_neighbors</w:t>
      </w:r>
      <w:r>
        <w:t xml:space="preserve"> / </w:t>
      </w:r>
      <w:r>
        <w:rPr>
          <w:rFonts w:ascii="Consolas" w:hAnsi="Consolas"/>
          <w:color w:val="9B1B30"/>
          <w:sz w:val="19"/>
        </w:rPr>
        <w:t>min_dist</w:t>
      </w:r>
      <w:r>
        <w:t xml:space="preserve">) y varias semillas: si las agrupaciones son </w:t>
      </w:r>
      <w:r>
        <w:rPr>
          <w:b/>
        </w:rPr>
        <w:t>estables</w:t>
      </w:r>
      <w:r>
        <w:t xml:space="preserve"> a través de ellos, la estructura es robusta; si aparecen y desaparecen, es un artefacto. Esto es exactamente el drill 3 de la sesión.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Árbol de decisión: ¿PCA, Análisis Factorial, t-SNE o UMAP?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¿Cuál es el OBJETIVO?</w:t>
        <w:br/>
        <w:t>│</w:t>
        <w:br/>
        <w:t>├─ Modelar / quitar multicolinealidad / conservar interpretabilidad lineal</w:t>
        <w:br/>
        <w:t>│ → PCA (o PCR / PLS si alimenta una regresión — puente con S04)</w:t>
        <w:br/>
        <w:t>│</w:t>
        <w:br/>
        <w:t>├─ Descubrir constructos latentes interpretables detrás de las correlaciones</w:t>
        <w:br/>
        <w:t>│ → Análisis Factorial (rotación varimax) [ver guia_componentes_factores.md]</w:t>
        <w:br/>
        <w:t>│</w:t>
        <w:br/>
        <w:t>└─ SOLO visualizar datos de altísima dimensión y detectar patrones/grupos a ojo</w:t>
        <w:br/>
        <w:t xml:space="preserve"> │</w:t>
        <w:br/>
        <w:t xml:space="preserve"> ├─ Datos moderados, prioridad = calidad de la estructura local</w:t>
        <w:br/>
        <w:t xml:space="preserve"> │ → t-SNE (probar varias perplejidades)</w:t>
        <w:br/>
        <w:t xml:space="preserve"> │</w:t>
        <w:br/>
        <w:t xml:space="preserve"> └─ Muchos datos, prioridad = velocidad/escala y algo de estructura global</w:t>
        <w:br/>
        <w:t xml:space="preserve"> → UMAP (probar n_neighbors y min_dist)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de lectura de t-SNE / UMAP (no sobre-interpretar)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LO QUE SÍ SE PUEDE LEER DE UN MAPA:</w:t>
      </w:r>
    </w:p>
    <w:p>
      <w:pPr>
        <w:pStyle w:val="ListBullet"/>
        <w:spacing w:after="40"/>
      </w:pPr>
      <w:r>
        <w:rPr>
          <w:b/>
        </w:rPr>
        <w:t>Qué puntos son vecinos</w:t>
      </w:r>
      <w:r>
        <w:t xml:space="preserve"> (estructura local preservada): puntos juntos en el mapa eran vecinos en el original.</w:t>
      </w:r>
    </w:p>
    <w:p>
      <w:pPr>
        <w:pStyle w:val="ListBullet"/>
        <w:spacing w:after="40"/>
      </w:pPr>
      <w:r>
        <w:rPr>
          <w:b/>
        </w:rPr>
        <w:t>Existencia de agrupamientos</w:t>
      </w:r>
      <w:r>
        <w:t xml:space="preserve"> como </w:t>
      </w:r>
      <w:r>
        <w:rPr>
          <w:b/>
        </w:rPr>
        <w:t>hipótesis</w:t>
      </w:r>
      <w:r>
        <w:t xml:space="preserve"> a confirmar por otros medios.</w:t>
      </w:r>
    </w:p>
    <w:p>
      <w:pPr>
        <w:pStyle w:val="ListBullet"/>
        <w:spacing w:after="40"/>
      </w:pPr>
      <w:r>
        <w:rPr>
          <w:b/>
        </w:rPr>
        <w:t>Solapamientos</w:t>
      </w:r>
      <w:r>
        <w:t xml:space="preserve"> entre agrupaciones (clases genuinamente parecidas; p. ej. dígitos 4 y 9).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LO QUE NO SE DEBE LEER (ERRORES CAROS):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La distancia entre agrupaciones NO es fiable</w:t>
      </w:r>
      <w:r>
        <w:t xml:space="preserve"> (dos clústeres lejanos en el mapa pueden estar cerca en el original). No se dice "el segmento A está muy lejos del B".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El tamaño de una agrupación NO</w:t>
      </w:r>
      <w:r>
        <w:t xml:space="preserve"> refleja la dispersión real del grupo.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La densidad</w:t>
      </w:r>
      <w:r>
        <w:t xml:space="preserve"> dentro de una agrupación está distorsionada.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Los ejes NO significan nada</w:t>
      </w:r>
      <w:r>
        <w:t xml:space="preserve"> (a diferencia del PCA: no hay "eje X interpretable").</w:t>
      </w:r>
    </w:p>
    <w:p>
      <w:pPr>
        <w:pStyle w:val="ListBullet"/>
        <w:spacing w:after="40"/>
      </w:pPr>
      <w:r>
        <w:t xml:space="preserve">[ ] </w:t>
      </w:r>
      <w:r>
        <w:rPr>
          <w:b/>
        </w:rPr>
        <w:t>El mapa NO es único</w:t>
      </w:r>
      <w:r>
        <w:t>: cambia con la semilla y los hiperparámetros → leer siempre varios.</w:t>
      </w:r>
    </w:p>
    <w:p>
      <w:pPr>
        <w:pStyle w:val="ListBullet"/>
        <w:spacing w:after="40"/>
      </w:pPr>
      <w:r>
        <w:t xml:space="preserve">[ ] "Los puntos se agrupan visualmente" </w:t>
      </w:r>
      <w:r>
        <w:rPr>
          <w:b/>
        </w:rPr>
        <w:t>NO</w:t>
      </w:r>
      <w:r>
        <w:t xml:space="preserve"> es haber hecho clustering. t-SNE/UMAP solo </w:t>
      </w:r>
      <w:r>
        <w:rPr>
          <w:b/>
        </w:rPr>
        <w:t>dibujan</w:t>
      </w:r>
      <w:r>
        <w:t xml:space="preserve">; agrupar formalmente (jerárquico, DBSCAN) es </w:t>
      </w:r>
      <w:r>
        <w:rPr>
          <w:b/>
        </w:rPr>
        <w:t>S07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El mapa es un </w:t>
      </w:r>
      <w:r>
        <w:rPr>
          <w:b/>
          <w:color w:val="2D2D2D"/>
        </w:rPr>
        <w:t>generador de hipótesis visuales</w:t>
      </w:r>
      <w:r>
        <w:rPr>
          <w:color w:val="2D2D2D"/>
        </w:rPr>
        <w:t xml:space="preserve">, no una conclusión. Toda afirmación cuantitativa (cuántos grupos, qué tan separados) se remite a métodos apropiados que </w:t>
      </w:r>
      <w:r>
        <w:rPr>
          <w:b/>
          <w:color w:val="2D2D2D"/>
        </w:rPr>
        <w:t>no son de esta sesión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proxy cuantitativo (por qué t-SNE/UMAP "ven" mejor que PCA en 2D)</w:t>
      </w:r>
    </w:p>
    <w:p>
      <w:pPr>
        <w:jc w:val="both"/>
      </w:pPr>
      <w:r>
        <w:t xml:space="preserve">Como la salida de t-SNE/UMAP es visual, se usa un </w:t>
      </w:r>
      <w:r>
        <w:rPr>
          <w:b/>
        </w:rPr>
        <w:t>proxy medible</w:t>
      </w:r>
      <w:r>
        <w:t xml:space="preserve"> sobre </w:t>
      </w:r>
      <w:r>
        <w:rPr>
          <w:rFonts w:ascii="Consolas" w:hAnsi="Consolas"/>
          <w:color w:val="9B1B30"/>
          <w:sz w:val="19"/>
        </w:rPr>
        <w:t>load_digits</w:t>
      </w:r>
      <w:r>
        <w:t xml:space="preserve"> (64D → 2D): la </w:t>
      </w:r>
      <w:r>
        <w:rPr>
          <w:b/>
        </w:rPr>
        <w:t>exactitud de un kNN</w:t>
      </w:r>
      <w:r>
        <w:t xml:space="preserve"> entrenado sobre el embedding 2D y la </w:t>
      </w:r>
      <w:r>
        <w:rPr>
          <w:i/>
        </w:rPr>
        <w:t>trustworthiness</w:t>
      </w:r>
      <w:r>
        <w:t xml:space="preserve"> (¿los vecinos del mapa lo eran también en el original?).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Representación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kNN (accuracy)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64D original (referencia)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0,96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Techo alcanzable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PCA 2D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0,60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Pierde ~la mitad de la señal (2D lineal no basta)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t-SNE 2D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0,95+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Recupera casi toda la señal en 2D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UMAP 2D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0,95+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Ídem, y más rápido / escalable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Clave de lectura:</w:t>
      </w:r>
      <w:r>
        <w:t xml:space="preserve"> una exactitud alta del kNN sobre el embedding prueba que se preservó la </w:t>
      </w:r>
      <w:r>
        <w:rPr>
          <w:b/>
        </w:rPr>
        <w:t>estructura local</w:t>
      </w:r>
      <w:r>
        <w:t xml:space="preserve"> (dígitos iguales quedaron juntos) — </w:t>
      </w:r>
      <w:r>
        <w:rPr>
          <w:b/>
        </w:rPr>
        <w:t>no</w:t>
      </w:r>
      <w:r>
        <w:t xml:space="preserve"> que las distancias globales sean fiables (ambos hechos son ciertos a la vez). El PCA-2D falla (0,60) porque es una proyección </w:t>
      </w:r>
      <w:r>
        <w:rPr>
          <w:b/>
        </w:rPr>
        <w:t>lineal</w:t>
      </w:r>
      <w:r>
        <w:t xml:space="preserve"> y la estructura de los dígitos es </w:t>
      </w:r>
      <w:r>
        <w:rPr>
          <w:b/>
        </w:rPr>
        <w:t>no lineal</w:t>
      </w:r>
      <w:r>
        <w:t xml:space="preserve"> (una variedad curva que una proyección lineal no despliega); sus 2 componentes retienen ≈28,5 % de la varianza (2), pero </w:t>
      </w:r>
      <w:r>
        <w:rPr>
          <w:b/>
        </w:rPr>
        <w:t>la varianza retenida ≠ la separabilidad de clases</w:t>
      </w:r>
      <w:r>
        <w:t xml:space="preserve"> —retener más varianza no garantizaría separar los dígitos— (valores reproducidos con el venv, </w:t>
      </w:r>
      <w:r>
        <w:rPr>
          <w:rFonts w:ascii="Consolas" w:hAnsi="Consolas"/>
          <w:color w:val="9B1B30"/>
          <w:sz w:val="19"/>
        </w:rPr>
        <w:t>random_state=42</w:t>
      </w:r>
      <w:r>
        <w:t xml:space="preserve">). La </w:t>
      </w:r>
      <w:r>
        <w:rPr>
          <w:i/>
        </w:rPr>
        <w:t>trustworthiness</w:t>
      </w:r>
      <w:r>
        <w:t xml:space="preserve"> mide lo mismo de forma directa: t-SNE ≈ 0,995 / UMAP ≈ 0,988 vs. PCA-2D ≈ 0,830. Entre t-SNE y UMAP la diferencia (0,9772 vs. 0,9716) queda </w:t>
      </w:r>
      <w:r>
        <w:rPr>
          <w:b/>
        </w:rPr>
        <w:t>dentro del ruido</w:t>
      </w:r>
      <w:r>
        <w:t xml:space="preserve"> de la CV 5-fold y de la semilla: </w:t>
      </w:r>
      <w:r>
        <w:rPr>
          <w:b/>
        </w:rPr>
        <w:t>no debe leerse un orden entre ambas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El orden t-SNE &gt; UMAP NO es robusto — evidencia medida.</w:t>
      </w:r>
      <w:r>
        <w:rPr>
          <w:color w:val="2D2D2D"/>
        </w:rPr>
        <w:t xml:space="preserve"> Al repetir el mismo cálculo con </w:t>
      </w:r>
      <w:r>
        <w:rPr>
          <w:b/>
          <w:color w:val="2D2D2D"/>
        </w:rPr>
        <w:t>cinco semillas</w:t>
      </w:r>
      <w:r>
        <w:rPr>
          <w:color w:val="2D2D2D"/>
        </w:rPr>
        <w:t xml:space="preserve"> (0, 1, 7, 42 y 2026; hoja </w:t>
      </w:r>
      <w:r>
        <w:rPr>
          <w:rFonts w:ascii="Consolas" w:hAnsi="Consolas"/>
          <w:color w:val="2D2D2D"/>
          <w:sz w:val="19"/>
        </w:rPr>
        <w:t>estabilidad_semillas</w:t>
      </w:r>
      <w:r>
        <w:rPr>
          <w:color w:val="2D2D2D"/>
        </w:rPr>
        <w:t xml:space="preserve"> del Excel), t-SNE se mueve entre </w:t>
      </w:r>
      <w:r>
        <w:rPr>
          <w:b/>
          <w:color w:val="2D2D2D"/>
        </w:rPr>
        <w:t>0,9750 y 0,9772</w:t>
      </w:r>
      <w:r>
        <w:rPr>
          <w:color w:val="2D2D2D"/>
        </w:rPr>
        <w:t xml:space="preserve"> y UMAP entre </w:t>
      </w:r>
      <w:r>
        <w:rPr>
          <w:b/>
          <w:color w:val="2D2D2D"/>
        </w:rPr>
        <w:t>0,9716 y 0,9816</w:t>
      </w:r>
      <w:r>
        <w:rPr>
          <w:color w:val="2D2D2D"/>
        </w:rPr>
        <w:t xml:space="preserve">: </w:t>
      </w:r>
      <w:r>
        <w:rPr>
          <w:b/>
          <w:color w:val="2D2D2D"/>
        </w:rPr>
        <w:t>UMAP supera a t-SNE en 3 de las 5 semillas</w:t>
      </w:r>
      <w:r>
        <w:rPr>
          <w:color w:val="2D2D2D"/>
        </w:rPr>
        <w:t>. Además, el valor de UMAP que se publica como cifra de contrato (</w:t>
      </w:r>
      <w:r>
        <w:rPr>
          <w:b/>
          <w:color w:val="2D2D2D"/>
        </w:rPr>
        <w:t>0,9716</w:t>
      </w:r>
      <w:r>
        <w:rPr>
          <w:color w:val="2D2D2D"/>
        </w:rPr>
        <w:t xml:space="preserve">) es el </w:t>
      </w:r>
      <w:r>
        <w:rPr>
          <w:b/>
          <w:color w:val="2D2D2D"/>
        </w:rPr>
        <w:t>mínimo</w:t>
      </w:r>
      <w:r>
        <w:rPr>
          <w:color w:val="2D2D2D"/>
        </w:rPr>
        <w:t xml:space="preserve"> de su propia distribución, no su valor típico. Conclusión operativa: se compara la </w:t>
      </w:r>
      <w:r>
        <w:rPr>
          <w:b/>
          <w:color w:val="2D2D2D"/>
        </w:rPr>
        <w:t>conclusión robusta</w:t>
      </w:r>
      <w:r>
        <w:rPr>
          <w:color w:val="2D2D2D"/>
        </w:rPr>
        <w:t xml:space="preserve"> (t-SNE/UMAP ≫ PCA-2D) y se declara siempre con qué semilla se obtuvo cada decimal; </w:t>
      </w:r>
      <w:r>
        <w:rPr>
          <w:b/>
          <w:color w:val="2D2D2D"/>
        </w:rPr>
        <w:t>nunca se declara la superioridad de t-SNE o de UMAP a partir de una sola ejecución</w:t>
      </w:r>
      <w:r>
        <w:rPr>
          <w:color w:val="2D2D2D"/>
        </w:rPr>
        <w:t xml:space="preserve">. Solo el orden de la </w:t>
      </w:r>
      <w:r>
        <w:rPr>
          <w:i/>
          <w:color w:val="2D2D2D"/>
        </w:rPr>
        <w:t>trustworthiness</w:t>
      </w:r>
      <w:r>
        <w:rPr>
          <w:color w:val="2D2D2D"/>
        </w:rPr>
        <w:t xml:space="preserve"> (t-SNE &gt; UMAP &gt; PCA-2D) sí resiste el cambio de semilla.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Registro de la comparación (a completar)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Dataset, n observaciones, dimensión original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Objetivo (marcar)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 ] Modelar [ ] Visualizar [ ] Constructos latentes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Convención del PCA (cov / corr; ¿estandarizado?)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componentes PCA para ≥90 % de varianza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perplexity(es) probada(s) en t-SNE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n_neighbors / min_dist probados en UMAP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random_state</w:t>
            </w:r>
            <w:r>
              <w:rPr>
                <w:sz w:val="19"/>
              </w:rPr>
              <w:t xml:space="preserve"> (t-SNE y UMAP)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42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Proxy usado (kNN k=__ / trustworthiness) y valores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PCA 2D: ___, t-SNE 2D: ___, UMAP 2D: 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¿Las agrupaciones fueron estables al variar hiperparámetros?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 — evidencia: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 — 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Decisión y recomendación</w:t>
      </w:r>
    </w:p>
    <w:p>
      <w:pPr>
        <w:pStyle w:val="ListBullet"/>
        <w:spacing w:after="40"/>
      </w:pPr>
      <w:r>
        <w:rPr>
          <w:b/>
        </w:rPr>
        <w:t>Técnica elegida y por qué (según el objetivo):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Si el objetivo era modelar</w:t>
      </w:r>
      <w:r>
        <w:t xml:space="preserve"> — nº de componentes PCA y varianza retenida; ¿PCR/PLS?: ______________________</w:t>
      </w:r>
    </w:p>
    <w:p>
      <w:pPr>
        <w:pStyle w:val="ListBullet"/>
        <w:spacing w:after="40"/>
      </w:pPr>
      <w:r>
        <w:rPr>
          <w:b/>
        </w:rPr>
        <w:t>Si el objetivo era visualizar</w:t>
      </w:r>
      <w:r>
        <w:t xml:space="preserve"> — t-SNE o UMAP, hiperparámetros y por qué; evidencia de estabilidad: ____________</w:t>
      </w:r>
    </w:p>
    <w:p>
      <w:pPr>
        <w:pStyle w:val="ListBullet"/>
        <w:spacing w:after="40"/>
      </w:pPr>
      <w:r>
        <w:rPr>
          <w:b/>
        </w:rPr>
        <w:t>Afirmaciones que NO se hacen</w:t>
      </w:r>
      <w:r>
        <w:t xml:space="preserve"> (distancias globales del mapa, nº de grupos, "se hizo clustering"): ________________</w:t>
      </w:r>
    </w:p>
    <w:p>
      <w:pPr>
        <w:pStyle w:val="ListBullet"/>
        <w:spacing w:after="40"/>
      </w:pPr>
      <w:r>
        <w:rPr>
          <w:b/>
        </w:rPr>
        <w:t>Justificación con el proxy cuantitativo</w:t>
      </w:r>
      <w:r>
        <w:t xml:space="preserve"> (kNN / trustworthiness): ________________________________________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(PCA, t-SNE, UMAP)</w:t>
      </w:r>
    </w:p>
    <w:p>
      <w:pPr>
        <w:jc w:val="both"/>
      </w:pPr>
      <w:r>
        <w:t xml:space="preserve">Ninguna de las tres técnicas es supervisada, así que </w:t>
      </w:r>
      <w:r>
        <w:rPr>
          <w:b/>
        </w:rPr>
        <w:t>no</w:t>
      </w:r>
      <w:r>
        <w:t xml:space="preserve"> tienen los supuestos de un residuo (normalidad, homocedasticidad). En el PCA lo que hay son </w:t>
      </w:r>
      <w:r>
        <w:rPr>
          <w:b/>
        </w:rPr>
        <w:t>decisiones de preparación</w:t>
      </w:r>
      <w:r>
        <w:t xml:space="preserve">; en t-SNE/UMAP, los «supuestos» son en realidad </w:t>
      </w:r>
      <w:r>
        <w:rPr>
          <w:b/>
        </w:rPr>
        <w:t>reglas de lectura</w:t>
      </w:r>
      <w:r>
        <w:t xml:space="preserve"> para no sobre-interpretar el mapa (los límites </w:t>
      </w:r>
      <w:r>
        <w:rPr>
          <w:i/>
        </w:rPr>
        <w:t>son</w:t>
      </w:r>
      <w:r>
        <w:t xml:space="preserve"> el contenido de la sesión). El desarrollo completo de cada punto —con su umbral y su corrección— es la guía de supuestos de la sesión (Parte 1 PCA; Parte 3 t-SNE/UMAP).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dice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actuar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del PCA (cov vs. corr)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convención cambia todos los porcentajes; la covarianza deja dominar a la variable de escala mayor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Estandarizar por defecto</w:t>
            </w:r>
            <w:r>
              <w:rPr>
                <w:sz w:val="19"/>
              </w:rPr>
              <w:t xml:space="preserve"> si las unidades difieren; documentar la convención (Parte 1.1)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Linealidad del PCA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PCA solo capta estructura lineal; para </w:t>
            </w:r>
            <w:r>
              <w:rPr>
                <w:i/>
                <w:sz w:val="19"/>
              </w:rPr>
              <w:t>ver</w:t>
            </w:r>
            <w:r>
              <w:rPr>
                <w:sz w:val="19"/>
              </w:rPr>
              <w:t xml:space="preserve"> estructura no lineal resulta insuficiente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Diagnosticar con el proxy (PCA-2D ≪ t-SNE/UMAP); usar t-SNE/UMAP para visualizar (Parte 1.3)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t-SNE/UMAP no deterministas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mapa cambia con la semilla; no es único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Fijar y </w:t>
            </w:r>
            <w:r>
              <w:rPr>
                <w:b/>
                <w:sz w:val="19"/>
              </w:rPr>
              <w:t>reportar `random_state=42`</w:t>
            </w:r>
            <w:r>
              <w:rPr>
                <w:sz w:val="19"/>
              </w:rPr>
              <w:t>; confirmar con varias semillas (Parte 3.1)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preservan distancias/tamaños/densidades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Separación y tamaño de las agrupaciones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interpretables (las colas t inflan la separación)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Leer solo vecindad y existencia de grupos; nada de distancias (Parte 3.2)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Sensibles a perplexity / n_neighbors / min_dist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aspecto del mapa depende de los hiperparámetros; no cambian "la verdad"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Barrer varios valores y quedarse con lo </w:t>
            </w:r>
            <w:r>
              <w:rPr>
                <w:b/>
                <w:sz w:val="19"/>
              </w:rPr>
              <w:t>estable</w:t>
            </w:r>
            <w:r>
              <w:rPr>
                <w:sz w:val="19"/>
              </w:rPr>
              <w:t xml:space="preserve"> (drill 3; Parte 3.3)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Ejes sin significado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hay "eje X" interpretable (rotar/reflejar no cambia nada)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etiquetar los ejes; para ejes con sentido, usar el biplot del PCA (Parte 3.4)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Visualización, no modelo ni clustering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embedding no es </w:t>
            </w:r>
            <w:r>
              <w:rPr>
                <w:i/>
                <w:sz w:val="19"/>
              </w:rPr>
              <w:t>features</w:t>
            </w:r>
            <w:r>
              <w:rPr>
                <w:sz w:val="19"/>
              </w:rPr>
              <w:t xml:space="preserve"> de producción; "ver agrupaciones aparentes" ≠ clustering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Exploración/hipótesis; el clustering formal es </w:t>
            </w:r>
            <w:r>
              <w:rPr>
                <w:b/>
                <w:sz w:val="19"/>
              </w:rPr>
              <w:t>S07</w:t>
            </w:r>
            <w:r>
              <w:rPr>
                <w:sz w:val="19"/>
              </w:rPr>
              <w:t>; features → PCA/PCR (Parte 3.5)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Fidelidad — trustworthiness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Mide preservación </w:t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 xml:space="preserve"> (penaliza falsos vecinos); 0–1, →1 mejor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Reportarla junto al mapa;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extenderla a lo global (Parte 3.6)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Matiz crítico.</w:t>
      </w:r>
      <w:r>
        <w:rPr>
          <w:color w:val="2D2D2D"/>
        </w:rPr>
        <w:t xml:space="preserve"> Una trustworthiness alta (o un kNN alto sobre el embedding) prueba que se preservó la estructura </w:t>
      </w:r>
      <w:r>
        <w:rPr>
          <w:b/>
          <w:color w:val="2D2D2D"/>
        </w:rPr>
        <w:t>local</w:t>
      </w:r>
      <w:r>
        <w:rPr>
          <w:color w:val="2D2D2D"/>
        </w:rPr>
        <w:t xml:space="preserve">, </w:t>
      </w:r>
      <w:r>
        <w:rPr>
          <w:b/>
          <w:color w:val="2D2D2D"/>
        </w:rPr>
        <w:t>no</w:t>
      </w:r>
      <w:r>
        <w:rPr>
          <w:color w:val="2D2D2D"/>
        </w:rPr>
        <w:t xml:space="preserve"> que las distancias globales sean fiables: ambos hechos son ciertos a la vez. Concluir de un kNN alto que "las distancias del mapa son exactas" es un error. Desarrollo en la guía de supuestos de la sesión, Parte 3.6.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frecuentes (control final)</w:t>
      </w:r>
    </w:p>
    <w:p>
      <w:pPr>
        <w:pStyle w:val="ListBullet"/>
        <w:spacing w:after="40"/>
      </w:pPr>
      <w:r>
        <w:t xml:space="preserve">[ ] No se usó t-SNE/UMAP para </w:t>
      </w:r>
      <w:r>
        <w:rPr>
          <w:b/>
        </w:rPr>
        <w:t>modelar</w:t>
      </w:r>
      <w:r>
        <w:t xml:space="preserve"> ni se incluyó el embedding 2D como </w:t>
      </w:r>
      <w:r>
        <w:rPr>
          <w:i/>
        </w:rPr>
        <w:t>features</w:t>
      </w:r>
      <w:r>
        <w:t xml:space="preserve"> de producción (se hace para </w:t>
      </w:r>
      <w:r>
        <w:rPr>
          <w:i/>
        </w:rPr>
        <w:t>ilustrar</w:t>
      </w:r>
      <w:r>
        <w:t>).</w:t>
      </w:r>
    </w:p>
    <w:p>
      <w:pPr>
        <w:pStyle w:val="ListBullet"/>
        <w:spacing w:after="40"/>
      </w:pPr>
      <w:r>
        <w:t xml:space="preserve">[ ] No se </w:t>
      </w:r>
      <w:r>
        <w:rPr>
          <w:b/>
        </w:rPr>
        <w:t>midieron distancias</w:t>
      </w:r>
      <w:r>
        <w:t xml:space="preserve"> entre clústeres del mapa ni se leyó su tamaño/densidad como reales.</w:t>
      </w:r>
    </w:p>
    <w:p>
      <w:pPr>
        <w:pStyle w:val="ListBullet"/>
        <w:spacing w:after="40"/>
      </w:pPr>
      <w:r>
        <w:t xml:space="preserve">[ ] Se leyó </w:t>
      </w:r>
      <w:r>
        <w:rPr>
          <w:b/>
        </w:rPr>
        <w:t>más de un</w:t>
      </w:r>
      <w:r>
        <w:t xml:space="preserve"> mapa con variación de perplejidad / </w:t>
      </w:r>
      <w:r>
        <w:rPr>
          <w:rFonts w:ascii="Consolas" w:hAnsi="Consolas"/>
          <w:color w:val="9B1B30"/>
          <w:sz w:val="19"/>
        </w:rPr>
        <w:t>n_neighbors</w:t>
      </w:r>
      <w:r>
        <w:t xml:space="preserve"> / </w:t>
      </w:r>
      <w:r>
        <w:rPr>
          <w:rFonts w:ascii="Consolas" w:hAnsi="Consolas"/>
          <w:color w:val="9B1B30"/>
          <w:sz w:val="19"/>
        </w:rPr>
        <w:t>min_dist</w:t>
      </w:r>
      <w:r>
        <w:t xml:space="preserve"> / semilla; se fijó </w:t>
      </w:r>
      <w:r>
        <w:rPr>
          <w:rFonts w:ascii="Consolas" w:hAnsi="Consolas"/>
          <w:color w:val="9B1B30"/>
          <w:sz w:val="19"/>
        </w:rPr>
        <w:t>random_state</w:t>
      </w:r>
      <w:r>
        <w:t>.</w:t>
      </w:r>
    </w:p>
    <w:p>
      <w:pPr>
        <w:pStyle w:val="ListBullet"/>
        <w:spacing w:after="40"/>
      </w:pPr>
      <w:r>
        <w:t xml:space="preserve">[ ] No se confundió "los puntos se agrupan visualmente" con </w:t>
      </w:r>
      <w:r>
        <w:rPr>
          <w:b/>
        </w:rPr>
        <w:t>haber hecho clustering</w:t>
      </w:r>
      <w:r>
        <w:t xml:space="preserve"> (eso es S07).</w:t>
      </w:r>
    </w:p>
    <w:p>
      <w:pPr>
        <w:pStyle w:val="ListBullet"/>
        <w:spacing w:after="40"/>
      </w:pPr>
      <w:r>
        <w:t xml:space="preserve">[ ] Se documentó la </w:t>
      </w:r>
      <w:r>
        <w:rPr>
          <w:b/>
        </w:rPr>
        <w:t>convención</w:t>
      </w:r>
      <w:r>
        <w:t xml:space="preserve"> del PCA (cov vs. corr) y se estandarizó cuando las escalas diferían.</w:t>
      </w:r>
    </w:p>
    <w:p>
      <w:pPr>
        <w:pStyle w:val="ListBullet"/>
        <w:spacing w:after="40"/>
      </w:pPr>
      <w:r>
        <w:t xml:space="preserve">[ ] La recomendación final responde al </w:t>
      </w:r>
      <w:r>
        <w:rPr>
          <w:b/>
        </w:rPr>
        <w:t>objetivo</w:t>
      </w:r>
      <w:r>
        <w:t xml:space="preserve"> (modelar → PCA/PCR; visualizar → t-SNE/UMAP), no a la técnica de moda.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notebook/S06_reduccion_dim.ipynb</w:t>
      </w:r>
      <w:r>
        <w:rPr>
          <w:color w:val="2D2D2D"/>
        </w:rPr>
        <w:t xml:space="preserve"> (PCA de Iris/Wine/digits, mapas t-SNE y UMAP de </w:t>
      </w:r>
      <w:r>
        <w:rPr>
          <w:rFonts w:ascii="Consolas" w:hAnsi="Consolas"/>
          <w:color w:val="2D2D2D"/>
          <w:sz w:val="19"/>
        </w:rPr>
        <w:t>load_digits</w:t>
      </w:r>
      <w:r>
        <w:rPr>
          <w:color w:val="2D2D2D"/>
        </w:rPr>
        <w:t xml:space="preserve"> con hiperparámetros variados, y el proxy kNN/trustworthiness)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una visualización t-SNE vs. UMAP y recomendar técnica según el objetivo: modelado vs. visualización). Se usa junto con </w:t>
      </w:r>
      <w:r>
        <w:rPr>
          <w:rFonts w:ascii="Consolas" w:hAnsi="Consolas"/>
          <w:color w:val="2D2D2D"/>
          <w:sz w:val="19"/>
        </w:rPr>
        <w:t>plantillas/guia_componentes_factores.docx</w:t>
      </w:r>
      <w:r>
        <w:rPr>
          <w:color w:val="2D2D2D"/>
        </w:rPr>
        <w:t xml:space="preserve">. Los valores del proxy y la varianza explicada deben existir en </w:t>
      </w:r>
      <w:r>
        <w:rPr>
          <w:rFonts w:ascii="Consolas" w:hAnsi="Consolas"/>
          <w:color w:val="2D2D2D"/>
          <w:sz w:val="19"/>
        </w:rPr>
        <w:t>resultados/S06_resultados.xlsx</w:t>
      </w:r>
      <w:r>
        <w:rPr>
          <w:color w:val="2D2D2D"/>
        </w:rPr>
        <w:t xml:space="preserve"> y las figuras se generan </w:t>
      </w:r>
      <w:r>
        <w:rPr>
          <w:b/>
          <w:color w:val="2D2D2D"/>
        </w:rPr>
        <w:t>al leer ese Excel</w:t>
      </w:r>
      <w:r>
        <w:rPr>
          <w:color w:val="2D2D2D"/>
        </w:rPr>
        <w:t xml:space="preserve">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2 PCA, Secciones 7–8 PCR/PLS, Secciones 12–13 t-SNE y perplejidad, Secciones 14–15 UMAP y sus hiperparámetros, Sección 16 qué preservan y qué no, Sección 17 mapa de decisión), la guía de interpretación de resultados (Sección 7 leer y no sobre-interpretar el mapa, Sección 8 proxy cuantitativo) e la guía de supuestos de la sesión (Parte 1 PCA, Parte 3 reglas de lectura de t-SNE/UMAP). Fuentes: van der Maaten &amp; Hinton (2008), JMLR 9:2579-2605; McInnes, Healy &amp; Melville (2018), arXiv:1802.03426; Wattenberg, Viégas &amp; Johnson (2016), </w:t>
      </w:r>
      <w:r>
        <w:rPr>
          <w:i/>
          <w:color w:val="2D2D2D"/>
        </w:rPr>
        <w:t>How to Use t-SNE Effectively</w:t>
      </w:r>
      <w:r>
        <w:rPr>
          <w:color w:val="2D2D2D"/>
        </w:rPr>
        <w:t xml:space="preserve">, Distill; ISLR caps. 6.3 y 12.2 (statlearning.com); documentación de </w:t>
      </w:r>
      <w:r>
        <w:rPr>
          <w:rFonts w:ascii="Consolas" w:hAnsi="Consolas"/>
          <w:color w:val="2D2D2D"/>
          <w:sz w:val="19"/>
        </w:rPr>
        <w:t>sklearn.decomposition.PCA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sklearn.manifold.TSNE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openTSNE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umap-learn</w:t>
      </w:r>
      <w:r>
        <w:rPr>
          <w:color w:val="2D2D2D"/>
        </w:rPr>
        <w:t>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Comparación de técnicas de reducción de dimensionalidad (PCA, t-SNE, UMAP)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