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página: cómo interpretar componentes y factores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S06 — Herramientas para la Ciencia de Datos (UPC). Referencia rápida para leer una salida de PCA (varianza explicada, scree, Kaiser, biplot) y una de Análisis Factorial (cargas rotadas con varimax), y para distinguir ambas técnicas. Acompaña al cuaderno </w:t>
      </w:r>
      <w:r>
        <w:rPr>
          <w:rFonts w:ascii="Consolas" w:hAnsi="Consolas"/>
          <w:color w:val="2D2D2D"/>
          <w:sz w:val="19"/>
        </w:rPr>
        <w:t>notebook/S06_reduccion_dim.ipynb</w:t>
      </w:r>
      <w:r>
        <w:rPr>
          <w:color w:val="2D2D2D"/>
        </w:rPr>
        <w:t xml:space="preserve"> y sustenta el criterio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Reducir dimensiones es reemplazar muchas variables correlacionadas por unos pocos ejes nuevos, ordenados por la cantidad de información (varianza) que capturan. El </w:t>
      </w:r>
      <w:r>
        <w:rPr>
          <w:b/>
        </w:rPr>
        <w:t>PCA</w:t>
      </w:r>
      <w:r>
        <w:t xml:space="preserve"> construye esos ejes —los </w:t>
      </w:r>
      <w:r>
        <w:rPr>
          <w:b/>
        </w:rPr>
        <w:t>componentes principales</w:t>
      </w:r>
      <w:r>
        <w:t xml:space="preserve">— como combinaciones lineales de las variables originales, ortogonales y ordenadas de mayor a menor varianza: son los eigenvectores v de la matriz de covarianza Σ (o de correlación) de los datos, y cada eigenvalor λ es la varianza que captura su eje (problema de autovalores (2)). El </w:t>
      </w:r>
      <w:r>
        <w:rPr>
          <w:b/>
        </w:rPr>
        <w:t>Análisis Factorial (AF)</w:t>
      </w:r>
      <w:r>
        <w:t xml:space="preserve"> hace algo distinto: postula que unas pocas </w:t>
      </w:r>
      <w:r>
        <w:rPr>
          <w:b/>
        </w:rPr>
        <w:t>variables latentes no observables</w:t>
      </w:r>
      <w:r>
        <w:t xml:space="preserve"> (los factores) generan las variables medidas, y separa la varianza común de la única. Interpretar bien exige tres lecturas: cuántos ejes retener, qué significa cada eje y —en AF— cómo nombrar los factores rotados.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Fundamento matemático: el PCA en cinco fórmulas</w:t>
      </w:r>
    </w:p>
    <w:p>
      <w:pPr>
        <w:jc w:val="both"/>
      </w:pPr>
      <w:r>
        <w:t xml:space="preserve">De lo básico (qué se descompone) a lo avanzado (cómo cambia con la estandarización). Sobre los datos </w:t>
      </w:r>
      <w:r>
        <w:rPr>
          <w:b/>
        </w:rPr>
        <w:t>centrados</w:t>
      </w:r>
      <w:r>
        <w:t xml:space="preserve"> X_c (a cada variable se le resta su media), el PCA descompone la </w:t>
      </w:r>
      <w:r>
        <w:rPr>
          <w:b/>
        </w:rPr>
        <w:t>matriz de covarianza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952" cy="353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9339a00236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952" cy="35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Los </w:t>
      </w:r>
      <w:r>
        <w:rPr>
          <w:b/>
        </w:rPr>
        <w:t>componentes principales</w:t>
      </w:r>
      <w:r>
        <w:t xml:space="preserve"> son las direcciones v que la matriz (1) solo estira sin rotar, es decir, las soluciones del </w:t>
      </w:r>
      <w:r>
        <w:rPr>
          <w:b/>
        </w:rPr>
        <w:t>problema de autovalores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8061" cy="2951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adc846b771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061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Cada eigenvector v es un componente y su eigenvalor λ es la </w:t>
      </w:r>
      <w:r>
        <w:rPr>
          <w:b/>
        </w:rPr>
        <w:t>varianza a lo largo de ese eje</w:t>
      </w:r>
      <w:r>
        <w:t xml:space="preserve">. Ordenados de mayor a menor λ, la </w:t>
      </w:r>
      <w:r>
        <w:rPr>
          <w:b/>
        </w:rPr>
        <w:t>proporción de varianza explicada</w:t>
      </w:r>
      <w:r>
        <w:t xml:space="preserve"> por el componente i es su eigenvalor sobre la suma de todos: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1476" cy="6691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a45962a960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476" cy="66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Reducir a k dimensiones es </w:t>
      </w:r>
      <w:r>
        <w:rPr>
          <w:b/>
        </w:rPr>
        <w:t>proyectar</w:t>
      </w:r>
      <w:r>
        <w:t xml:space="preserve"> los datos </w:t>
      </w:r>
      <w:r>
        <w:rPr>
          <w:b/>
        </w:rPr>
        <w:t>centrados</w:t>
      </w:r>
      <w:r>
        <w:t xml:space="preserve"> sobre los primeros k eigenvectores. Si V reúne por columnas los eigenvectores retenidos, las coordenadas nuevas (los </w:t>
      </w:r>
      <w:r>
        <w:rPr>
          <w:i/>
        </w:rPr>
        <w:t>scores</w:t>
      </w:r>
      <w:r>
        <w:t>) son —sobre los mismos datos centrados X_c de (1)—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0530" cy="2951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881de66fd19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530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Finalmente, la </w:t>
      </w:r>
      <w:r>
        <w:rPr>
          <w:b/>
        </w:rPr>
        <w:t>decisión central de la sesión</w:t>
      </w:r>
      <w:r>
        <w:t xml:space="preserve"> —covarianza vs. correlación— es, en fórmula, elegir qué matriz se descompone. Trabajar sobre la </w:t>
      </w:r>
      <w:r>
        <w:rPr>
          <w:b/>
        </w:rPr>
        <w:t>correlación</w:t>
      </w:r>
      <w:r>
        <w:t xml:space="preserve"> equivale a estandarizar antes (z-score): es descomponer la matriz de correlación R, que es la de covarianza (1) de las variables ya escaladas,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9334" cy="328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9e7e792c86d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334" cy="328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D es la diagonal de las varianzas de (1). La diferencia entre (1) y (5) es la que cambia </w:t>
      </w:r>
      <w:r>
        <w:rPr>
          <w:b/>
        </w:rPr>
        <w:t>todos</w:t>
      </w:r>
      <w:r>
        <w:t xml:space="preserve"> los porcentajes (recuadro de la convención, más abajo).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 las fórmulas en negocio.</w:t>
      </w:r>
      <w:r>
        <w:rPr>
          <w:color w:val="2D2D2D"/>
        </w:rPr>
        <w:t xml:space="preserve"> (2) es «buscar las direcciones donde los datos más se dispersan»; (3) traduce cada dirección a un «% de información retenida»; (4) es «reescribir cada observación en los ejes nuevos»; (1) vs. (5) es «¿dejo que la variable de números más grandes domine, o pongo a todas a pesar igual?».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Leer la varianza explicada y decidir cuántos componentes retener</w:t>
      </w:r>
    </w:p>
    <w:p>
      <w:pPr>
        <w:jc w:val="both"/>
      </w:pPr>
      <w:r>
        <w:t>La proporción de varianza explicada (3) de cada componente (</w:t>
      </w:r>
      <w:r>
        <w:rPr>
          <w:rFonts w:ascii="Consolas" w:hAnsi="Consolas"/>
          <w:color w:val="9B1B30"/>
          <w:sz w:val="19"/>
        </w:rPr>
        <w:t>explained_variance_ratio_</w:t>
      </w:r>
      <w:r>
        <w:t xml:space="preserve"> en scikit-learn) responde "¿qué fracción de la variación total captura este eje?". La </w:t>
      </w:r>
      <w:r>
        <w:rPr>
          <w:b/>
        </w:rPr>
        <w:t>acumulada</w:t>
      </w:r>
      <w:r>
        <w:t xml:space="preserve"> es la métrica de decisión.</w:t>
      </w:r>
    </w:p>
    <w:p>
      <w:pPr>
        <w:jc w:val="both"/>
      </w:pPr>
      <w:r>
        <w:t xml:space="preserve">Ejemplo — PCA de Iris (matriz de </w:t>
      </w:r>
      <w:r>
        <w:rPr>
          <w:b/>
        </w:rPr>
        <w:t>covarianza</w:t>
      </w:r>
      <w:r>
        <w:t>, datos crudos):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Varianza explicada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Acumulada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92,46 %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92,46 %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5,31 %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97,77 %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1,71 %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99,48 %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0,52 %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100 %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Tres criterios que se cruzan</w:t>
      </w:r>
      <w:r>
        <w:t xml:space="preserve"> (nunca uno solo):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mira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Límite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Varianza acumulada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Suma de PC1…PC</w:t>
            </w:r>
            <w:r>
              <w:rPr>
                <w:i/>
                <w:sz w:val="19"/>
              </w:rPr>
              <w:t>k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retiene el mínimo 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 xml:space="preserve"> que supere el umbral (80–95 %); el más usado en negocio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umbral es un juicio, no una ley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Scree plot / codo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Curva de eigenvalores en orden decreciente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retienen los componentes </w:t>
            </w:r>
            <w:r>
              <w:rPr>
                <w:b/>
                <w:sz w:val="19"/>
              </w:rPr>
              <w:t>anteriores</w:t>
            </w:r>
            <w:r>
              <w:rPr>
                <w:sz w:val="19"/>
              </w:rPr>
              <w:t xml:space="preserve"> al "codo" (donde la curva se aplana)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Subjetivo; en curvas suaves no hay codo claro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Kaiser (λ &gt; 1)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Eigenvalor de cada eje, </w:t>
            </w:r>
            <w:r>
              <w:rPr>
                <w:b/>
                <w:sz w:val="19"/>
              </w:rPr>
              <w:t>solo sobre datos estandarizados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 retienen los de eigenvalor &gt; 1 (aportan más que una variable original)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Tosco; suele subestimar el número de componentes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Cómo se decide:</w:t>
      </w:r>
      <w:r>
        <w:t xml:space="preserve"> se fija el objetivo (visualizar → 2–3 componentes; modelar → el mínimo que supere el umbral) y se toma el </w:t>
      </w:r>
      <w:r>
        <w:rPr>
          <w:i/>
        </w:rPr>
        <w:t>k</w:t>
      </w:r>
      <w:r>
        <w:t xml:space="preserve"> donde coinciden </w:t>
      </w:r>
      <w:r>
        <w:rPr>
          <w:b/>
        </w:rPr>
        <w:t>al menos dos</w:t>
      </w:r>
      <w:r>
        <w:t xml:space="preserve"> criterios.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convención cambia todos los porcentajes.</w:t>
      </w:r>
      <w:r>
        <w:rPr>
          <w:color w:val="2D2D2D"/>
        </w:rPr>
        <w:t xml:space="preserve"> El mismo Iris con </w:t>
      </w:r>
      <w:r>
        <w:rPr>
          <w:b/>
          <w:color w:val="2D2D2D"/>
        </w:rPr>
        <w:t>correlación</w:t>
      </w:r>
      <w:r>
        <w:rPr>
          <w:color w:val="2D2D2D"/>
        </w:rPr>
        <w:t xml:space="preserve"> (5) (z-score) da PC1 = 72,96 % y PC2 = 22,85 %: todas las variables pesan igual de inicio y el PC1 baja. </w:t>
      </w:r>
      <w:r>
        <w:rPr>
          <w:b/>
          <w:color w:val="2D2D2D"/>
        </w:rPr>
        <w:t>Regla:</w:t>
      </w:r>
      <w:r>
        <w:rPr>
          <w:color w:val="2D2D2D"/>
        </w:rPr>
        <w:t xml:space="preserve"> con variables en </w:t>
      </w:r>
      <w:r>
        <w:rPr>
          <w:b/>
          <w:color w:val="2D2D2D"/>
        </w:rPr>
        <w:t>unidades distintas</w:t>
      </w:r>
      <w:r>
        <w:rPr>
          <w:color w:val="2D2D2D"/>
        </w:rPr>
        <w:t xml:space="preserve"> (dólares, años, kg), se </w:t>
      </w:r>
      <w:r>
        <w:rPr>
          <w:b/>
          <w:color w:val="2D2D2D"/>
        </w:rPr>
        <w:t>debe</w:t>
      </w:r>
      <w:r>
        <w:rPr>
          <w:color w:val="2D2D2D"/>
        </w:rPr>
        <w:t xml:space="preserve"> estandarizar (correlación); si están en la misma unidad y la escala relativa es informativa, la covarianza es defendible. El caso Wine lo grita: crudo, 1 componente "explica" el 99,8 % (artefacto de que </w:t>
      </w:r>
      <w:r>
        <w:rPr>
          <w:rFonts w:ascii="Consolas" w:hAnsi="Consolas"/>
          <w:color w:val="2D2D2D"/>
          <w:sz w:val="19"/>
        </w:rPr>
        <w:t>proline</w:t>
      </w:r>
      <w:r>
        <w:rPr>
          <w:color w:val="2D2D2D"/>
        </w:rPr>
        <w:t xml:space="preserve"> va en cientos); estandarizado hacen falta </w:t>
      </w:r>
      <w:r>
        <w:rPr>
          <w:b/>
          <w:color w:val="2D2D2D"/>
        </w:rPr>
        <w:t>8</w:t>
      </w:r>
      <w:r>
        <w:rPr>
          <w:color w:val="2D2D2D"/>
        </w:rPr>
        <w:t xml:space="preserve"> componentes para el 90 %. Que "1 componente baste" es la señal de alarma de que no se estandarizó, no una buena noticia. </w:t>
      </w:r>
      <w:r>
        <w:rPr>
          <w:b/>
          <w:color w:val="2D2D2D"/>
        </w:rPr>
        <w:t>Documentar siempre qué convención se usó.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Leer un biplot: cargas (loadings) e interpretación de negocio</w:t>
      </w:r>
    </w:p>
    <w:p>
      <w:pPr>
        <w:jc w:val="both"/>
      </w:pPr>
      <w:r>
        <w:t xml:space="preserve">El biplot superpone en PC1-PC2 los </w:t>
      </w:r>
      <w:r>
        <w:rPr>
          <w:b/>
        </w:rPr>
        <w:t>puntos</w:t>
      </w:r>
      <w:r>
        <w:t xml:space="preserve"> (observaciones, proyectadas con (4)) y las </w:t>
      </w:r>
      <w:r>
        <w:rPr>
          <w:b/>
        </w:rPr>
        <w:t>flechas</w:t>
      </w:r>
      <w:r>
        <w:t xml:space="preserve"> (variables, dibujadas desde sus cargas). Convierte un eje abstracto en una etiqueta con sentido.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Qué es una «carga» (loading), y en qué convención.</w:t>
      </w:r>
      <w:r>
        <w:rPr>
          <w:color w:val="2D2D2D"/>
        </w:rPr>
        <w:t xml:space="preserve"> La carga que dibuja el biplot es siempre la coordenada del autovector escalada por la raíz de su eigenvalor, </w:t>
      </w:r>
      <w:r>
        <w:rPr>
          <w:b/>
          <w:color w:val="2D2D2D"/>
        </w:rPr>
        <w:t>cargaⱼₖ = vⱼₖ·√λₖ</w:t>
      </w:r>
      <w:r>
        <w:rPr>
          <w:color w:val="2D2D2D"/>
        </w:rPr>
        <w:t xml:space="preserve"> (</w:t>
      </w:r>
      <w:r>
        <w:rPr>
          <w:b/>
          <w:color w:val="2D2D2D"/>
        </w:rPr>
        <w:t>no</w:t>
      </w:r>
      <w:r>
        <w:rPr>
          <w:color w:val="2D2D2D"/>
        </w:rPr>
        <w:t xml:space="preserve"> el autovector unitario que devuelve </w:t>
      </w:r>
      <w:r>
        <w:rPr>
          <w:rFonts w:ascii="Consolas" w:hAnsi="Consolas"/>
          <w:color w:val="2D2D2D"/>
          <w:sz w:val="19"/>
        </w:rPr>
        <w:t>pca.components_</w:t>
      </w:r>
      <w:r>
        <w:rPr>
          <w:color w:val="2D2D2D"/>
        </w:rPr>
        <w:t xml:space="preserve">, cuya norma es 1). Lo que cambia con la convención es </w:t>
      </w:r>
      <w:r>
        <w:rPr>
          <w:b/>
          <w:color w:val="2D2D2D"/>
        </w:rPr>
        <w:t>cómo se lee</w:t>
      </w:r>
      <w:r>
        <w:rPr>
          <w:color w:val="2D2D2D"/>
        </w:rPr>
        <w:t>:</w:t>
      </w:r>
    </w:p>
    <w:p>
      <w:pPr>
        <w:spacing w:before="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| Convención | Qué es v·√λ | Ejemplo verificado (Excel) | |---|---|---| | </w:t>
      </w:r>
      <w:r>
        <w:rPr>
          <w:b/>
          <w:color w:val="2D2D2D"/>
        </w:rPr>
        <w:t>Correlación</w:t>
      </w:r>
      <w:r>
        <w:rPr>
          <w:color w:val="2D2D2D"/>
        </w:rPr>
        <w:t xml:space="preserve"> (PCA sobre datos estandarizados) | </w:t>
      </w:r>
      <w:r>
        <w:rPr>
          <w:b/>
          <w:color w:val="2D2D2D"/>
        </w:rPr>
        <w:t>es</w:t>
      </w:r>
      <w:r>
        <w:rPr>
          <w:color w:val="2D2D2D"/>
        </w:rPr>
        <w:t xml:space="preserve"> la correlación variable–componente, acotada en [−1, 1] | Wine, </w:t>
      </w:r>
      <w:r>
        <w:rPr>
          <w:rFonts w:ascii="Consolas" w:hAnsi="Consolas"/>
          <w:color w:val="2D2D2D"/>
          <w:sz w:val="19"/>
        </w:rPr>
        <w:t>flavanoids</w:t>
      </w:r>
      <w:r>
        <w:rPr>
          <w:color w:val="2D2D2D"/>
        </w:rPr>
        <w:t xml:space="preserve"> en PC1: </w:t>
      </w:r>
      <w:r>
        <w:rPr>
          <w:rFonts w:ascii="Consolas" w:hAnsi="Consolas"/>
          <w:color w:val="2D2D2D"/>
          <w:sz w:val="19"/>
        </w:rPr>
        <w:t>0,4229·√4,706 = 0,9201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cargas_wine!B8</w:t>
      </w:r>
      <w:r>
        <w:rPr>
          <w:color w:val="2D2D2D"/>
        </w:rPr>
        <w:t xml:space="preserve"> → </w:t>
      </w:r>
      <w:r>
        <w:rPr>
          <w:rFonts w:ascii="Consolas" w:hAnsi="Consolas"/>
          <w:color w:val="2D2D2D"/>
          <w:sz w:val="19"/>
        </w:rPr>
        <w:t>C8</w:t>
      </w:r>
      <w:r>
        <w:rPr>
          <w:color w:val="2D2D2D"/>
        </w:rPr>
        <w:t xml:space="preserve">) | | </w:t>
      </w:r>
      <w:r>
        <w:rPr>
          <w:b/>
          <w:color w:val="2D2D2D"/>
        </w:rPr>
        <w:t>Covarianza</w:t>
      </w:r>
      <w:r>
        <w:rPr>
          <w:color w:val="2D2D2D"/>
        </w:rPr>
        <w:t xml:space="preserve"> (PCA sobre datos crudos) | está </w:t>
      </w:r>
      <w:r>
        <w:rPr>
          <w:b/>
          <w:color w:val="2D2D2D"/>
        </w:rPr>
        <w:t>en las unidades de la variable</w:t>
      </w:r>
      <w:r>
        <w:rPr>
          <w:color w:val="2D2D2D"/>
        </w:rPr>
        <w:t xml:space="preserve"> y </w:t>
      </w:r>
      <w:r>
        <w:rPr>
          <w:b/>
          <w:color w:val="2D2D2D"/>
        </w:rPr>
        <w:t>no</w:t>
      </w:r>
      <w:r>
        <w:rPr>
          <w:color w:val="2D2D2D"/>
        </w:rPr>
        <w:t xml:space="preserve"> está acotada por 1: </w:t>
      </w:r>
      <w:r>
        <w:rPr>
          <w:b/>
          <w:color w:val="2D2D2D"/>
        </w:rPr>
        <w:t>no es</w:t>
      </w:r>
      <w:r>
        <w:rPr>
          <w:color w:val="2D2D2D"/>
        </w:rPr>
        <w:t xml:space="preserve"> una correlación | Iris, largo de pétalo en PC1: </w:t>
      </w:r>
      <w:r>
        <w:rPr>
          <w:rFonts w:ascii="Consolas" w:hAnsi="Consolas"/>
          <w:color w:val="2D2D2D"/>
          <w:sz w:val="19"/>
        </w:rPr>
        <w:t>0,8567·√4,228 = **1,7615 cm**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cargas_biplot_iris!C4</w:t>
      </w:r>
      <w:r>
        <w:rPr>
          <w:color w:val="2D2D2D"/>
        </w:rPr>
        <w:t>) |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En covarianza la correlación se recupera </w:t>
      </w:r>
      <w:r>
        <w:rPr>
          <w:b/>
          <w:color w:val="2D2D2D"/>
        </w:rPr>
        <w:t>al dividir por la desviación típica de la variable</w:t>
      </w:r>
      <w:r>
        <w:rPr>
          <w:color w:val="2D2D2D"/>
        </w:rPr>
        <w:t xml:space="preserve">: </w:t>
      </w:r>
      <w:r>
        <w:rPr>
          <w:rFonts w:ascii="Consolas" w:hAnsi="Consolas"/>
          <w:color w:val="2D2D2D"/>
          <w:sz w:val="19"/>
        </w:rPr>
        <w:t>1,7615 / σ = 1,7615 / 1,7653 = **0,9979**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cargas_biplot_iris!E4</w:t>
      </w:r>
      <w:r>
        <w:rPr>
          <w:color w:val="2D2D2D"/>
        </w:rPr>
        <w:t xml:space="preserve">, con σ en </w:t>
      </w:r>
      <w:r>
        <w:rPr>
          <w:rFonts w:ascii="Consolas" w:hAnsi="Consolas"/>
          <w:color w:val="2D2D2D"/>
          <w:sz w:val="19"/>
        </w:rPr>
        <w:t>D4</w:t>
      </w:r>
      <w:r>
        <w:rPr>
          <w:color w:val="2D2D2D"/>
        </w:rPr>
        <w:t xml:space="preserve">). Una «carga» mayor que 1 es la señal inmediata de que se está en convención de covarianza. </w:t>
      </w:r>
      <w:r>
        <w:rPr>
          <w:b/>
          <w:color w:val="2D2D2D"/>
        </w:rPr>
        <w:t>⚠️ `pca.components_` ≠ carga</w:t>
      </w:r>
      <w:r>
        <w:rPr>
          <w:color w:val="2D2D2D"/>
        </w:rPr>
        <w:t xml:space="preserve">: </w:t>
      </w:r>
      <w:r>
        <w:rPr>
          <w:rFonts w:ascii="Consolas" w:hAnsi="Consolas"/>
          <w:color w:val="2D2D2D"/>
          <w:sz w:val="19"/>
        </w:rPr>
        <w:t>components_</w:t>
      </w:r>
      <w:r>
        <w:rPr>
          <w:color w:val="2D2D2D"/>
        </w:rPr>
        <w:t xml:space="preserve"> da ≈ 0,42 en el caso de Wine; multiplicado por √λ da la carga ≈ 0,92. Fuente única: el glosario de la sesión; valores certificados en </w:t>
      </w:r>
      <w:r>
        <w:rPr>
          <w:rFonts w:ascii="Consolas" w:hAnsi="Consolas"/>
          <w:color w:val="2D2D2D"/>
          <w:sz w:val="19"/>
        </w:rPr>
        <w:t>resultados/S06_resultados.xlsx</w:t>
      </w:r>
      <w:r>
        <w:rPr>
          <w:color w:val="2D2D2D"/>
        </w:rPr>
        <w:t xml:space="preserve">, hojas </w:t>
      </w:r>
      <w:r>
        <w:rPr>
          <w:rFonts w:ascii="Consolas" w:hAnsi="Consolas"/>
          <w:color w:val="2D2D2D"/>
          <w:sz w:val="19"/>
        </w:rPr>
        <w:t>cargas_wine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cargas_biplot_iris</w:t>
      </w:r>
      <w:r>
        <w:rPr>
          <w:color w:val="2D2D2D"/>
        </w:rPr>
        <w:t>.</w:t>
      </w:r>
    </w:p>
    <w:p>
      <w:pPr>
        <w:pStyle w:val="ListBullet"/>
        <w:spacing w:after="40"/>
      </w:pPr>
      <w:r>
        <w:rPr>
          <w:b/>
        </w:rPr>
        <w:t>Longitud de la flecha</w:t>
      </w:r>
      <w:r>
        <w:t xml:space="preserve"> = cuánto contribuye la variable a ese plano (flecha larga = bien representada).</w:t>
      </w:r>
    </w:p>
    <w:p>
      <w:pPr>
        <w:pStyle w:val="ListBullet"/>
        <w:spacing w:after="40"/>
      </w:pPr>
      <w:r>
        <w:rPr>
          <w:b/>
        </w:rPr>
        <w:t>Dirección</w:t>
      </w:r>
      <w:r>
        <w:t xml:space="preserve">: una flecha paralela a PC1 significa que esa variable </w:t>
      </w:r>
      <w:r>
        <w:rPr>
          <w:b/>
        </w:rPr>
        <w:t>define</w:t>
      </w:r>
      <w:r>
        <w:t xml:space="preserve"> PC1. En Iris, longitud y ancho del pétalo apuntan casi paralelas al PC1 → "</w:t>
      </w:r>
      <w:r>
        <w:rPr>
          <w:b/>
        </w:rPr>
        <w:t>PC1 = tamaño general de la flor</w:t>
      </w:r>
      <w:r>
        <w:t>".</w:t>
      </w:r>
    </w:p>
    <w:p>
      <w:pPr>
        <w:pStyle w:val="ListBullet"/>
        <w:spacing w:after="40"/>
      </w:pPr>
      <w:r>
        <w:rPr>
          <w:b/>
        </w:rPr>
        <w:t>Ángulo entre flechas</w:t>
      </w:r>
      <w:r>
        <w:t>: ~0° = correlación positiva fuerte; ~180° = negativa; ~90° = casi sin correlación.</w:t>
      </w:r>
    </w:p>
    <w:p>
      <w:pPr>
        <w:pStyle w:val="ListBullet"/>
        <w:spacing w:after="40"/>
      </w:pPr>
      <w:r>
        <w:rPr>
          <w:b/>
        </w:rPr>
        <w:t>Puntos</w:t>
      </w:r>
      <w:r>
        <w:t>: uno a la derecha (PC1 alto) tiene valores altos en las variables cuya flecha apunta a la derecha.</w:t>
      </w:r>
    </w:p>
    <w:p>
      <w:pPr>
        <w:jc w:val="both"/>
      </w:pPr>
      <w:r>
        <w:rPr>
          <w:b/>
        </w:rPr>
        <w:t>Interpretación de negocio (nombrar el eje) — el caso Wine, con sus cargas reales.</w:t>
      </w:r>
      <w:r>
        <w:t xml:space="preserve"> Sobre </w:t>
      </w:r>
      <w:r>
        <w:rPr>
          <w:b/>
        </w:rPr>
        <w:t>Wine estandarizado</w:t>
      </w:r>
      <w:r>
        <w:t xml:space="preserve"> (hoja </w:t>
      </w:r>
      <w:r>
        <w:rPr>
          <w:rFonts w:ascii="Consolas" w:hAnsi="Consolas"/>
          <w:color w:val="9B1B30"/>
          <w:sz w:val="19"/>
        </w:rPr>
        <w:t>cargas_wine</w:t>
      </w:r>
      <w:r>
        <w:t xml:space="preserve"> del Excel; carga = v·√λ, PC1 = 36,2 % de la varianza y PC2 = 19,2 %):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Eje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Cargan fuerte (con su valor)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de negocio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PC1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flavanoids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+0,9201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total_phenols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+0,8586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od280/od315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+0,8183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proanthocyanins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+0,6818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`hue` +0,6455</w:t>
            </w:r>
            <w:r>
              <w:rPr>
                <w:sz w:val="19"/>
              </w:rPr>
              <w:t xml:space="preserve">; en negativo </w:t>
            </w:r>
            <w:r>
              <w:rPr>
                <w:rFonts w:ascii="Consolas" w:hAnsi="Consolas"/>
                <w:color w:val="9B1B30"/>
                <w:sz w:val="19"/>
              </w:rPr>
              <w:t>nonflavanoid_phenols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−0,6494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malic_acid</w:t>
            </w:r>
            <w:r>
              <w:rPr>
                <w:sz w:val="19"/>
              </w:rPr>
              <w:t xml:space="preserve"> −0,5334, </w:t>
            </w:r>
            <w:r>
              <w:rPr>
                <w:rFonts w:ascii="Consolas" w:hAnsi="Consolas"/>
                <w:color w:val="9B1B30"/>
                <w:sz w:val="19"/>
              </w:rPr>
              <w:t>alcalinity_of_ash</w:t>
            </w:r>
            <w:r>
              <w:rPr>
                <w:sz w:val="19"/>
              </w:rPr>
              <w:t xml:space="preserve"> −0,5206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«</w:t>
            </w:r>
            <w:r>
              <w:rPr>
                <w:b/>
                <w:sz w:val="19"/>
              </w:rPr>
              <w:t>riqueza fenólica</w:t>
            </w:r>
            <w:r>
              <w:rPr>
                <w:sz w:val="19"/>
              </w:rPr>
              <w:t>»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PC2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color_intensity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+0,8399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`alcohol` +0,7664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proline</w:t>
            </w:r>
            <w:r>
              <w:rPr>
                <w:sz w:val="19"/>
              </w:rPr>
              <w:t xml:space="preserve"> +0,5782, </w:t>
            </w:r>
            <w:r>
              <w:rPr>
                <w:rFonts w:ascii="Consolas" w:hAnsi="Consolas"/>
                <w:color w:val="9B1B30"/>
                <w:sz w:val="19"/>
              </w:rPr>
              <w:t>ash</w:t>
            </w:r>
            <w:r>
              <w:rPr>
                <w:sz w:val="19"/>
              </w:rPr>
              <w:t xml:space="preserve"> +0,5009, </w:t>
            </w:r>
            <w:r>
              <w:rPr>
                <w:rFonts w:ascii="Consolas" w:hAnsi="Consolas"/>
                <w:color w:val="9B1B30"/>
                <w:sz w:val="19"/>
              </w:rPr>
              <w:t>magnesium</w:t>
            </w:r>
            <w:r>
              <w:rPr>
                <w:sz w:val="19"/>
              </w:rPr>
              <w:t xml:space="preserve"> +0,4748; en negativo </w:t>
            </w:r>
            <w:r>
              <w:rPr>
                <w:rFonts w:ascii="Consolas" w:hAnsi="Consolas"/>
                <w:color w:val="9B1B30"/>
                <w:sz w:val="19"/>
              </w:rPr>
              <w:t>hue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−0,4425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«</w:t>
            </w:r>
            <w:r>
              <w:rPr>
                <w:b/>
                <w:sz w:val="19"/>
              </w:rPr>
              <w:t>cuerpo / potencia física</w:t>
            </w:r>
            <w:r>
              <w:rPr>
                <w:sz w:val="19"/>
              </w:rPr>
              <w:t>»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Dos detalles que se equivocan a diario y que la tabla desmiente: </w:t>
      </w:r>
      <w:r>
        <w:rPr>
          <w:b/>
        </w:rPr>
        <w:t>`alcohol` NO pertenece al PC1</w:t>
      </w:r>
      <w:r>
        <w:t xml:space="preserve"> (allí vale solo +0,3140; su carga fuerte está en PC2, +0,7664) y </w:t>
      </w:r>
      <w:r>
        <w:rPr>
          <w:b/>
        </w:rPr>
        <w:t>`hue` NO acompaña a `color_intensity` en el PC2</w:t>
      </w:r>
      <w:r>
        <w:t xml:space="preserve"> (allí es </w:t>
      </w:r>
      <w:r>
        <w:rPr>
          <w:b/>
        </w:rPr>
        <w:t>negativa</w:t>
      </w:r>
      <w:r>
        <w:t>, −0,4425; su carga fuerte y positiva está en el PC1, +0,6455). Nombrar los componentes desde estas cargas es el drill 2 de la sesión.</w:t>
      </w:r>
    </w:p>
    <w:p>
      <w:pPr>
        <w:jc w:val="both"/>
      </w:pPr>
      <w:r>
        <w:rPr>
          <w:b/>
        </w:rPr>
        <w:t>Errores a evitar:</w:t>
      </w:r>
      <w:r>
        <w:t xml:space="preserve"> (a) leer el </w:t>
      </w:r>
      <w:r>
        <w:rPr>
          <w:b/>
        </w:rPr>
        <w:t>signo</w:t>
      </w:r>
      <w:r>
        <w:t xml:space="preserve"> de una carga como bueno/malo (es arbitrario: sklearn puede invertir el eje); (b) leer distancias del biplot como exactas (son proyecciones sobre 2 de los </w:t>
      </w:r>
      <w:r>
        <w:rPr>
          <w:i/>
        </w:rPr>
        <w:t>p</w:t>
      </w:r>
      <w:r>
        <w:t xml:space="preserve"> ejes; solo fieles si PC1-PC2 explican mucha varianza); (c) interpretar flechas cortas (variables mal representadas en ese plano).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Leer cargas factoriales rotadas (Análisis Factorial + varimax)</w:t>
      </w:r>
    </w:p>
    <w:p>
      <w:pPr>
        <w:jc w:val="both"/>
      </w:pPr>
      <w:r>
        <w:t xml:space="preserve">El AF entrega una </w:t>
      </w:r>
      <w:r>
        <w:rPr>
          <w:b/>
        </w:rPr>
        <w:t>matriz de cargas</w:t>
      </w:r>
      <w:r>
        <w:t xml:space="preserve"> (variables × factores). La </w:t>
      </w:r>
      <w:r>
        <w:rPr>
          <w:b/>
        </w:rPr>
        <w:t>rotación varimax</w:t>
      </w:r>
      <w:r>
        <w:t xml:space="preserve"> gira los ejes —sin cambiar la varianza total explicada— hacia una </w:t>
      </w:r>
      <w:r>
        <w:rPr>
          <w:b/>
        </w:rPr>
        <w:t>estructura simple</w:t>
      </w:r>
      <w:r>
        <w:t xml:space="preserve">: que cada variable cargue fuerte en </w:t>
      </w:r>
      <w:r>
        <w:rPr>
          <w:b/>
        </w:rPr>
        <w:t>un solo</w:t>
      </w:r>
      <w:r>
        <w:t xml:space="preserve"> factor. Antes de factorizar se comprueba que los datos son factorizables con </w:t>
      </w:r>
      <w:r>
        <w:rPr>
          <w:b/>
        </w:rPr>
        <w:t>KMO</w:t>
      </w:r>
      <w:r>
        <w:t xml:space="preserve"> y </w:t>
      </w:r>
      <w:r>
        <w:rPr>
          <w:b/>
        </w:rPr>
        <w:t>Bartlett</w:t>
      </w:r>
      <w:r>
        <w:t xml:space="preserve"> (ver «Supuestos y decisiones», más abajo).</w:t>
      </w:r>
    </w:p>
    <w:p>
      <w:pPr>
        <w:jc w:val="both"/>
      </w:pPr>
      <w:r>
        <w:t>Ejemplo estilizado (encuesta de satisfacción, cargas tras varimax):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 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 2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precio_justo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0,82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relación_valor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0,78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0,09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rapidez_atención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0,80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amabilidad_personal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0,08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0,75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Se leen las cargas </w:t>
      </w:r>
      <w:r>
        <w:rPr>
          <w:b/>
        </w:rPr>
        <w:t>altas</w:t>
      </w:r>
      <w:r>
        <w:t xml:space="preserve"> (convención |carga| ≥ 0,4–0,5) para </w:t>
      </w:r>
      <w:r>
        <w:rPr>
          <w:b/>
        </w:rPr>
        <w:t>nombrar</w:t>
      </w:r>
      <w:r>
        <w:t xml:space="preserve"> cada factor: Factor 1 = "</w:t>
      </w:r>
      <w:r>
        <w:rPr>
          <w:b/>
        </w:rPr>
        <w:t>valor económico</w:t>
      </w:r>
      <w:r>
        <w:t>"; Factor 2 = "</w:t>
      </w:r>
      <w:r>
        <w:rPr>
          <w:b/>
        </w:rPr>
        <w:t>calidad del servicio</w:t>
      </w:r>
      <w:r>
        <w:t>".</w:t>
      </w:r>
    </w:p>
    <w:p>
      <w:pPr>
        <w:pStyle w:val="ListBullet"/>
        <w:spacing w:after="40"/>
      </w:pPr>
      <w:r>
        <w:t>Una variable con cargas altas en varios factores (</w:t>
      </w:r>
      <w:r>
        <w:rPr>
          <w:b/>
        </w:rPr>
        <w:t>cross-loading</w:t>
      </w:r>
      <w:r>
        <w:t>) es ambigua: candidata a revisar o eliminar.</w:t>
      </w:r>
    </w:p>
    <w:p>
      <w:pPr>
        <w:pStyle w:val="ListBullet"/>
        <w:spacing w:after="40"/>
      </w:pPr>
      <w:r>
        <w:t xml:space="preserve">La </w:t>
      </w:r>
      <w:r>
        <w:rPr>
          <w:b/>
        </w:rPr>
        <w:t>comunalidad</w:t>
      </w:r>
      <w:r>
        <w:t xml:space="preserve"> (suma de las cargas al cuadrado de una variable) dice qué fracción de su varianza explican los factores comunes; comunalidad baja = no encaja en la estructura latente.</w:t>
      </w:r>
    </w:p>
    <w:p>
      <w:pPr>
        <w:jc w:val="both"/>
      </w:pPr>
      <w:r>
        <w:rPr>
          <w:b/>
        </w:rPr>
        <w:t>El caso real de la sesión — Wine, 3 factores varimax</w:t>
      </w:r>
      <w:r>
        <w:t xml:space="preserve"> (hoja </w:t>
      </w:r>
      <w:r>
        <w:rPr>
          <w:rFonts w:ascii="Consolas" w:hAnsi="Consolas"/>
          <w:color w:val="9B1B30"/>
          <w:sz w:val="19"/>
        </w:rPr>
        <w:t>cargas_factoriales</w:t>
      </w:r>
      <w:r>
        <w:t xml:space="preserve"> del Excel; KMO 0,7787 ≥ 0,60 y Bartlett </w:t>
      </w:r>
      <w:r>
        <w:rPr>
          <w:rFonts w:ascii="Consolas" w:hAnsi="Consolas"/>
          <w:color w:val="9B1B30"/>
          <w:sz w:val="19"/>
        </w:rPr>
        <w:t>p</w:t>
      </w:r>
      <w:r>
        <w:t xml:space="preserve"> = 2,5e−224, así que Wine </w:t>
      </w:r>
      <w:r>
        <w:rPr>
          <w:b/>
        </w:rPr>
        <w:t>sí</w:t>
      </w:r>
      <w:r>
        <w:t xml:space="preserve"> es factorizable; var. acumulada 0,5837). Se muestran las cargas |carga| ≥ 0,40 y la comunalidad de cada variable: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 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 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 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Comunalidad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flavanoids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0,9208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0,2629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0,0163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0,9173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od280/od315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0,8623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−0,0112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−0,0323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0,7447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total_phenols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0,7981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0,3360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0,0341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0,7511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hue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0,6780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−0,1757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−0,1444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0,5115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proanthocyanins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0,5915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0,2210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0,0190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0,3991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nonflavanoid_phenols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−0,5198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−0,1701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0,2441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0,3586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malic_acid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−0,4949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0,0930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0,2277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0,3055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alcohol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0,0353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0,7980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−0,0657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0,6423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proline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0,3756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0,7272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−0,0995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0,6798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color_intensity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−0,4274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0,7115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0,1131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0,7017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magnesium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0,1676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0,3961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0,1208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0,1996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alcalinity_of_ash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−0,3010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−0,3058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0,7521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0,7498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ash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0,0259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0,3122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0,7269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0,6265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Lectura: </w:t>
      </w:r>
      <w:r>
        <w:rPr>
          <w:b/>
        </w:rPr>
        <w:t>Factor 1 = «riqueza fenólica»</w:t>
      </w:r>
      <w:r>
        <w:t xml:space="preserve">, </w:t>
      </w:r>
      <w:r>
        <w:rPr>
          <w:b/>
        </w:rPr>
        <w:t>Factor 2 = «cuerpo / potencia física»</w:t>
      </w:r>
      <w:r>
        <w:t xml:space="preserve"> (alcohol, prolina, color), </w:t>
      </w:r>
      <w:r>
        <w:rPr>
          <w:b/>
        </w:rPr>
        <w:t>Factor 3 = «mineralidad / cenizas»</w:t>
      </w:r>
      <w:r>
        <w:t xml:space="preserve">. </w:t>
      </w:r>
      <w:r>
        <w:rPr>
          <w:rFonts w:ascii="Consolas" w:hAnsi="Consolas"/>
          <w:color w:val="9B1B30"/>
          <w:sz w:val="19"/>
        </w:rPr>
        <w:t>color_intensity</w:t>
      </w:r>
      <w:r>
        <w:t xml:space="preserve"> es un </w:t>
      </w:r>
      <w:r>
        <w:rPr>
          <w:b/>
        </w:rPr>
        <w:t>cross-loading</w:t>
      </w:r>
      <w:r>
        <w:t xml:space="preserve"> de manual (−0,43 y +0,71): pertenece al factor 2, pero se opone al 1, y conviene declararlo. </w:t>
      </w:r>
      <w:r>
        <w:rPr>
          <w:rFonts w:ascii="Consolas" w:hAnsi="Consolas"/>
          <w:color w:val="9B1B30"/>
          <w:sz w:val="19"/>
        </w:rPr>
        <w:t>magnesium</w:t>
      </w:r>
      <w:r>
        <w:t xml:space="preserve"> tiene </w:t>
      </w:r>
      <w:r>
        <w:rPr>
          <w:b/>
        </w:rPr>
        <w:t>comunalidad 0,1996</w:t>
      </w:r>
      <w:r>
        <w:t>: los tres factores comunes explican menos del 20 % de su varianza, así que no encaja en la estructura latente y no debe usarse para nombrar nada.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⚠️ El Análisis Factorial de Iris es un CONTRAEJEMPLO deliberado, no un ejemplo a imitar.</w:t>
      </w:r>
      <w:r>
        <w:rPr>
          <w:color w:val="2D2D2D"/>
        </w:rPr>
        <w:t xml:space="preserve"> El cuaderno lo ajusta (2 factores) </w:t>
      </w:r>
      <w:r>
        <w:rPr>
          <w:b/>
          <w:color w:val="2D2D2D"/>
        </w:rPr>
        <w:t>solo para mostrar qué pasa cuando no se comprueba la adecuación</w:t>
      </w:r>
      <w:r>
        <w:rPr>
          <w:color w:val="2D2D2D"/>
        </w:rPr>
        <w:t xml:space="preserve">: el </w:t>
      </w:r>
      <w:r>
        <w:rPr>
          <w:b/>
          <w:color w:val="2D2D2D"/>
        </w:rPr>
        <w:t>KMO de Iris es 0,5401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adecuacion_af</w:t>
      </w:r>
      <w:r>
        <w:rPr>
          <w:color w:val="2D2D2D"/>
        </w:rPr>
        <w:t xml:space="preserve">), por debajo del mínimo de 0,60, y el ajuste produce un </w:t>
      </w:r>
      <w:r>
        <w:rPr>
          <w:b/>
          <w:color w:val="2D2D2D"/>
        </w:rPr>
        <w:t>caso Heywood</w:t>
      </w:r>
      <w:r>
        <w:rPr>
          <w:color w:val="2D2D2D"/>
        </w:rPr>
        <w:t xml:space="preserve"> —la comunalidad de </w:t>
      </w:r>
      <w:r>
        <w:rPr>
          <w:rFonts w:ascii="Consolas" w:hAnsi="Consolas"/>
          <w:color w:val="2D2D2D"/>
          <w:sz w:val="19"/>
        </w:rPr>
        <w:t>petal length</w:t>
      </w:r>
      <w:r>
        <w:rPr>
          <w:color w:val="2D2D2D"/>
        </w:rPr>
        <w:t xml:space="preserve"> resulta </w:t>
      </w:r>
      <w:r>
        <w:rPr>
          <w:b/>
          <w:color w:val="2D2D2D"/>
        </w:rPr>
        <w:t>1,0106 &gt; 1</w:t>
      </w:r>
      <w:r>
        <w:rPr>
          <w:color w:val="2D2D2D"/>
        </w:rPr>
        <w:t xml:space="preserve">, matemáticamente imposible para una proporción de varianza—. Ese 1,0106 es exactamente la firma de un modelo factorial mal especificado. </w:t>
      </w:r>
      <w:r>
        <w:rPr>
          <w:b/>
          <w:color w:val="2D2D2D"/>
        </w:rPr>
        <w:t>Iris no se factoriza</w:t>
      </w:r>
      <w:r>
        <w:rPr>
          <w:color w:val="2D2D2D"/>
        </w:rPr>
        <w:t>; el caso legítimo de la sesión es Wine.</w:t>
      </w:r>
    </w:p>
    <w:p>
      <w:pPr>
        <w:jc w:val="both"/>
      </w:pPr>
      <w:r>
        <w:rPr>
          <w:b/>
        </w:rPr>
        <w:t>Errores a evitar:</w:t>
      </w:r>
      <w:r>
        <w:t xml:space="preserve"> (a) interpretar cargas </w:t>
      </w:r>
      <w:r>
        <w:rPr>
          <w:b/>
        </w:rPr>
        <w:t>sin rotar</w:t>
      </w:r>
      <w:r>
        <w:t xml:space="preserve"> (suelen ser mezclas confusas); (b) forzar una etiqueta a un factor con cargas débiles; (c) confundir cargas del AF con las del PCA (ver Sección 4).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PCA vs. Análisis Factorial (la diferencia clave)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Análisis Factorial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Qué 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Transformación </w:t>
            </w:r>
            <w:r>
              <w:rPr>
                <w:b/>
                <w:sz w:val="19"/>
              </w:rPr>
              <w:t>descriptiva</w:t>
            </w:r>
            <w:r>
              <w:rPr>
                <w:sz w:val="19"/>
              </w:rPr>
              <w:t xml:space="preserve"> de la varianza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Modelo estadístico</w:t>
            </w:r>
            <w:r>
              <w:rPr>
                <w:sz w:val="19"/>
              </w:rPr>
              <w:t xml:space="preserve"> con variables latentes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Qué varianza usa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  <w:r>
              <w:rPr>
                <w:sz w:val="19"/>
              </w:rPr>
              <w:t xml:space="preserve"> (común + única)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Solo la </w:t>
            </w:r>
            <w:r>
              <w:rPr>
                <w:b/>
                <w:sz w:val="19"/>
              </w:rPr>
              <w:t>común</w:t>
            </w:r>
            <w:r>
              <w:rPr>
                <w:sz w:val="19"/>
              </w:rPr>
              <w:t xml:space="preserve"> (separa la varianza única / error)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Dirección lógica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Variables → componentes ("hacia afuera")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Factores → variables ("hacia adentro", los factores </w:t>
            </w:r>
            <w:r>
              <w:rPr>
                <w:i/>
                <w:sz w:val="19"/>
              </w:rPr>
              <w:t>generan</w:t>
            </w:r>
            <w:r>
              <w:rPr>
                <w:sz w:val="19"/>
              </w:rPr>
              <w:t xml:space="preserve"> los datos)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Resultado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Ejes de máxima varianza, ortogonales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Constructos latentes con </w:t>
            </w:r>
            <w:r>
              <w:rPr>
                <w:b/>
                <w:sz w:val="19"/>
              </w:rPr>
              <w:t>significado sustantivo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Cuándo usarlo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Comprimir, visualizar, quitar multicolinealidad (PCR)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Descubrir constructos interpretables detrás de las correlaciones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Regla:</w:t>
      </w:r>
      <w:r>
        <w:t xml:space="preserve"> si el objetivo es </w:t>
      </w:r>
      <w:r>
        <w:rPr>
          <w:b/>
        </w:rPr>
        <w:t>comprimir / visualizar / quitar multicolinealidad</w:t>
      </w:r>
      <w:r>
        <w:t xml:space="preserve">, PCA; si es </w:t>
      </w:r>
      <w:r>
        <w:rPr>
          <w:b/>
        </w:rPr>
        <w:t>descubrir constructos latentes</w:t>
      </w:r>
      <w:r>
        <w:t xml:space="preserve"> ("satisfacción", "riesgo crediticio", "actitud de marca") detrás de baterías de indicadores, AF. Elegir mal confunde el mensaje: PCA para buscar un constructo da ejes sin significado; AF para pura compresión añade complejidad innecesaria.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(PCA y Análisis Factorial)</w:t>
      </w:r>
    </w:p>
    <w:p>
      <w:pPr>
        <w:jc w:val="both"/>
      </w:pPr>
      <w:r>
        <w:t xml:space="preserve">El PCA y el AF exploratorio son técnicas </w:t>
      </w:r>
      <w:r>
        <w:rPr>
          <w:b/>
        </w:rPr>
        <w:t>no supervisadas</w:t>
      </w:r>
      <w:r>
        <w:t xml:space="preserve">: </w:t>
      </w:r>
      <w:r>
        <w:rPr>
          <w:b/>
        </w:rPr>
        <w:t>no</w:t>
      </w:r>
      <w:r>
        <w:t xml:space="preserve"> modelan una respuesta con un término de error, así que </w:t>
      </w:r>
      <w:r>
        <w:rPr>
          <w:b/>
        </w:rPr>
        <w:t>no</w:t>
      </w:r>
      <w:r>
        <w:t xml:space="preserve"> tienen los supuestos distribucionales del OLS (nada de normalidad ni homocedasticidad de un residuo). Lo que sí tienen son </w:t>
      </w:r>
      <w:r>
        <w:rPr>
          <w:b/>
        </w:rPr>
        <w:t>decisiones de preparación</w:t>
      </w:r>
      <w:r>
        <w:t xml:space="preserve">, </w:t>
      </w:r>
      <w:r>
        <w:rPr>
          <w:b/>
        </w:rPr>
        <w:t>supuestos implícitos sobre la estructura</w:t>
      </w:r>
      <w:r>
        <w:t xml:space="preserve"> y, en el AF, </w:t>
      </w:r>
      <w:r>
        <w:rPr>
          <w:b/>
        </w:rPr>
        <w:t>pruebas de adecuación</w:t>
      </w:r>
      <w:r>
        <w:t>. El desarrollo completo de cada punto —qué es, cómo se identifica con su umbral, cómo se decide/corrige y hasta dónde llega S06— es la guía de supuestos de la sesión (Parte 1 PCA, Parte 2 Análisis Factorial).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(umbral)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Estandarización: covarianza vs. correlación</w:t>
            </w:r>
            <w:r>
              <w:rPr>
                <w:sz w:val="19"/>
              </w:rPr>
              <w:t xml:space="preserve"> (la decisión central)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Escalas dispares entre columnas; que 1 componente "explique" ~99 % es </w:t>
            </w:r>
            <w:r>
              <w:rPr>
                <w:b/>
                <w:sz w:val="19"/>
              </w:rPr>
              <w:t>alarma</w:t>
            </w:r>
            <w:r>
              <w:rPr>
                <w:sz w:val="19"/>
              </w:rPr>
              <w:t>; ejecutar ambas convenciones lado a lado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Estandarizar (correlación (5)) por defecto</w:t>
            </w:r>
            <w:r>
              <w:rPr>
                <w:sz w:val="19"/>
              </w:rPr>
              <w:t xml:space="preserve">; covarianza (1) solo si las unidades son homogéneas; </w:t>
            </w:r>
            <w:r>
              <w:rPr>
                <w:b/>
                <w:sz w:val="19"/>
              </w:rPr>
              <w:t>documentar</w:t>
            </w:r>
            <w:r>
              <w:rPr>
                <w:sz w:val="19"/>
              </w:rPr>
              <w:t xml:space="preserve"> la convención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Iris PC1 </w:t>
            </w:r>
            <w:r>
              <w:rPr>
                <w:b/>
                <w:sz w:val="19"/>
              </w:rPr>
              <w:t>0,9246 (cov) vs. 0,7296 (corr)</w:t>
            </w:r>
            <w:r>
              <w:rPr>
                <w:sz w:val="19"/>
              </w:rPr>
              <w:t>; Wine crudo 1 vs. estandarizado 8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Centrado (media 0)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sklearn </w:t>
            </w:r>
            <w:r>
              <w:rPr>
                <w:rFonts w:ascii="Consolas" w:hAnsi="Consolas"/>
                <w:color w:val="9B1B30"/>
                <w:sz w:val="19"/>
              </w:rPr>
              <w:t>PCA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centra</w:t>
            </w:r>
            <w:r>
              <w:rPr>
                <w:sz w:val="19"/>
              </w:rPr>
              <w:t xml:space="preserve"> pero </w:t>
            </w:r>
            <w:r>
              <w:rPr>
                <w:b/>
                <w:sz w:val="19"/>
              </w:rPr>
              <w:t>no escala</w:t>
            </w:r>
            <w:r>
              <w:rPr>
                <w:sz w:val="19"/>
              </w:rPr>
              <w:t>; no confundir centrado con estandarización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Confiar en el centrado automático; decidir aparte el escalado; restar la media si se descompone de forma manual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(requisito de (1))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Linealidad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PCA solo capta estructura </w:t>
            </w:r>
            <w:r>
              <w:rPr>
                <w:b/>
                <w:sz w:val="19"/>
              </w:rPr>
              <w:t>lineal</w:t>
            </w:r>
            <w:r>
              <w:rPr>
                <w:sz w:val="19"/>
              </w:rPr>
              <w:t>; PCA-2D ≪ t-SNE/UMAP en el proxy delata estructura no lineal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PCA si la relación es aproximadamente lineal; t-SNE/UMAP para </w:t>
            </w:r>
            <w:r>
              <w:rPr>
                <w:i/>
                <w:sz w:val="19"/>
              </w:rPr>
              <w:t>ver</w:t>
            </w:r>
            <w:r>
              <w:rPr>
                <w:sz w:val="19"/>
              </w:rPr>
              <w:t xml:space="preserve"> lo no lineal; </w:t>
            </w:r>
            <w:r>
              <w:rPr>
                <w:i/>
                <w:sz w:val="19"/>
              </w:rPr>
              <w:t>kernel PCA (avanzado, solo se nombra)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PCA-2D trustworthiness 0,830 vs. t-SNE 0,995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Varianza = información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PCA asume que más varianza = más información; puede no serlo para </w:t>
            </w:r>
            <w:r>
              <w:rPr>
                <w:b/>
                <w:sz w:val="19"/>
              </w:rPr>
              <w:t>discriminar</w:t>
            </w:r>
            <w:r>
              <w:rPr>
                <w:sz w:val="19"/>
              </w:rPr>
              <w:t xml:space="preserve"> (contraste con LDA)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PCA para lo no supervisado; </w:t>
            </w:r>
            <w:r>
              <w:rPr>
                <w:b/>
                <w:sz w:val="19"/>
              </w:rPr>
              <w:t>PLS</w:t>
            </w:r>
            <w:r>
              <w:rPr>
                <w:sz w:val="19"/>
              </w:rPr>
              <w:t xml:space="preserve"> si hay respuesta Y; nombrar LDA (S10) para clasificar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dirección de máxima varianza ≠ la de máxima separación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Sensibilidad a atípicos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 punto solitario que "tira" de un eje en el biplot; z-scores extremos; PCA con/sin el caso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el caso (¿error de datos?); escalado robusto; </w:t>
            </w:r>
            <w:r>
              <w:rPr>
                <w:i/>
                <w:sz w:val="19"/>
              </w:rPr>
              <w:t>robust PCA (avanzado)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Enlaza con Cook/leverage de S04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AF — adecuación: KMO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calculate_kmo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≥ 0,60</w:t>
            </w:r>
            <w:r>
              <w:rPr>
                <w:sz w:val="19"/>
              </w:rPr>
              <w:t xml:space="preserve"> mínimo, ≥ 0,80 bueno, &lt; 0,50 no factorizar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Proceder si KMO global ≥ 0,60; depurar variables con KMO individual bajo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</w:t>
            </w:r>
            <w:r>
              <w:rPr>
                <w:b/>
                <w:sz w:val="19"/>
              </w:rPr>
              <w:t>0,60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Iris 0,5401 (NO factorizable) vs. Wine 0,7787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adecuacion_af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AF — esfericidad: Bartlett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calculate_bartlett_sphericity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`p&lt;0.05`</w:t>
            </w:r>
            <w:r>
              <w:rPr>
                <w:sz w:val="19"/>
              </w:rPr>
              <w:t xml:space="preserve"> rechaza "matriz = identidad" ⇒ factorizable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Exigir </w:t>
            </w:r>
            <w:r>
              <w:rPr>
                <w:rFonts w:ascii="Consolas" w:hAnsi="Consolas"/>
                <w:color w:val="9B1B30"/>
                <w:sz w:val="19"/>
              </w:rPr>
              <w:t>p&lt;0.05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junto</w:t>
            </w:r>
            <w:r>
              <w:rPr>
                <w:sz w:val="19"/>
              </w:rPr>
              <w:t xml:space="preserve"> al KMO; cautela con n muy grande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p&lt;0.05</w:t>
            </w:r>
            <w:r>
              <w:rPr>
                <w:sz w:val="19"/>
              </w:rPr>
              <w:t>; Iris χ²=707,0 — Wine χ²=1317,2 (</w:t>
            </w:r>
            <w:r>
              <w:rPr>
                <w:rFonts w:ascii="Consolas" w:hAnsi="Consolas"/>
                <w:color w:val="9B1B30"/>
                <w:sz w:val="19"/>
              </w:rPr>
              <w:t>adecuacion_af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AF — comunalidad y caso Heywood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Comunalidad = suma de cargas al cuadrado; </w:t>
            </w:r>
            <w:r>
              <w:rPr>
                <w:b/>
                <w:sz w:val="19"/>
              </w:rPr>
              <w:t>debe estar en [0, 1]</w:t>
            </w:r>
            <w:r>
              <w:rPr>
                <w:sz w:val="19"/>
              </w:rPr>
              <w:t xml:space="preserve">. Una comunalidad </w:t>
            </w:r>
            <w:r>
              <w:rPr>
                <w:b/>
                <w:sz w:val="19"/>
              </w:rPr>
              <w:t>&gt; 1</w:t>
            </w:r>
            <w:r>
              <w:rPr>
                <w:sz w:val="19"/>
              </w:rPr>
              <w:t xml:space="preserve"> (caso Heywood) delata un modelo mal especificado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Bajar el nº de factores, quitar la variable o —como aquí— </w:t>
            </w:r>
            <w:r>
              <w:rPr>
                <w:b/>
                <w:sz w:val="19"/>
              </w:rPr>
              <w:t>no factorizar</w:t>
            </w:r>
            <w:r>
              <w:rPr>
                <w:sz w:val="19"/>
              </w:rPr>
              <w:t>; comunalidad &lt; 0,20 ⇒ la variable no encaja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Iris </w:t>
            </w:r>
            <w:r>
              <w:rPr>
                <w:rFonts w:ascii="Consolas" w:hAnsi="Consolas"/>
                <w:color w:val="9B1B30"/>
                <w:sz w:val="19"/>
              </w:rPr>
              <w:t>petal length</w:t>
            </w:r>
            <w:r>
              <w:rPr>
                <w:sz w:val="19"/>
              </w:rPr>
              <w:t xml:space="preserve"> = </w:t>
            </w:r>
            <w:r>
              <w:rPr>
                <w:b/>
                <w:sz w:val="19"/>
              </w:rPr>
              <w:t>1,0106 &gt; 1</w:t>
            </w:r>
            <w:r>
              <w:rPr>
                <w:sz w:val="19"/>
              </w:rPr>
              <w:t xml:space="preserve"> (imposible) frente a Wine </w:t>
            </w:r>
            <w:r>
              <w:rPr>
                <w:rFonts w:ascii="Consolas" w:hAnsi="Consolas"/>
                <w:color w:val="9B1B30"/>
                <w:sz w:val="19"/>
              </w:rPr>
              <w:t>magnesium</w:t>
            </w:r>
            <w:r>
              <w:rPr>
                <w:sz w:val="19"/>
              </w:rPr>
              <w:t xml:space="preserve"> = 0,1996 (baja pero válida), </w:t>
            </w:r>
            <w:r>
              <w:rPr>
                <w:rFonts w:ascii="Consolas" w:hAnsi="Consolas"/>
                <w:color w:val="9B1B30"/>
                <w:sz w:val="19"/>
              </w:rPr>
              <w:t>cargas_factoriales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Nº de componentes/factores: Kaiser + scree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Kaiser (λ &gt; 1, solo estandarizado); codo del scree; umbral de varianza acumulada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Cruzar los tres</w:t>
            </w:r>
            <w:r>
              <w:rPr>
                <w:sz w:val="19"/>
              </w:rPr>
              <w:t>; nunca Kaiser en solitario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Iris estand.: λ = 2,92 / 0,91 → Kaiser 1 vs. scree 2; Wine 8; digits 21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PCA vs. AF (modelo latente)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Objetivo: comprimir/visualizar (PCA) vs. constructos latentes (AF); el AF reporta comunalidades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AF con </w:t>
            </w:r>
            <w:r>
              <w:rPr>
                <w:b/>
                <w:sz w:val="19"/>
              </w:rPr>
              <w:t>varimax</w:t>
            </w:r>
            <w:r>
              <w:rPr>
                <w:sz w:val="19"/>
              </w:rPr>
              <w:t xml:space="preserve"> para nombrar factores; leer cargas rotadas y </w:t>
            </w:r>
            <w:r>
              <w:rPr>
                <w:i/>
                <w:sz w:val="19"/>
              </w:rPr>
              <w:t>cross-loadings</w:t>
            </w:r>
            <w:r>
              <w:rPr>
                <w:sz w:val="19"/>
              </w:rPr>
              <w:t xml:space="preserve">; </w:t>
            </w:r>
            <w:r>
              <w:rPr>
                <w:i/>
                <w:sz w:val="19"/>
              </w:rPr>
              <w:t>CFA/SEM (avanzado)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 (estandarización).</w:t>
      </w:r>
      <w:r>
        <w:rPr>
          <w:color w:val="2D2D2D"/>
        </w:rPr>
        <w:t xml:space="preserve"> La covarianza (1) mide dispersión en las </w:t>
      </w:r>
      <w:r>
        <w:rPr>
          <w:b/>
          <w:color w:val="2D2D2D"/>
        </w:rPr>
        <w:t>unidades originales</w:t>
      </w:r>
      <w:r>
        <w:rPr>
          <w:color w:val="2D2D2D"/>
        </w:rPr>
        <w:t>, de modo que la variable de números más grandes —no la más informativa— domina el PC1. Estandarizar (usar la correlación (5)) pone a todas las variables a pesar por igual. Es la primera pregunta al leer o auditar un PCA ajeno, porque cambia todos los porcentajes. Desarrollo completo en la guía de supuestos de la sesión, Parte 1.1.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Recordatorios rápidos (control)</w:t>
      </w:r>
    </w:p>
    <w:p>
      <w:pPr>
        <w:pStyle w:val="ListBullet"/>
        <w:spacing w:after="40"/>
      </w:pPr>
      <w:r>
        <w:t xml:space="preserve">[ ] Nunca reportar la varianza de un componente </w:t>
      </w:r>
      <w:r>
        <w:rPr>
          <w:b/>
        </w:rPr>
        <w:t>sin la acumulada</w:t>
      </w:r>
      <w:r>
        <w:t xml:space="preserve"> (sin ella no se puede decidir </w:t>
      </w:r>
      <w:r>
        <w:rPr>
          <w:i/>
        </w:rPr>
        <w:t>k</w:t>
      </w:r>
      <w:r>
        <w:t>).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Documentar la convención</w:t>
      </w:r>
      <w:r>
        <w:t xml:space="preserve"> (covarianza (1) vs. correlación (5)): cambia todos los porcentajes.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Estandarizar</w:t>
      </w:r>
      <w:r>
        <w:t xml:space="preserve"> antes del PCA si las variables tienen escalas dispares (si no, PC1 es artificial → caso Wine crudo).</w:t>
      </w:r>
    </w:p>
    <w:p>
      <w:pPr>
        <w:pStyle w:val="ListBullet"/>
        <w:spacing w:after="40"/>
      </w:pPr>
      <w:r>
        <w:t xml:space="preserve">[ ] No elegir </w:t>
      </w:r>
      <w:r>
        <w:rPr>
          <w:i/>
        </w:rPr>
        <w:t>k</w:t>
      </w:r>
      <w:r>
        <w:t xml:space="preserve"> </w:t>
      </w:r>
      <w:r>
        <w:rPr>
          <w:b/>
        </w:rPr>
        <w:t>solo por Kaiser</w:t>
      </w:r>
      <w:r>
        <w:t>; cruzarlo con scree y varianza acumulada.</w:t>
      </w:r>
    </w:p>
    <w:p>
      <w:pPr>
        <w:pStyle w:val="ListBullet"/>
        <w:spacing w:after="40"/>
      </w:pPr>
      <w:r>
        <w:t xml:space="preserve">[ ] El </w:t>
      </w:r>
      <w:r>
        <w:rPr>
          <w:b/>
        </w:rPr>
        <w:t>signo</w:t>
      </w:r>
      <w:r>
        <w:t xml:space="preserve"> de un componente o carga es arbitrario: no se lee como bueno/malo.</w:t>
      </w:r>
    </w:p>
    <w:p>
      <w:pPr>
        <w:pStyle w:val="ListBullet"/>
        <w:spacing w:after="40"/>
      </w:pPr>
      <w:r>
        <w:t xml:space="preserve">[ ] Antes del AF, comprobar </w:t>
      </w:r>
      <w:r>
        <w:rPr>
          <w:b/>
        </w:rPr>
        <w:t>KMO ≥ 0,60</w:t>
      </w:r>
      <w:r>
        <w:t xml:space="preserve"> y </w:t>
      </w:r>
      <w:r>
        <w:rPr>
          <w:b/>
        </w:rPr>
        <w:t>Bartlett `p&lt;0.05`</w:t>
      </w:r>
      <w:r>
        <w:t xml:space="preserve">; interpretar las cargas </w:t>
      </w:r>
      <w:r>
        <w:rPr>
          <w:b/>
        </w:rPr>
        <w:t>rotadas</w:t>
      </w:r>
      <w:r>
        <w:t xml:space="preserve"> (varimax), no las crudas; no etiquetar factores débiles. Revisar las </w:t>
      </w:r>
      <w:r>
        <w:rPr>
          <w:b/>
        </w:rPr>
        <w:t>comunalidades</w:t>
      </w:r>
      <w:r>
        <w:t>: una &gt; 1 (caso Heywood, como el 1,0106 de Iris) invalida el ajuste.</w:t>
      </w:r>
    </w:p>
    <w:p>
      <w:pPr>
        <w:pStyle w:val="ListBullet"/>
        <w:spacing w:after="40"/>
      </w:pPr>
      <w:r>
        <w:t xml:space="preserve">[ ] Una </w:t>
      </w:r>
      <w:r>
        <w:rPr>
          <w:b/>
        </w:rPr>
        <w:t>carga &gt; 1</w:t>
      </w:r>
      <w:r>
        <w:t xml:space="preserve"> en valor absoluto no es un error: significa que el PCA está en convención de </w:t>
      </w:r>
      <w:r>
        <w:rPr>
          <w:b/>
        </w:rPr>
        <w:t>covarianza</w:t>
      </w:r>
      <w:r>
        <w:t xml:space="preserve"> y la carga va en las unidades de la variable (Iris: 1,7615 cm). Solo con correlación la carga </w:t>
      </w:r>
      <w:r>
        <w:rPr>
          <w:i/>
        </w:rPr>
        <w:t>es</w:t>
      </w:r>
      <w:r>
        <w:t xml:space="preserve"> una correlación.</w:t>
      </w:r>
    </w:p>
    <w:p>
      <w:pPr>
        <w:pStyle w:val="ListBullet"/>
        <w:spacing w:after="40"/>
      </w:pPr>
      <w:r>
        <w:t>[ ] PCA = comprimir/visualizar; AF = constructos latentes. No confundirlos.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acompaña las salidas del cuaderno </w:t>
      </w:r>
      <w:r>
        <w:rPr>
          <w:rFonts w:ascii="Consolas" w:hAnsi="Consolas"/>
          <w:color w:val="2D2D2D"/>
          <w:sz w:val="19"/>
        </w:rPr>
        <w:t>notebook/S06_reduccion_dim.ipynb</w:t>
      </w:r>
      <w:r>
        <w:rPr>
          <w:color w:val="2D2D2D"/>
        </w:rPr>
        <w:t xml:space="preserve"> (varianza explicada de Iris/Wine, scree plot, biplot y matriz de cargas rotadas del Análisis Factorial), todas volcadas a las </w:t>
      </w:r>
      <w:r>
        <w:rPr>
          <w:b/>
          <w:color w:val="2D2D2D"/>
        </w:rPr>
        <w:t>14 hojas</w:t>
      </w:r>
      <w:r>
        <w:rPr>
          <w:color w:val="2D2D2D"/>
        </w:rPr>
        <w:t xml:space="preserve"> de </w:t>
      </w:r>
      <w:r>
        <w:rPr>
          <w:rFonts w:ascii="Consolas" w:hAnsi="Consolas"/>
          <w:color w:val="2D2D2D"/>
          <w:sz w:val="19"/>
        </w:rPr>
        <w:t>resultados/S06_resultados.xlsx</w:t>
      </w:r>
      <w:r>
        <w:rPr>
          <w:color w:val="2D2D2D"/>
        </w:rPr>
        <w:t xml:space="preserve"> —aquí se citan </w:t>
      </w:r>
      <w:r>
        <w:rPr>
          <w:rFonts w:ascii="Consolas" w:hAnsi="Consolas"/>
          <w:color w:val="2D2D2D"/>
          <w:sz w:val="19"/>
        </w:rPr>
        <w:t>varianza_explicada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cargas_wine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cargas_biplot_iris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cargas_factoriales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adecuacion_af</w:t>
      </w:r>
      <w:r>
        <w:rPr>
          <w:color w:val="2D2D2D"/>
        </w:rPr>
        <w:t xml:space="preserve">—, y sustenta los drills de retención de componentes y de interpretación de negocio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(elegir el nº de componentes por varianza explicada e interpretar los dos primeros en un biplot). Se usa junto con </w:t>
      </w:r>
      <w:r>
        <w:rPr>
          <w:rFonts w:ascii="Consolas" w:hAnsi="Consolas"/>
          <w:color w:val="2D2D2D"/>
          <w:sz w:val="19"/>
        </w:rPr>
        <w:t>plantillas/comparacion_pca_tsne_umap.docx</w:t>
      </w:r>
      <w:r>
        <w:rPr>
          <w:color w:val="2D2D2D"/>
        </w:rPr>
        <w:t xml:space="preserve"> para decidir la técnica según el objetivo.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1 varianza y elección de </w:t>
      </w:r>
      <w:r>
        <w:rPr>
          <w:i/>
          <w:color w:val="2D2D2D"/>
        </w:rPr>
        <w:t>k</w:t>
      </w:r>
      <w:r>
        <w:rPr>
          <w:color w:val="2D2D2D"/>
        </w:rPr>
        <w:t xml:space="preserve">, Sección 2 covarianza vs. correlación, Sección 3 scree, Sección 4 biplot, Sección 5 caso Wine, Sección 6 cargas factoriales rotadas), el glosario de la sesión (Sección 1 eigenvalores, Secciones 2–6 PCA, Secciones 9–11 Análisis Factorial y varimax, PCA vs. AF) e la guía de supuestos de la sesión (Parte 1 decisiones y supuestos del PCA, Parte 2 adecuación del Análisis Factorial). Fuentes: Pearson (1901), Philosophical Magazine 2(11):559–572 (planteamiento geométrico); Hotelling (1933), J. Educ. Psychology 24(6); Jolliffe (2002), </w:t>
      </w:r>
      <w:r>
        <w:rPr>
          <w:i/>
          <w:color w:val="2D2D2D"/>
        </w:rPr>
        <w:t>Principal Component Analysis</w:t>
      </w:r>
      <w:r>
        <w:rPr>
          <w:color w:val="2D2D2D"/>
        </w:rPr>
        <w:t xml:space="preserve"> 2.ª ed. (cap. 6–7); ISLR cap. 12.2 (statlearning.com); Kaiser (1958, 1960, 1970); Bartlett (1950); Cattell (1966); Gabriel (1971); documentación de </w:t>
      </w:r>
      <w:r>
        <w:rPr>
          <w:rFonts w:ascii="Consolas" w:hAnsi="Consolas"/>
          <w:color w:val="2D2D2D"/>
          <w:sz w:val="19"/>
        </w:rPr>
        <w:t>sklearn.decomposition.PCA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factor_analyzer</w:t>
      </w:r>
      <w:r>
        <w:rPr>
          <w:color w:val="2D2D2D"/>
        </w:rPr>
        <w:t>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página: cómo interpretar componentes y factores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