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200"/>
        <w:ind w:left="113"/>
        <w:shd w:val="clear" w:color="auto" w:fill="E4002B"/>
        <w:pBdr>
          <w:top w:val="single" w:sz="18" w:space="6" w:color="E4002B"/>
          <w:bottom w:val="single" w:sz="18" w:space="6" w:color="E4002B"/>
          <w:left w:val="single" w:sz="18" w:space="6" w:color="E4002B"/>
          <w:right w:val="single" w:sz="18" w:space="6" w:color="E4002B"/>
        </w:pBdr>
      </w:pPr>
      <w:r>
        <w:rPr>
          <w:b/>
          <w:color w:val="FFFFFF"/>
          <w:sz w:val="40"/>
        </w:rPr>
        <w:t>Plantilla de cálculo RFM y perfilamiento de segmentos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Plantilla de trabajo de la Sesión S07 — Herramientas para la Ciencia de Datos (UPC). Guía y hoja de registro para calcular las tres variables RFM (Recency, Frequency, Monetary) desde las transacciones de </w:t>
      </w:r>
      <w:r>
        <w:rPr>
          <w:b/>
          <w:color w:val="2D2D2D"/>
        </w:rPr>
        <w:t>Online Retail II</w:t>
      </w:r>
      <w:r>
        <w:rPr>
          <w:color w:val="2D2D2D"/>
        </w:rPr>
        <w:t xml:space="preserve">, estandarizarlas, segmentar a los clientes con clustering jerárquico/DBSCAN (número de clusters elegido con la silueta), y </w:t>
      </w:r>
      <w:r>
        <w:rPr>
          <w:b/>
          <w:color w:val="2D2D2D"/>
        </w:rPr>
        <w:t>perfilar</w:t>
      </w:r>
      <w:r>
        <w:rPr>
          <w:color w:val="2D2D2D"/>
        </w:rPr>
        <w:t xml:space="preserve"> cada segmento en una tabla. Se completa junto al cuaderno </w:t>
      </w:r>
      <w:r>
        <w:rPr>
          <w:rFonts w:ascii="Consolas" w:hAnsi="Consolas"/>
          <w:color w:val="2D2D2D"/>
          <w:sz w:val="19"/>
        </w:rPr>
        <w:t>notebook/S07_clustering_anomalias.ipynb</w:t>
      </w:r>
      <w:r>
        <w:rPr>
          <w:color w:val="2D2D2D"/>
        </w:rPr>
        <w:t xml:space="preserve"> y alimenta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(segmentar clientes con RFM y perfilar los segmentos en «fichas de segmento»). Español impersonal. Fechas DD/MM/YYYY, UTF-8.</w:t>
      </w: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Concepto</w:t>
      </w:r>
    </w:p>
    <w:p>
      <w:pPr>
        <w:jc w:val="both"/>
      </w:pPr>
      <w:r>
        <w:rPr>
          <w:b/>
        </w:rPr>
        <w:t>RFM</w:t>
      </w:r>
      <w:r>
        <w:t xml:space="preserve"> resume el comportamiento de compra de cada cliente en </w:t>
      </w:r>
      <w:r>
        <w:rPr>
          <w:b/>
        </w:rPr>
        <w:t>tres cifras</w:t>
      </w:r>
      <w:r>
        <w:t xml:space="preserve"> calculadas desde el historial de transacciones: </w:t>
      </w:r>
      <w:r>
        <w:rPr>
          <w:b/>
        </w:rPr>
        <w:t>R</w:t>
      </w:r>
      <w:r>
        <w:t xml:space="preserve">ecency (hace cuánto compró), </w:t>
      </w:r>
      <w:r>
        <w:rPr>
          <w:b/>
        </w:rPr>
        <w:t>F</w:t>
      </w:r>
      <w:r>
        <w:t xml:space="preserve">requency (cuántas veces compró) y </w:t>
      </w:r>
      <w:r>
        <w:rPr>
          <w:b/>
        </w:rPr>
        <w:t>M</w:t>
      </w:r>
      <w:r>
        <w:t xml:space="preserve">onetary (cuánto gastó). Con solo el registro de facturas —dato que toda empresa ya tiene— se obtiene una base numérica para agrupar clientes por comportamiento y traducir cada grupo en una acción de marketing. En esta sesión las tres variables </w:t>
      </w:r>
      <w:r>
        <w:rPr>
          <w:b/>
        </w:rPr>
        <w:t>no</w:t>
      </w:r>
      <w:r>
        <w:t xml:space="preserve"> se puntúan por quintiles (1–5), sino que se usan como </w:t>
      </w:r>
      <w:r>
        <w:rPr>
          <w:i/>
        </w:rPr>
        <w:t>features</w:t>
      </w:r>
      <w:r>
        <w:t xml:space="preserve"> continuas: se </w:t>
      </w:r>
      <w:r>
        <w:rPr>
          <w:b/>
        </w:rPr>
        <w:t>estandarizan</w:t>
      </w:r>
      <w:r>
        <w:t xml:space="preserve"> (porque </w:t>
      </w:r>
      <w:r>
        <w:rPr>
          <w:i/>
        </w:rPr>
        <w:t>Monetary</w:t>
      </w:r>
      <w:r>
        <w:t xml:space="preserve">, en miles, dominaría a </w:t>
      </w:r>
      <w:r>
        <w:rPr>
          <w:i/>
        </w:rPr>
        <w:t>Frequency</w:t>
      </w:r>
      <w:r>
        <w:t xml:space="preserve">, en unidades, si se midiera por distancias sin escalar) y se pasan a clustering jerárquico/DBSCAN. El número de segmentos se decide con el </w:t>
      </w:r>
      <w:r>
        <w:rPr>
          <w:b/>
        </w:rPr>
        <w:t>coeficiente de silueta</w:t>
      </w:r>
      <w:r>
        <w:t xml:space="preserve"> y el dendrograma, no por inspección visual.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Fundamento matemático: por qué se estandariza, cómo se decide k y cómo se marca un atípico</w:t>
      </w:r>
    </w:p>
    <w:p>
      <w:pPr>
        <w:jc w:val="both"/>
      </w:pPr>
      <w:r>
        <w:t xml:space="preserve">Cuatro fórmulas sostienen la sesión, de la </w:t>
      </w:r>
      <w:r>
        <w:rPr>
          <w:b/>
        </w:rPr>
        <w:t>preparación</w:t>
      </w:r>
      <w:r>
        <w:t xml:space="preserve"> (por qué estandarizar) a la </w:t>
      </w:r>
      <w:r>
        <w:rPr>
          <w:b/>
        </w:rPr>
        <w:t>validación</w:t>
      </w:r>
      <w:r>
        <w:t xml:space="preserve"> (elegir k) y al </w:t>
      </w:r>
      <w:r>
        <w:rPr>
          <w:b/>
        </w:rPr>
        <w:t>puente con las anomalías</w:t>
      </w:r>
      <w:r>
        <w:t xml:space="preserve">. Todo método por </w:t>
      </w:r>
      <w:r>
        <w:rPr>
          <w:b/>
        </w:rPr>
        <w:t>distancias</w:t>
      </w:r>
      <w:r>
        <w:t xml:space="preserve"> mide la disimilitud entre dos clientes x e y con la </w:t>
      </w:r>
      <w:r>
        <w:rPr>
          <w:b/>
        </w:rPr>
        <w:t>distancia euclidiana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4476" cy="60682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a9a52ddb360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4476" cy="6068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(1)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que suma las diferencias de </w:t>
      </w:r>
      <w:r>
        <w:rPr>
          <w:b/>
        </w:rPr>
        <w:t>todas</w:t>
      </w:r>
      <w:r>
        <w:t xml:space="preserve"> las variables: si una va en miles (</w:t>
      </w:r>
      <w:r>
        <w:rPr>
          <w:i/>
        </w:rPr>
        <w:t>Monetary</w:t>
      </w:r>
      <w:r>
        <w:t>) y otra en unidades (</w:t>
      </w:r>
      <w:r>
        <w:rPr>
          <w:i/>
        </w:rPr>
        <w:t>Frequency</w:t>
      </w:r>
      <w:r>
        <w:t xml:space="preserve">), la de mayor magnitud </w:t>
      </w:r>
      <w:r>
        <w:rPr>
          <w:b/>
        </w:rPr>
        <w:t>domina</w:t>
      </w:r>
      <w:r>
        <w:t xml:space="preserve"> (1) y borra a las demás — por eso el Paso 2 estandariza. El clustering jerárquico con enlace </w:t>
      </w:r>
      <w:r>
        <w:rPr>
          <w:b/>
        </w:rPr>
        <w:t>Ward</w:t>
      </w:r>
      <w:r>
        <w:t xml:space="preserve"> —el del laboratorio— fusiona en cada paso el par que </w:t>
      </w:r>
      <w:r>
        <w:rPr>
          <w:b/>
        </w:rPr>
        <w:t>menos incrementa la inercia</w:t>
      </w:r>
      <w:r>
        <w:t xml:space="preserve"> (suma de cuadrados intra-cluster, WCSS):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nsolas" w:hAnsi="Consolas"/>
                <w:sz w:val="19"/>
              </w:rPr>
              <w:t>\mathrm{WCSS}=\sum_{k}\sum_{x\in C_k}\lVert x-\mu_k\rVert^2 \qquad (2)</w:t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(2)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donde μ_k es el centroide del cluster C_k; minimizar (2) tiende a segmentos compactos y de tamaño regular. Para elegir </w:t>
      </w:r>
      <w:r>
        <w:rPr>
          <w:b/>
        </w:rPr>
        <w:t>cuántos</w:t>
      </w:r>
      <w:r>
        <w:t xml:space="preserve"> segmentos se usa el </w:t>
      </w:r>
      <w:r>
        <w:rPr>
          <w:b/>
        </w:rPr>
        <w:t>coeficiente de silueta</w:t>
      </w:r>
      <w:r>
        <w:t xml:space="preserve"> de cada punto i,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40774" cy="39069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5189562a4e9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774" cy="3906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(3)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con a(i) = distancia media a su propio cluster (cohesión) y b(i) = distancia media al cluster vecino más cercano (separación); su promedio, acotado en [−1, +1], se </w:t>
      </w:r>
      <w:r>
        <w:rPr>
          <w:b/>
        </w:rPr>
        <w:t>maximiza</w:t>
      </w:r>
      <w:r>
        <w:t xml:space="preserve"> sobre varios k (Paso 3). Finalmente, para </w:t>
      </w:r>
      <w:r>
        <w:rPr>
          <w:b/>
        </w:rPr>
        <w:t>marcar el 1 % de clientes/transacciones más atípicos</w:t>
      </w:r>
      <w:r>
        <w:t xml:space="preserve"> (Paso 4 del laboratorio y el entregable) se usa el </w:t>
      </w:r>
      <w:r>
        <w:rPr>
          <w:b/>
        </w:rPr>
        <w:t>score de Isolation Forest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907"/>
        <w:gridCol w:w="7597"/>
        <w:gridCol w:w="907"/>
      </w:tblGrid>
      <w:tr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/>
        </w:tc>
        <w:tc>
          <w:tcPr>
            <w:tcW w:type="dxa" w:w="759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19250" cy="33250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0cc0cc3014e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250" cy="332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"/>
            <w:tcMar>
              <w:top w:w="30" w:type="dxa"/>
              <w:bottom w:w="30" w:type="dxa"/>
              <w:start w:w="40" w:type="dxa"/>
              <w:end w:w="4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2D2D2D"/>
                <w:sz w:val="21"/>
              </w:rPr>
              <w:t>(4)</w:t>
            </w:r>
          </w:p>
        </w:tc>
      </w:tr>
    </w:tbl>
    <w:p>
      <w:pPr>
        <w:spacing w:after="40"/>
      </w:pPr>
    </w:p>
    <w:p>
      <w:pPr>
        <w:jc w:val="both"/>
      </w:pPr>
      <w:r>
        <w:t xml:space="preserve">donde E(h(x)) es la longitud de camino promedio para aislar x en los árboles y c(n) su normalización: un score (4) cercano a </w:t>
      </w:r>
      <w:r>
        <w:rPr>
          <w:b/>
        </w:rPr>
        <w:t>1</w:t>
      </w:r>
      <w:r>
        <w:t xml:space="preserve"> señala un punto que se aísla en pocos cortes (anómalo), y cercano a </w:t>
      </w:r>
      <w:r>
        <w:rPr>
          <w:b/>
        </w:rPr>
        <w:t>0</w:t>
      </w:r>
      <w:r>
        <w:t xml:space="preserve"> un punto normal. Isolation Forest </w:t>
      </w:r>
      <w:r>
        <w:rPr>
          <w:b/>
        </w:rPr>
        <w:t>no</w:t>
      </w:r>
      <w:r>
        <w:t xml:space="preserve"> usa (1): parte por cortes aleatorios, así que es </w:t>
      </w:r>
      <w:r>
        <w:rPr>
          <w:b/>
        </w:rPr>
        <w:t>insensible a la escala</w:t>
      </w:r>
      <w:r>
        <w:t xml:space="preserve"> (a diferencia del jerárquico, DBSCAN y la silueta (3)).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Lectura de las fórmulas en negocio.</w:t>
      </w:r>
      <w:r>
        <w:rPr>
          <w:color w:val="2D2D2D"/>
        </w:rPr>
        <w:t xml:space="preserve"> (1) es «cuán distintos son dos clientes al sumar todas sus diferencias»; (2) es «segmentos internamente parecidos»; (3) traduce «¿está bien puesto este cliente en su grupo?» a un número entre −1 y 1; (4) es «¿con qué facilidad se separa a este cliente del resto?» → su rareza. Desarrollo de cada decisión en la guía de supuestos de la sesión.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Paso 1 — Calcular R, F, M por cliente</w:t>
      </w:r>
    </w:p>
    <w:p>
      <w:pPr>
        <w:jc w:val="both"/>
      </w:pPr>
      <w:r>
        <w:t xml:space="preserve">Datos de partida (muestra de </w:t>
      </w:r>
      <w:r>
        <w:rPr>
          <w:rFonts w:ascii="Consolas" w:hAnsi="Consolas"/>
          <w:color w:val="9B1B30"/>
          <w:sz w:val="19"/>
        </w:rPr>
        <w:t>data/online_retail_II_muestra.csv</w:t>
      </w:r>
      <w:r>
        <w:t xml:space="preserve">, ya limpia: sin cancelaciones, sin </w:t>
      </w:r>
      <w:r>
        <w:rPr>
          <w:rFonts w:ascii="Consolas" w:hAnsi="Consolas"/>
          <w:color w:val="9B1B30"/>
          <w:sz w:val="19"/>
        </w:rPr>
        <w:t>Quantity</w:t>
      </w:r>
      <w:r>
        <w:t>/</w:t>
      </w:r>
      <w:r>
        <w:rPr>
          <w:rFonts w:ascii="Consolas" w:hAnsi="Consolas"/>
          <w:color w:val="9B1B30"/>
          <w:sz w:val="19"/>
        </w:rPr>
        <w:t>Price</w:t>
      </w:r>
      <w:r>
        <w:t xml:space="preserve"> ≤ 0, sin clientes nulos). Se agrega </w:t>
      </w:r>
      <w:r>
        <w:rPr>
          <w:b/>
        </w:rPr>
        <w:t>por `Customer ID`</w:t>
      </w:r>
      <w: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Definición operativa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Cálculo desde las columnas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Lectura (mejor cliente)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Recency (R)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Días desde la </w:t>
            </w:r>
            <w:r>
              <w:rPr>
                <w:b/>
                <w:sz w:val="19"/>
              </w:rPr>
              <w:t>última compra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fecha_ref − max(InvoiceDate)</w:t>
            </w:r>
            <w:r>
              <w:rPr>
                <w:sz w:val="19"/>
              </w:rPr>
              <w:t xml:space="preserve"> por cliente, en días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Menor</w:t>
            </w:r>
            <w:r>
              <w:rPr>
                <w:sz w:val="19"/>
              </w:rPr>
              <w:t xml:space="preserve"> = compró hace poco (activo)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Frequency (F)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Nº de </w:t>
            </w:r>
            <w:r>
              <w:rPr>
                <w:b/>
                <w:sz w:val="19"/>
              </w:rPr>
              <w:t>compras/pedidos</w:t>
            </w:r>
            <w:r>
              <w:rPr>
                <w:sz w:val="19"/>
              </w:rPr>
              <w:t xml:space="preserve"> en el periodo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Nº de valores </w:t>
            </w:r>
            <w:r>
              <w:rPr>
                <w:b/>
                <w:sz w:val="19"/>
              </w:rPr>
              <w:t>distintos</w:t>
            </w:r>
            <w:r>
              <w:rPr>
                <w:sz w:val="19"/>
              </w:rPr>
              <w:t xml:space="preserve"> de </w:t>
            </w:r>
            <w:r>
              <w:rPr>
                <w:rFonts w:ascii="Consolas" w:hAnsi="Consolas"/>
                <w:color w:val="9B1B30"/>
                <w:sz w:val="19"/>
              </w:rPr>
              <w:t>Invoice</w:t>
            </w:r>
            <w:r>
              <w:rPr>
                <w:sz w:val="19"/>
              </w:rPr>
              <w:t xml:space="preserve"> por cliente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Mayor</w:t>
            </w:r>
            <w:r>
              <w:rPr>
                <w:sz w:val="19"/>
              </w:rPr>
              <w:t xml:space="preserve"> = compra seguido</w:t>
            </w:r>
          </w:p>
        </w:tc>
      </w:tr>
      <w:tr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Monetary (M)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Gasto total</w:t>
            </w:r>
            <w:r>
              <w:rPr>
                <w:sz w:val="19"/>
              </w:rPr>
              <w:t xml:space="preserve"> en el periodo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Σ (Quantity × Price)</w:t>
            </w:r>
            <w:r>
              <w:rPr>
                <w:sz w:val="19"/>
              </w:rPr>
              <w:t xml:space="preserve"> = </w:t>
            </w:r>
            <w:r>
              <w:rPr>
                <w:rFonts w:ascii="Consolas" w:hAnsi="Consolas"/>
                <w:color w:val="9B1B30"/>
                <w:sz w:val="19"/>
              </w:rPr>
              <w:t>Σ Amount</w:t>
            </w:r>
            <w:r>
              <w:rPr>
                <w:sz w:val="19"/>
              </w:rPr>
              <w:t xml:space="preserve"> por cliente</w:t>
            </w:r>
          </w:p>
        </w:tc>
        <w:tc>
          <w:tcPr>
            <w:tcW w:type="dxa" w:w="243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Mayor</w:t>
            </w:r>
            <w:r>
              <w:rPr>
                <w:sz w:val="19"/>
              </w:rPr>
              <w:t xml:space="preserve"> = gasta más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Fecha de referencia (`fecha_ref`).</w:t>
      </w:r>
      <w:r>
        <w:rPr>
          <w:color w:val="2D2D2D"/>
        </w:rPr>
        <w:t xml:space="preserve"> Como el histórico es cerrado, se fija en </w:t>
      </w:r>
      <w:r>
        <w:rPr>
          <w:b/>
          <w:color w:val="2D2D2D"/>
        </w:rPr>
        <w:t>la fecha máxima del dataset + 1 día</w:t>
      </w:r>
      <w:r>
        <w:rPr>
          <w:color w:val="2D2D2D"/>
        </w:rPr>
        <w:t xml:space="preserve"> (para que nadie tenga Recency = 0). Anotar la fecha usada — cambia todos los valores de R.</w:t>
      </w:r>
    </w:p>
    <w:p>
      <w:pPr>
        <w:jc w:val="both"/>
      </w:pPr>
      <w:r>
        <w:rPr>
          <w:b/>
        </w:rPr>
        <w:t>Regla de signo importante para leer la tabla:</w:t>
      </w:r>
      <w:r>
        <w:t xml:space="preserve"> en R </w:t>
      </w:r>
      <w:r>
        <w:rPr>
          <w:b/>
        </w:rPr>
        <w:t>menor es mejor</w:t>
      </w:r>
      <w:r>
        <w:t xml:space="preserve">; en F y M </w:t>
      </w:r>
      <w:r>
        <w:rPr>
          <w:b/>
        </w:rPr>
        <w:t>mayor es mejor</w:t>
      </w:r>
      <w:r>
        <w:t xml:space="preserve">. Al estandarizar (paso 2) esto se conserva, así que un segmento con </w:t>
      </w:r>
      <w:r>
        <w:rPr>
          <w:b/>
        </w:rPr>
        <w:t>z(R) negativo</w:t>
      </w:r>
      <w:r>
        <w:t xml:space="preserve"> y </w:t>
      </w:r>
      <w:r>
        <w:rPr>
          <w:b/>
        </w:rPr>
        <w:t>z(F), z(M) positivos</w:t>
      </w:r>
      <w:r>
        <w:t xml:space="preserve"> es el segmento "bueno".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REGISTRO DEL CÁLCULO (A COMPLETAR):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Nº de clientes tras agregar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rFonts w:ascii="Consolas" w:hAnsi="Consolas"/>
                <w:color w:val="9B1B30"/>
                <w:sz w:val="19"/>
              </w:rPr>
              <w:t>fecha_ref</w:t>
            </w:r>
            <w:r>
              <w:rPr>
                <w:sz w:val="19"/>
              </w:rPr>
              <w:t xml:space="preserve"> usada (DD/MM/YYYY)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Ventana temporal del dataset (min–max </w:t>
            </w:r>
            <w:r>
              <w:rPr>
                <w:rFonts w:ascii="Consolas" w:hAnsi="Consolas"/>
                <w:color w:val="9B1B30"/>
                <w:sz w:val="19"/>
              </w:rPr>
              <w:t>InvoiceDate</w:t>
            </w:r>
            <w:r>
              <w:rPr>
                <w:sz w:val="19"/>
              </w:rPr>
              <w:t>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¿Se aplicó la limpieza (sin facturas </w:t>
            </w:r>
            <w:r>
              <w:rPr>
                <w:rFonts w:ascii="Consolas" w:hAnsi="Consolas"/>
                <w:color w:val="9B1B30"/>
                <w:sz w:val="19"/>
              </w:rPr>
              <w:t>C</w:t>
            </w:r>
            <w:r>
              <w:rPr>
                <w:sz w:val="19"/>
              </w:rPr>
              <w:t xml:space="preserve">, sin </w:t>
            </w:r>
            <w:r>
              <w:rPr>
                <w:rFonts w:ascii="Consolas" w:hAnsi="Consolas"/>
                <w:color w:val="9B1B30"/>
                <w:sz w:val="19"/>
              </w:rPr>
              <w:t>Quantity</w:t>
            </w:r>
            <w:r>
              <w:rPr>
                <w:sz w:val="19"/>
              </w:rPr>
              <w:t>/</w:t>
            </w:r>
            <w:r>
              <w:rPr>
                <w:rFonts w:ascii="Consolas" w:hAnsi="Consolas"/>
                <w:color w:val="9B1B30"/>
                <w:sz w:val="19"/>
              </w:rPr>
              <w:t>Price</w:t>
            </w:r>
            <w:r>
              <w:rPr>
                <w:sz w:val="19"/>
              </w:rPr>
              <w:t xml:space="preserve"> ≤ 0)?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Sí / No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Paso 2 — Estandarizar (obligatorio antes de clusterizar)</w:t>
      </w:r>
    </w:p>
    <w:p>
      <w:pPr>
        <w:jc w:val="both"/>
      </w:pPr>
      <w:r>
        <w:t xml:space="preserve">Las tres variables van a </w:t>
      </w:r>
      <w:r>
        <w:rPr>
          <w:b/>
        </w:rPr>
        <w:t>escalas distintas</w:t>
      </w:r>
      <w:r>
        <w:t xml:space="preserve"> (R en días, F en unidades, M en libras). Los métodos por distancias (jerárquico, DBSCAN, silueta) </w:t>
      </w:r>
      <w:r>
        <w:rPr>
          <w:b/>
        </w:rPr>
        <w:t>dan todo el peso a la variable de mayor magnitud</w:t>
      </w:r>
      <w:r>
        <w:t xml:space="preserve"> en la distancia (1) si no se estandariza: sin escalar, la segmentación reflejaría las </w:t>
      </w:r>
      <w:r>
        <w:rPr>
          <w:b/>
        </w:rPr>
        <w:t>unidades de *Monetary</w:t>
      </w:r>
      <w:r>
        <w:rPr>
          <w:i/>
        </w:rPr>
        <w:t xml:space="preserve">, no el comportamiento. Se lleva cada variable a </w:t>
      </w:r>
      <w:r>
        <w:rPr>
          <w:i/>
        </w:rPr>
        <w:t>media 0 y varianza 1</w:t>
      </w:r>
      <w:r>
        <w:t xml:space="preserve">* con </w:t>
      </w:r>
      <w:r>
        <w:rPr>
          <w:rFonts w:ascii="Consolas" w:hAnsi="Consolas"/>
          <w:color w:val="9B1B30"/>
          <w:sz w:val="19"/>
        </w:rPr>
        <w:t>StandardScaler</w:t>
      </w:r>
      <w:r>
        <w:t xml:space="preserve"> (</w:t>
      </w:r>
      <w:r>
        <w:rPr>
          <w:rFonts w:ascii="Consolas" w:hAnsi="Consolas"/>
          <w:color w:val="9B1B30"/>
          <w:sz w:val="19"/>
        </w:rPr>
        <w:t>sklearn.preprocessing</w:t>
      </w:r>
      <w:r>
        <w:t>).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Cuando </w:t>
      </w:r>
      <w:r>
        <w:rPr>
          <w:i/>
          <w:color w:val="2D2D2D"/>
        </w:rPr>
        <w:t>Monetary</w:t>
      </w:r>
      <w:r>
        <w:rPr>
          <w:color w:val="2D2D2D"/>
        </w:rPr>
        <w:t xml:space="preserve"> está muy sesgado (colas largas: pocos clientes concentran casi todo el gasto), conviene además una </w:t>
      </w:r>
      <w:r>
        <w:rPr>
          <w:b/>
          <w:color w:val="2D2D2D"/>
        </w:rPr>
        <w:t>transformación log</w:t>
      </w:r>
      <w:r>
        <w:rPr>
          <w:color w:val="2D2D2D"/>
        </w:rPr>
        <w:t xml:space="preserve"> de M </w:t>
      </w:r>
      <w:r>
        <w:rPr>
          <w:b/>
          <w:color w:val="2D2D2D"/>
        </w:rPr>
        <w:t>antes</w:t>
      </w:r>
      <w:r>
        <w:rPr>
          <w:color w:val="2D2D2D"/>
        </w:rPr>
        <w:t xml:space="preserve"> de estandarizar, para que unos pocos grandes compradores no dominen la distancia. Documentar si se aplicó.</w:t>
      </w:r>
    </w:p>
    <w:p>
      <w:pPr>
        <w:pStyle w:val="ListBullet"/>
        <w:spacing w:after="40"/>
      </w:pPr>
      <w:r>
        <w:t>[ ] R, F, M estandarizadas (</w:t>
      </w:r>
      <w:r>
        <w:rPr>
          <w:rFonts w:ascii="Consolas" w:hAnsi="Consolas"/>
          <w:color w:val="9B1B30"/>
          <w:sz w:val="19"/>
        </w:rPr>
        <w:t>StandardScaler</w:t>
      </w:r>
      <w:r>
        <w:t xml:space="preserve">) → matriz </w:t>
      </w:r>
      <w:r>
        <w:rPr>
          <w:rFonts w:ascii="Consolas" w:hAnsi="Consolas"/>
          <w:color w:val="9B1B30"/>
          <w:sz w:val="19"/>
        </w:rPr>
        <w:t>Xs</w:t>
      </w:r>
      <w:r>
        <w:t xml:space="preserve"> para clusterizar.</w:t>
      </w:r>
    </w:p>
    <w:p>
      <w:pPr>
        <w:pStyle w:val="ListBullet"/>
        <w:spacing w:after="40"/>
      </w:pPr>
      <w:r>
        <w:t xml:space="preserve">[ ] (Opcional) </w:t>
      </w:r>
      <w:r>
        <w:rPr>
          <w:rFonts w:ascii="Consolas" w:hAnsi="Consolas"/>
          <w:color w:val="9B1B30"/>
          <w:sz w:val="19"/>
        </w:rPr>
        <w:t>log1p</w:t>
      </w:r>
      <w:r>
        <w:t xml:space="preserve"> sobre </w:t>
      </w:r>
      <w:r>
        <w:rPr>
          <w:i/>
        </w:rPr>
        <w:t>Monetary</w:t>
      </w:r>
      <w:r>
        <w:t xml:space="preserve"> (y/o </w:t>
      </w:r>
      <w:r>
        <w:rPr>
          <w:i/>
        </w:rPr>
        <w:t>Frequency</w:t>
      </w:r>
      <w:r>
        <w:t>) antes de escalar — anotar si se usó.</w:t>
      </w:r>
    </w:p>
    <w:p>
      <w:pPr>
        <w:pStyle w:val="ListBullet"/>
        <w:spacing w:after="40"/>
      </w:pPr>
      <w:r>
        <w:t xml:space="preserve">[ ] Se guardan </w:t>
      </w:r>
      <w:r>
        <w:rPr>
          <w:b/>
        </w:rPr>
        <w:t>también</w:t>
      </w:r>
      <w:r>
        <w:t xml:space="preserve"> los valores </w:t>
      </w:r>
      <w:r>
        <w:rPr>
          <w:b/>
        </w:rPr>
        <w:t>originales</w:t>
      </w:r>
      <w:r>
        <w:t xml:space="preserve"> (días, nº de pedidos, libras): las fichas de segmento se reportan en unidades de negocio, </w:t>
      </w:r>
      <w:r>
        <w:rPr>
          <w:b/>
        </w:rPr>
        <w:t>nunca</w:t>
      </w:r>
      <w:r>
        <w:t xml:space="preserve"> en z-scores.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Paso 3 — Segmentar y elegir el número de clusters</w:t>
      </w:r>
    </w:p>
    <w:p>
      <w:pPr>
        <w:jc w:val="both"/>
      </w:pPr>
      <w:r>
        <w:t xml:space="preserve">Se agrupa sobre </w:t>
      </w:r>
      <w:r>
        <w:rPr>
          <w:rFonts w:ascii="Consolas" w:hAnsi="Consolas"/>
          <w:color w:val="9B1B30"/>
          <w:sz w:val="19"/>
        </w:rPr>
        <w:t>Xs</w:t>
      </w:r>
      <w:r>
        <w:t xml:space="preserve"> con </w:t>
      </w:r>
      <w:r>
        <w:rPr>
          <w:b/>
        </w:rPr>
        <w:t>clustering jerárquico (Ward)</w:t>
      </w:r>
      <w:r>
        <w:t xml:space="preserve"> y/o </w:t>
      </w:r>
      <w:r>
        <w:rPr>
          <w:b/>
        </w:rPr>
        <w:t>DBSCAN</w:t>
      </w:r>
      <w:r>
        <w:t xml:space="preserve">, y se decide </w:t>
      </w:r>
      <w:r>
        <w:rPr>
          <w:i/>
        </w:rPr>
        <w:t>k</w:t>
      </w:r>
      <w:r>
        <w:t xml:space="preserve"> con evidencia, no por inspección visual: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1.  </w:t>
      </w:r>
      <w:r>
        <w:rPr>
          <w:b/>
        </w:rPr>
        <w:t>Dendrograma</w:t>
      </w:r>
      <w:r>
        <w:t xml:space="preserve"> (jerárquico, enlace Ward): cortar donde hay un </w:t>
      </w:r>
      <w:r>
        <w:rPr>
          <w:b/>
        </w:rPr>
        <w:t>salto de altura</w:t>
      </w:r>
      <w:r>
        <w:t xml:space="preserve"> grande (tramo vertical largo sin fusiones). El nº de ramas que cruza la línea de corte = nº de segmentos.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2.  </w:t>
      </w:r>
      <w:r>
        <w:rPr>
          <w:b/>
        </w:rPr>
        <w:t>Silueta media vs. k</w:t>
      </w:r>
      <w:r>
        <w:t xml:space="preserve"> (3): correr varios </w:t>
      </w:r>
      <w:r>
        <w:rPr>
          <w:i/>
        </w:rPr>
        <w:t>k</w:t>
      </w:r>
      <w:r>
        <w:t xml:space="preserve"> (o varios cortes) y quedarse con el que </w:t>
      </w:r>
      <w:r>
        <w:rPr>
          <w:b/>
        </w:rPr>
        <w:t>maximiza</w:t>
      </w:r>
      <w:r>
        <w:t xml:space="preserve"> la silueta media; complementa al dendrograma y al criterio de negocio. Bandas orientativas: </w:t>
      </w:r>
      <w:r>
        <w:rPr>
          <w:b/>
        </w:rPr>
        <w:t>0.5–0.7</w:t>
      </w:r>
      <w:r>
        <w:t xml:space="preserve"> estructura razonable; </w:t>
      </w:r>
      <w:r>
        <w:rPr>
          <w:b/>
        </w:rPr>
        <w:t>≤ 0.25</w:t>
      </w:r>
      <w:r>
        <w:t xml:space="preserve"> sin estructura convincente. </w:t>
      </w:r>
      <w:r>
        <w:rPr>
          <w:i/>
        </w:rPr>
        <w:t>(En RFM es normal ver siluetas ~0.3–0.35: los segmentos existen pero se solapan; ver `notebook/S07_clustering_anomalias.ipynb`.)</w:t>
      </w:r>
      <w:r>
        <w:t xml:space="preserve"> La silueta es un </w:t>
      </w:r>
      <w:r>
        <w:rPr>
          <w:b/>
        </w:rPr>
        <w:t>estimador con incertidumbre</w:t>
      </w:r>
      <w:r>
        <w:t xml:space="preserve">: cuando la curva es casi plana, la diferencia entre </w:t>
      </w:r>
      <w:r>
        <w:rPr>
          <w:i/>
        </w:rPr>
        <w:t>k</w:t>
      </w:r>
      <w:r>
        <w:t xml:space="preserve"> contiguos suele caer dentro de su </w:t>
      </w:r>
      <w:r>
        <w:rPr>
          <w:b/>
        </w:rPr>
        <w:t>banda de estabilidad</w:t>
      </w:r>
      <w:r>
        <w:t xml:space="preserve"> (bootstrap/submuestreo), así que no se decide por un valor a cuatro decimales, sino por su cruce con el negocio.</w:t>
      </w:r>
    </w:p>
    <w:p>
      <w:pPr>
        <w:spacing w:after="40"/>
        <w:ind w:left="425" w:hanging="312"/>
        <w:jc w:val="both"/>
      </w:pPr>
      <w:r>
        <w:rPr>
          <w:b/>
          <w:color w:val="E4002B"/>
        </w:rPr>
        <w:t xml:space="preserve">3.  </w:t>
      </w:r>
      <w:r>
        <w:rPr>
          <w:b/>
        </w:rPr>
        <w:t>DBSCAN</w:t>
      </w:r>
      <w:r>
        <w:t xml:space="preserve"> (alternativa por densidad): fijar </w:t>
      </w:r>
      <w:r>
        <w:rPr>
          <w:rFonts w:ascii="Consolas" w:hAnsi="Consolas"/>
          <w:color w:val="9B1B30"/>
          <w:sz w:val="19"/>
        </w:rPr>
        <w:t>eps</w:t>
      </w:r>
      <w:r>
        <w:t xml:space="preserve"> con el gráfico de k-distancia — ver </w:t>
      </w:r>
      <w:r>
        <w:rPr>
          <w:rFonts w:ascii="Consolas" w:hAnsi="Consolas"/>
          <w:color w:val="9B1B30"/>
          <w:sz w:val="19"/>
        </w:rPr>
        <w:t>plantillas/guia_eps_dbscan.docx</w:t>
      </w:r>
      <w:r>
        <w:t xml:space="preserve">. Recordar que la etiqueta </w:t>
      </w:r>
      <w:r>
        <w:rPr>
          <w:b/>
        </w:rPr>
        <w:t>−1 = ruido</w:t>
      </w:r>
      <w:r>
        <w:t>, no un cluster.</w:t>
      </w: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La silueta </w:t>
      </w:r>
      <w:r>
        <w:rPr>
          <w:b/>
          <w:color w:val="2D2D2D"/>
        </w:rPr>
        <w:t>informa</w:t>
      </w:r>
      <w:r>
        <w:rPr>
          <w:color w:val="2D2D2D"/>
        </w:rPr>
        <w:t xml:space="preserve">, no decide sola: a veces </w:t>
      </w:r>
      <w:r>
        <w:rPr>
          <w:i/>
          <w:color w:val="2D2D2D"/>
        </w:rPr>
        <w:t>k</w:t>
      </w:r>
      <w:r>
        <w:rPr>
          <w:color w:val="2D2D2D"/>
        </w:rPr>
        <w:t xml:space="preserve">=2 da la silueta más alta pero </w:t>
      </w:r>
      <w:r>
        <w:rPr>
          <w:b/>
          <w:color w:val="2D2D2D"/>
        </w:rPr>
        <w:t>4 segmentos</w:t>
      </w:r>
      <w:r>
        <w:rPr>
          <w:color w:val="2D2D2D"/>
        </w:rPr>
        <w:t xml:space="preserve"> son más accionables para marketing. El número final concilia silueta + dendrograma + utilidad de negocio.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REGISTRO DE LA ELECCIÓN (A COMPLETAR):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4873"/>
        <w:gridCol w:w="4873"/>
      </w:tblGrid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Método (Ward / DBSCAN / ambos)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Silueta media por k probado (k=2, 3, 4, 5…)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 elegido</w:t>
            </w:r>
            <w:r>
              <w:rPr>
                <w:sz w:val="19"/>
              </w:rPr>
              <w:t xml:space="preserve"> y por qué (silueta / salto del dendrograma / negocio)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Si DBSCAN: </w:t>
            </w:r>
            <w:r>
              <w:rPr>
                <w:rFonts w:ascii="Consolas" w:hAnsi="Consolas"/>
                <w:color w:val="9B1B30"/>
                <w:sz w:val="19"/>
              </w:rPr>
              <w:t>eps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9B1B30"/>
                <w:sz w:val="19"/>
              </w:rPr>
              <w:t>min_samples</w:t>
            </w:r>
            <w:r>
              <w:rPr>
                <w:sz w:val="19"/>
              </w:rPr>
              <w:t>, nº clusters, % de ruido (−1)</w:t>
            </w:r>
          </w:p>
        </w:tc>
        <w:tc>
          <w:tcPr>
            <w:tcW w:type="dxa" w:w="4873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Paso 4 — Perfilar cada segmento (tabla de perfilamiento)</w:t>
      </w:r>
    </w:p>
    <w:p>
      <w:pPr>
        <w:jc w:val="both"/>
      </w:pPr>
      <w:r>
        <w:t xml:space="preserve">Para cada cluster se calcula su </w:t>
      </w:r>
      <w:r>
        <w:rPr>
          <w:b/>
        </w:rPr>
        <w:t>tamaño</w:t>
      </w:r>
      <w:r>
        <w:t xml:space="preserve"> y el </w:t>
      </w:r>
      <w:r>
        <w:rPr>
          <w:b/>
        </w:rPr>
        <w:t>valor típico</w:t>
      </w:r>
      <w:r>
        <w:t xml:space="preserve"> de cada variable RFM </w:t>
      </w:r>
      <w:r>
        <w:rPr>
          <w:b/>
        </w:rPr>
        <w:t>en unidades de negocio</w:t>
      </w:r>
      <w:r>
        <w:t xml:space="preserve">, comparado con el promedio global; a partir de ahí se </w:t>
      </w:r>
      <w:r>
        <w:rPr>
          <w:b/>
        </w:rPr>
        <w:t>nombra</w:t>
      </w:r>
      <w:r>
        <w:t xml:space="preserve"> el segmento y se le asigna una acción (que se detalla en </w:t>
      </w:r>
      <w:r>
        <w:rPr>
          <w:rFonts w:ascii="Consolas" w:hAnsi="Consolas"/>
          <w:color w:val="9B1B30"/>
          <w:sz w:val="19"/>
        </w:rPr>
        <w:t>plantillas/fichas_segmento.docx</w:t>
      </w:r>
      <w:r>
        <w:t>).</w:t>
      </w:r>
    </w:p>
    <w:p>
      <w:pPr>
        <w:keepNext/>
        <w:spacing w:before="140" w:after="20"/>
      </w:pPr>
      <w:r>
        <w:rPr>
          <w:b/>
          <w:color w:val="9B1B30"/>
          <w:sz w:val="19"/>
          <w:spacing w:val="16"/>
        </w:rPr>
        <w:t>REGLAS DE LECTURA:</w:t>
      </w:r>
    </w:p>
    <w:p>
      <w:pPr>
        <w:pStyle w:val="ListBullet"/>
        <w:spacing w:after="40"/>
      </w:pPr>
      <w:r>
        <w:t xml:space="preserve">Reportar </w:t>
      </w:r>
      <w:r>
        <w:rPr>
          <w:b/>
        </w:rPr>
        <w:t>días, nº de pedidos y libras</w:t>
      </w:r>
      <w:r>
        <w:t>, no z-scores (el z-score sirve para clusterizar; la ficha de la sesión se lee en unidades reales).</w:t>
      </w:r>
    </w:p>
    <w:p>
      <w:pPr>
        <w:pStyle w:val="ListBullet"/>
        <w:spacing w:after="40"/>
      </w:pPr>
      <w:r>
        <w:t xml:space="preserve">Usar la </w:t>
      </w:r>
      <w:r>
        <w:rPr>
          <w:b/>
        </w:rPr>
        <w:t>mediana</w:t>
      </w:r>
      <w:r>
        <w:t xml:space="preserve"> (no la media) cuando la variable tiene </w:t>
      </w:r>
      <w:r>
        <w:rPr>
          <w:b/>
        </w:rPr>
        <w:t>colas largas</w:t>
      </w:r>
      <w:r>
        <w:t xml:space="preserve"> —</w:t>
      </w:r>
      <w:r>
        <w:rPr>
          <w:i/>
        </w:rPr>
        <w:t>Monetary</w:t>
      </w:r>
      <w:r>
        <w:t xml:space="preserve"> casi siempre—: describe mejor al cliente típico.</w:t>
      </w:r>
    </w:p>
    <w:p>
      <w:pPr>
        <w:pStyle w:val="ListBullet"/>
        <w:spacing w:after="40"/>
      </w:pPr>
      <w:r>
        <w:t xml:space="preserve">La </w:t>
      </w:r>
      <w:r>
        <w:rPr>
          <w:b/>
        </w:rPr>
        <w:t>distancia del segmento respecto al promedio global</w:t>
      </w:r>
      <w:r>
        <w:t xml:space="preserve"> en cada variable señala </w:t>
      </w:r>
      <w:r>
        <w:rPr>
          <w:b/>
        </w:rPr>
        <w:t>qué palanca accionar</w:t>
      </w:r>
      <w:r>
        <w:t>.</w:t>
      </w:r>
    </w:p>
    <w:p>
      <w:pPr>
        <w:pStyle w:val="ListBullet"/>
        <w:spacing w:after="40"/>
      </w:pPr>
      <w:r>
        <w:t xml:space="preserve">El </w:t>
      </w:r>
      <w:r>
        <w:rPr>
          <w:b/>
        </w:rPr>
        <w:t>tamaño</w:t>
      </w:r>
      <w:r>
        <w:t xml:space="preserve"> del segmento pondera la prioridad: un segmento del 1 % no justifica una campaña cara.</w:t>
      </w:r>
    </w:p>
    <w:p>
      <w:pPr>
        <w:pStyle w:val="ListBullet"/>
        <w:spacing w:after="40"/>
      </w:pPr>
      <w:r>
        <w:t xml:space="preserve">Cada </w:t>
      </w:r>
      <w:r>
        <w:rPr>
          <w:b/>
        </w:rPr>
        <w:t>nombre</w:t>
      </w:r>
      <w:r>
        <w:t xml:space="preserve"> debe estar respaldado por la tabla, nunca por intuición.</w:t>
      </w:r>
    </w:p>
    <w:p>
      <w:pPr>
        <w:keepNext/>
        <w:spacing w:before="180" w:after="60"/>
      </w:pPr>
      <w:r>
        <w:rPr>
          <w:b/>
          <w:color w:val="9B1B30"/>
          <w:sz w:val="25"/>
        </w:rPr>
        <w:t>Tabla de perfilamiento (a completar)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Segmento (cluster_id)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Nº clientes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% clientes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R (mediana, días)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 (mediana, nº pedidos)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M (mediana, £)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% del ingreso total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Interpretación / nombre</w:t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(−1 ruido, si DBSCAN)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Candidatos a atípico — revisar</w:t>
            </w:r>
          </w:p>
        </w:tc>
      </w:tr>
      <w:tr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Global (referencia)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100 %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100 %</w:t>
            </w:r>
          </w:p>
        </w:tc>
        <w:tc>
          <w:tcPr>
            <w:tcW w:type="dxa" w:w="1218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Promedio de toda la base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% del ingreso total</w:t>
      </w:r>
      <w:r>
        <w:rPr>
          <w:color w:val="2D2D2D"/>
        </w:rPr>
        <w:t xml:space="preserve"> = suma de </w:t>
      </w:r>
      <w:r>
        <w:rPr>
          <w:i/>
          <w:color w:val="2D2D2D"/>
        </w:rPr>
        <w:t>Monetary</w:t>
      </w:r>
      <w:r>
        <w:rPr>
          <w:color w:val="2D2D2D"/>
        </w:rPr>
        <w:t xml:space="preserve"> del segmento ÷ suma de </w:t>
      </w:r>
      <w:r>
        <w:rPr>
          <w:i/>
          <w:color w:val="2D2D2D"/>
        </w:rPr>
        <w:t>Monetary</w:t>
      </w:r>
      <w:r>
        <w:rPr>
          <w:color w:val="2D2D2D"/>
        </w:rPr>
        <w:t xml:space="preserve"> de todos los clientes. Revela si un segmento </w:t>
      </w:r>
      <w:r>
        <w:rPr>
          <w:b/>
          <w:color w:val="2D2D2D"/>
        </w:rPr>
        <w:t>pequeño en nº</w:t>
      </w:r>
      <w:r>
        <w:rPr>
          <w:color w:val="2D2D2D"/>
        </w:rPr>
        <w:t xml:space="preserve"> concentra la mayor parte del ingreso (típico de los "Campeones"): es la columna que prioriza el presupuesto.</w:t>
      </w:r>
    </w:p>
    <w:p>
      <w:pPr>
        <w:keepNext/>
        <w:spacing w:before="180" w:after="60"/>
      </w:pPr>
      <w:r>
        <w:rPr>
          <w:b/>
          <w:color w:val="9B1B30"/>
          <w:sz w:val="25"/>
        </w:rPr>
        <w:t>Guía de nombres por patrón RFM (arquetipos)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Patrón (respecto al promedio)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Nombre sugerido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Palanca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 </w:t>
            </w:r>
            <w:r>
              <w:rPr>
                <w:b/>
                <w:sz w:val="19"/>
              </w:rPr>
              <w:t>baja</w:t>
            </w:r>
            <w:r>
              <w:rPr>
                <w:sz w:val="19"/>
              </w:rPr>
              <w:t xml:space="preserve"> + F </w:t>
            </w:r>
            <w:r>
              <w:rPr>
                <w:b/>
                <w:sz w:val="19"/>
              </w:rPr>
              <w:t>alta</w:t>
            </w:r>
            <w:r>
              <w:rPr>
                <w:sz w:val="19"/>
              </w:rPr>
              <w:t xml:space="preserve"> + M </w:t>
            </w:r>
            <w:r>
              <w:rPr>
                <w:b/>
                <w:sz w:val="19"/>
              </w:rPr>
              <w:t>alto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Campeones / VIP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Retener, fidelizar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 </w:t>
            </w:r>
            <w:r>
              <w:rPr>
                <w:b/>
                <w:sz w:val="19"/>
              </w:rPr>
              <w:t>alta</w:t>
            </w:r>
            <w:r>
              <w:rPr>
                <w:sz w:val="19"/>
              </w:rPr>
              <w:t xml:space="preserve"> (hace mucho no compran) + F/M que </w:t>
            </w:r>
            <w:r>
              <w:rPr>
                <w:b/>
                <w:sz w:val="19"/>
              </w:rPr>
              <w:t>fueron</w:t>
            </w:r>
            <w:r>
              <w:rPr>
                <w:sz w:val="19"/>
              </w:rPr>
              <w:t xml:space="preserve"> altos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En riesgo de fuga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Reactivación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 </w:t>
            </w:r>
            <w:r>
              <w:rPr>
                <w:b/>
                <w:sz w:val="19"/>
              </w:rPr>
              <w:t>baja</w:t>
            </w:r>
            <w:r>
              <w:rPr>
                <w:sz w:val="19"/>
              </w:rPr>
              <w:t xml:space="preserve"> + F </w:t>
            </w:r>
            <w:r>
              <w:rPr>
                <w:b/>
                <w:sz w:val="19"/>
              </w:rPr>
              <w:t>baja</w:t>
            </w:r>
            <w:r>
              <w:rPr>
                <w:sz w:val="19"/>
              </w:rPr>
              <w:t xml:space="preserve"> + M </w:t>
            </w:r>
            <w:r>
              <w:rPr>
                <w:b/>
                <w:sz w:val="19"/>
              </w:rPr>
              <w:t>bajo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Nuevos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Onboarding, segunda compra</w:t>
            </w:r>
          </w:p>
        </w:tc>
      </w:tr>
      <w:tr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 </w:t>
            </w:r>
            <w:r>
              <w:rPr>
                <w:b/>
                <w:sz w:val="19"/>
              </w:rPr>
              <w:t>alta</w:t>
            </w:r>
            <w:r>
              <w:rPr>
                <w:sz w:val="19"/>
              </w:rPr>
              <w:t xml:space="preserve"> + todo </w:t>
            </w:r>
            <w:r>
              <w:rPr>
                <w:b/>
                <w:sz w:val="19"/>
              </w:rPr>
              <w:t>bajo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En hibernación / perdidos</w:t>
            </w:r>
          </w:p>
        </w:tc>
        <w:tc>
          <w:tcPr>
            <w:tcW w:type="dxa" w:w="32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Campaña de bajo costo o descarte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Supuestos y decisiones (preparación, elección de k y validación)</w:t>
      </w:r>
    </w:p>
    <w:p>
      <w:pPr>
        <w:jc w:val="both"/>
      </w:pPr>
      <w:r>
        <w:t xml:space="preserve">El clustering es una técnica </w:t>
      </w:r>
      <w:r>
        <w:rPr>
          <w:b/>
        </w:rPr>
        <w:t>no supervisada</w:t>
      </w:r>
      <w:r>
        <w:t xml:space="preserve">: no modela una respuesta Y con un término de error, así que </w:t>
      </w:r>
      <w:r>
        <w:rPr>
          <w:b/>
        </w:rPr>
        <w:t>no</w:t>
      </w:r>
      <w:r>
        <w:t xml:space="preserve"> tiene los supuestos distribucionales del OLS/GLM (nada de normalidad de residuos ni homocedasticidad). Lo que sí tiene son </w:t>
      </w:r>
      <w:r>
        <w:rPr>
          <w:b/>
        </w:rPr>
        <w:t>decisiones de preparación</w:t>
      </w:r>
      <w:r>
        <w:t xml:space="preserve">, </w:t>
      </w:r>
      <w:r>
        <w:rPr>
          <w:b/>
        </w:rPr>
        <w:t>supuestos sobre la forma de los grupos</w:t>
      </w:r>
      <w:r>
        <w:t xml:space="preserve"> y </w:t>
      </w:r>
      <w:r>
        <w:rPr>
          <w:b/>
        </w:rPr>
        <w:t>condiciones de lectura</w:t>
      </w:r>
      <w:r>
        <w:t xml:space="preserve"> de las métricas. El desarrollo completo de cada punto —qué es, cómo se identifica con su umbral, cómo se decide y su alcance en S07— es la guía de supuestos de la sesión.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Punto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identifica (umbral/señal)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Cómo se decide / corrige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Cifra ancla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4002B"/>
          </w:tcPr>
          <w:p>
            <w:pPr>
              <w:spacing w:after="0"/>
            </w:pPr>
            <w:r/>
            <w:r>
              <w:rPr>
                <w:b/>
                <w:color w:val="FFFFFF"/>
                <w:sz w:val="19"/>
              </w:rPr>
              <w:t>Fuente (SUPUESTOS_S07.md)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Estandarización antes de distancias</w:t>
            </w:r>
            <w:r>
              <w:rPr>
                <w:sz w:val="19"/>
              </w:rPr>
              <w:t xml:space="preserve"> (la decisión central)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Escalas dispares (RFM: </w:t>
            </w:r>
            <w:r>
              <w:rPr>
                <w:i/>
                <w:sz w:val="19"/>
              </w:rPr>
              <w:t>Monetary</w:t>
            </w:r>
            <w:r>
              <w:rPr>
                <w:sz w:val="19"/>
              </w:rPr>
              <w:t xml:space="preserve"> en miles ≫ </w:t>
            </w:r>
            <w:r>
              <w:rPr>
                <w:i/>
                <w:sz w:val="19"/>
              </w:rPr>
              <w:t>Frequency</w:t>
            </w:r>
            <w:r>
              <w:rPr>
                <w:sz w:val="19"/>
              </w:rPr>
              <w:t xml:space="preserve"> en unidades); grupos ordenados por una sola variable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Estandarizar (z-score) por defecto</w:t>
            </w:r>
            <w:r>
              <w:rPr>
                <w:sz w:val="19"/>
              </w:rPr>
              <w:t xml:space="preserve"> (1) antes de clusterizar; escalado robusto o </w:t>
            </w:r>
            <w:r>
              <w:rPr>
                <w:rFonts w:ascii="Consolas" w:hAnsi="Consolas"/>
                <w:color w:val="9B1B30"/>
                <w:sz w:val="19"/>
              </w:rPr>
              <w:t>log</w:t>
            </w:r>
            <w:r>
              <w:rPr>
                <w:sz w:val="19"/>
              </w:rPr>
              <w:t xml:space="preserve"> si </w:t>
            </w:r>
            <w:r>
              <w:rPr>
                <w:i/>
                <w:sz w:val="19"/>
              </w:rPr>
              <w:t>Monetary</w:t>
            </w:r>
            <w:r>
              <w:rPr>
                <w:sz w:val="19"/>
              </w:rPr>
              <w:t xml:space="preserve"> tiene colas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iForest exento (invariante a la escala)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1.1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Métrica euclidiana significativa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Categóricas / muy alta dimensión difuminan la euclidiana; Ward exige euclidiana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Euclidiana estandarizada con pocas variables (RFM = 3); reducir con PCA (S06) si hay muchas; coseno/Gower solo se nombran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RFM = 3 variables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1.2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K-Means: clusters esféricos</w:t>
            </w:r>
            <w:r>
              <w:rPr>
                <w:sz w:val="19"/>
              </w:rPr>
              <w:t xml:space="preserve"> (contraste, no se enseña)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Formas alargadas / anidadas → K-Means «corta en recto»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Jerárquico/DBSCAN levantan el límite; GMM / espectral solo se nombran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demo «medias lunas»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2.1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Elección de k — no hay un k «verdadero»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Codo de la inercia (2); silueta (3) vs. k (curva casi plana)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Cruzar la métrica con la </w:t>
            </w:r>
            <w:r>
              <w:rPr>
                <w:b/>
                <w:sz w:val="19"/>
              </w:rPr>
              <w:t>accionabilidad</w:t>
            </w:r>
            <w:r>
              <w:rPr>
                <w:sz w:val="19"/>
              </w:rPr>
              <w:t>; no maximizar la silueta de forma mecánica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Ward: silueta k=5 </w:t>
            </w:r>
            <w:r>
              <w:rPr>
                <w:b/>
                <w:sz w:val="19"/>
              </w:rPr>
              <w:t>0,3493</w:t>
            </w:r>
            <w:r>
              <w:rPr>
                <w:sz w:val="19"/>
              </w:rPr>
              <w:t xml:space="preserve"> (máx, ± banda de estabilidad — no un punto fijo a 4 decimales), pero se elige k=4 por accionabilidad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 2.2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Enlace y corte del dendrograma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Comparar single/complete/average/Ward; buscar el «salto de altura» grande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Ward</w:t>
            </w:r>
            <w:r>
              <w:rPr>
                <w:sz w:val="19"/>
              </w:rPr>
              <w:t xml:space="preserve"> por defecto para clientes; cortar en el salto mayor, leer </w:t>
            </w:r>
            <w:r>
              <w:rPr>
                <w:b/>
                <w:sz w:val="19"/>
              </w:rPr>
              <w:t>solo la altura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Ward = laboratorio RFM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Partes 3.1-3.2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Validación sin ground truth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Silhouette [−1,1] ↑; Davies-Bouldin ↓; Calinski-Harabasz ↑; en DBSCAN excluir el ruido −1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Cruzar las tres métricas; el clustering es </w:t>
            </w:r>
            <w:r>
              <w:rPr>
                <w:b/>
                <w:sz w:val="19"/>
              </w:rPr>
              <w:t>exploratorio</w:t>
            </w:r>
            <w:r>
              <w:rPr>
                <w:sz w:val="19"/>
              </w:rPr>
              <w:t xml:space="preserve"> → validar por accionabilidad, no por la métrica sola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RFM silueta plana </w:t>
            </w:r>
            <w:r>
              <w:rPr>
                <w:b/>
                <w:sz w:val="19"/>
              </w:rPr>
              <w:t>0,32–0,35</w:t>
            </w:r>
            <w:r>
              <w:rPr>
                <w:sz w:val="19"/>
              </w:rPr>
              <w:t xml:space="preserve"> (débil)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FCEDEE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Partes 6.1-6.2</w:t>
            </w:r>
          </w:p>
        </w:tc>
      </w:tr>
      <w:tr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Score de anomalía</w:t>
            </w:r>
            <w:r>
              <w:rPr>
                <w:sz w:val="19"/>
              </w:rPr>
              <w:t xml:space="preserve"> (puente al 1 % atípico)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Score de sklearn = más alto </w:t>
            </w:r>
            <w:r>
              <w:rPr>
                <w:b/>
                <w:sz w:val="19"/>
              </w:rPr>
              <w:t>más NORMAL</w:t>
            </w:r>
            <w:r>
              <w:rPr>
                <w:sz w:val="19"/>
              </w:rPr>
              <w:t xml:space="preserve">; </w:t>
            </w:r>
            <w:r>
              <w:rPr>
                <w:rFonts w:ascii="Consolas" w:hAnsi="Consolas"/>
                <w:color w:val="9B1B30"/>
                <w:sz w:val="19"/>
              </w:rPr>
              <w:t>contamination</w:t>
            </w:r>
            <w:r>
              <w:rPr>
                <w:sz w:val="19"/>
              </w:rPr>
              <w:t xml:space="preserve"> = umbral, no ranking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Pasar el score </w:t>
            </w:r>
            <w:r>
              <w:rPr>
                <w:b/>
                <w:sz w:val="19"/>
              </w:rPr>
              <w:t>negado</w:t>
            </w:r>
            <w:r>
              <w:rPr>
                <w:sz w:val="19"/>
              </w:rPr>
              <w:t xml:space="preserve"> (4); </w:t>
            </w:r>
            <w:r>
              <w:rPr>
                <w:rFonts w:ascii="Consolas" w:hAnsi="Consolas"/>
                <w:color w:val="9B1B30"/>
                <w:sz w:val="19"/>
              </w:rPr>
              <w:t>contamination</w:t>
            </w:r>
            <w:r>
              <w:rPr>
                <w:sz w:val="19"/>
              </w:rPr>
              <w:t xml:space="preserve"> fija el umbral (p. ej. 1 %), no cambia el orden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1 % con score más alto</w:t>
            </w:r>
          </w:p>
        </w:tc>
        <w:tc>
          <w:tcPr>
            <w:tcW w:type="dxa" w:w="1949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</w:r>
            <w:r>
              <w:rPr>
                <w:sz w:val="19"/>
              </w:rPr>
              <w:t>Partes 5.2 y 5.4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La decisión central (estandarización).</w:t>
      </w:r>
      <w:r>
        <w:rPr>
          <w:color w:val="2D2D2D"/>
        </w:rPr>
        <w:t xml:space="preserve"> La distancia (1) mide la disimilitud en las </w:t>
      </w:r>
      <w:r>
        <w:rPr>
          <w:b/>
          <w:color w:val="2D2D2D"/>
        </w:rPr>
        <w:t>unidades originales</w:t>
      </w:r>
      <w:r>
        <w:rPr>
          <w:color w:val="2D2D2D"/>
        </w:rPr>
        <w:t xml:space="preserve">: sin estandarizar, </w:t>
      </w:r>
      <w:r>
        <w:rPr>
          <w:i/>
          <w:color w:val="2D2D2D"/>
        </w:rPr>
        <w:t>Monetary</w:t>
      </w:r>
      <w:r>
        <w:rPr>
          <w:color w:val="2D2D2D"/>
        </w:rPr>
        <w:t xml:space="preserve"> (miles) se «come» la segmentación y produce grupos que solo ordenan por gasto, no por comportamiento. Estandarizar pone a R, F y M a pesar por igual. Es la primera pregunta al auditar cualquier segmentación por distancias. Desarrollo completo en la guía de supuestos de la sesión, Parte 1.1.</w:t>
      </w:r>
    </w:p>
    <w:p>
      <w:pPr>
        <w:spacing w:before="40" w:after="40"/>
        <w:pBdr>
          <w:bottom w:val="single" w:sz="6" w:space="1" w:color="D9D9D9"/>
        </w:pBdr>
      </w:pPr>
    </w:p>
    <w:p>
      <w:pPr>
        <w:keepNext/>
        <w:spacing w:before="240" w:after="60"/>
        <w:pBdr>
          <w:bottom w:val="single" w:sz="6" w:space="2" w:color="E4002B"/>
        </w:pBdr>
      </w:pPr>
      <w:r>
        <w:rPr>
          <w:b/>
          <w:color w:val="E4002B"/>
          <w:sz w:val="30"/>
        </w:rPr>
        <w:t>Advertencias frecuentes (control final)</w:t>
      </w:r>
    </w:p>
    <w:p>
      <w:pPr>
        <w:pStyle w:val="ListBullet"/>
        <w:spacing w:after="40"/>
      </w:pPr>
      <w:r>
        <w:t xml:space="preserve">[ ] Se </w:t>
      </w:r>
      <w:r>
        <w:rPr>
          <w:b/>
        </w:rPr>
        <w:t>estandarizó</w:t>
      </w:r>
      <w:r>
        <w:t xml:space="preserve"> R, F, M antes de clusterizar (y se consideró </w:t>
      </w:r>
      <w:r>
        <w:rPr>
          <w:rFonts w:ascii="Consolas" w:hAnsi="Consolas"/>
          <w:color w:val="9B1B30"/>
          <w:sz w:val="19"/>
        </w:rPr>
        <w:t>log</w:t>
      </w:r>
      <w:r>
        <w:t xml:space="preserve"> sobre </w:t>
      </w:r>
      <w:r>
        <w:rPr>
          <w:i/>
        </w:rPr>
        <w:t>Monetary</w:t>
      </w:r>
      <w:r>
        <w:t xml:space="preserve"> si estaba sesgado).</w:t>
      </w:r>
    </w:p>
    <w:p>
      <w:pPr>
        <w:pStyle w:val="ListBullet"/>
        <w:spacing w:after="40"/>
      </w:pPr>
      <w:r>
        <w:t xml:space="preserve">[ ] Las fichas se reportan en </w:t>
      </w:r>
      <w:r>
        <w:rPr>
          <w:b/>
        </w:rPr>
        <w:t>unidades de negocio</w:t>
      </w:r>
      <w:r>
        <w:t xml:space="preserve"> (días, pedidos, £), no en z-scores.</w:t>
      </w:r>
    </w:p>
    <w:p>
      <w:pPr>
        <w:pStyle w:val="ListBullet"/>
        <w:spacing w:after="40"/>
      </w:pPr>
      <w:r>
        <w:t xml:space="preserve">[ ] Se usó </w:t>
      </w:r>
      <w:r>
        <w:rPr>
          <w:b/>
        </w:rPr>
        <w:t>mediana</w:t>
      </w:r>
      <w:r>
        <w:t xml:space="preserve"> para variables con colas largas (</w:t>
      </w:r>
      <w:r>
        <w:rPr>
          <w:i/>
        </w:rPr>
        <w:t>Monetary</w:t>
      </w:r>
      <w:r>
        <w:t>).</w:t>
      </w:r>
    </w:p>
    <w:p>
      <w:pPr>
        <w:pStyle w:val="ListBullet"/>
        <w:spacing w:after="40"/>
      </w:pPr>
      <w:r>
        <w:t xml:space="preserve">[ ] El </w:t>
      </w:r>
      <w:r>
        <w:rPr>
          <w:b/>
        </w:rPr>
        <w:t>k</w:t>
      </w:r>
      <w:r>
        <w:t xml:space="preserve"> se justificó con silueta + dendrograma + negocio (no solo por maximizar la silueta de forma mecánica).</w:t>
      </w:r>
    </w:p>
    <w:p>
      <w:pPr>
        <w:pStyle w:val="ListBullet"/>
        <w:spacing w:after="40"/>
      </w:pPr>
      <w:r>
        <w:t xml:space="preserve">[ ] Si se usó DBSCAN, el </w:t>
      </w:r>
      <w:r>
        <w:rPr>
          <w:b/>
        </w:rPr>
        <w:t>−1 se trató como ruido</w:t>
      </w:r>
      <w:r>
        <w:t xml:space="preserve"> (no como un cluster más) y la silueta se calculó sin el ruido.</w:t>
      </w:r>
    </w:p>
    <w:p>
      <w:pPr>
        <w:pStyle w:val="ListBullet"/>
        <w:spacing w:after="40"/>
      </w:pPr>
      <w:r>
        <w:t xml:space="preserve">[ ] Cada </w:t>
      </w:r>
      <w:r>
        <w:rPr>
          <w:b/>
        </w:rPr>
        <w:t>nombre de segmento</w:t>
      </w:r>
      <w:r>
        <w:t xml:space="preserve"> está respaldado por la tabla de perfilamiento.</w:t>
      </w:r>
    </w:p>
    <w:p>
      <w:pPr>
        <w:pStyle w:val="ListBullet"/>
        <w:spacing w:after="40"/>
      </w:pPr>
      <w:r>
        <w:t xml:space="preserve">[ ] Se anotó la </w:t>
      </w:r>
      <w:r>
        <w:rPr>
          <w:b/>
        </w:rPr>
        <w:t>`fecha_ref`</w:t>
      </w:r>
      <w:r>
        <w:t xml:space="preserve"> usada para Recency.</w:t>
      </w:r>
    </w:p>
    <w:p>
      <w:pPr>
        <w:spacing w:before="40" w:after="40"/>
        <w:pBdr>
          <w:bottom w:val="single" w:sz="6" w:space="1" w:color="D9D9D9"/>
        </w:pBdr>
      </w:pPr>
    </w:p>
    <w:p>
      <w:pPr>
        <w:spacing w:before="80" w:after="8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b/>
          <w:color w:val="2D2D2D"/>
        </w:rPr>
        <w:t>Uso en la sesión.</w:t>
      </w:r>
      <w:r>
        <w:rPr>
          <w:color w:val="2D2D2D"/>
        </w:rPr>
        <w:t xml:space="preserve"> Esta plantilla se completa con los resultados del cuaderno </w:t>
      </w:r>
      <w:r>
        <w:rPr>
          <w:rFonts w:ascii="Consolas" w:hAnsi="Consolas"/>
          <w:color w:val="2D2D2D"/>
          <w:sz w:val="19"/>
        </w:rPr>
        <w:t>notebook/S07_clustering_anomalias.ipynb</w:t>
      </w:r>
      <w:r>
        <w:rPr>
          <w:color w:val="2D2D2D"/>
        </w:rPr>
        <w:t xml:space="preserve"> (cálculo RFM sobre </w:t>
      </w:r>
      <w:r>
        <w:rPr>
          <w:rFonts w:ascii="Consolas" w:hAnsi="Consolas"/>
          <w:color w:val="2D2D2D"/>
          <w:sz w:val="19"/>
        </w:rPr>
        <w:t>online_retail_II_muestra.csv</w:t>
      </w:r>
      <w:r>
        <w:rPr>
          <w:color w:val="2D2D2D"/>
        </w:rPr>
        <w:t xml:space="preserve">, estandarización, dendrograma/Ward y DBSCAN, silueta por k) y prepara la información que se vuelca en </w:t>
      </w:r>
      <w:r>
        <w:rPr>
          <w:rFonts w:ascii="Consolas" w:hAnsi="Consolas"/>
          <w:color w:val="2D2D2D"/>
          <w:sz w:val="19"/>
        </w:rPr>
        <w:t>plantillas/fichas_segmento.docx</w:t>
      </w:r>
      <w:r>
        <w:rPr>
          <w:color w:val="2D2D2D"/>
        </w:rPr>
        <w:t xml:space="preserve">; juntas materializan el entregable </w:t>
      </w:r>
      <w:r>
        <w:rPr>
          <w:rFonts w:ascii="Consolas" w:hAnsi="Consolas"/>
          <w:color w:val="2D2D2D"/>
          <w:sz w:val="19"/>
        </w:rPr>
        <w:t>evaluacion/entregable.docx</w:t>
      </w:r>
      <w:r>
        <w:rPr>
          <w:color w:val="2D2D2D"/>
        </w:rPr>
        <w:t xml:space="preserve"> (segmentar con RFM, elegir k con silueta y perfilar los segmentos). La tabla de perfilamiento existe en </w:t>
      </w:r>
      <w:r>
        <w:rPr>
          <w:rFonts w:ascii="Consolas" w:hAnsi="Consolas"/>
          <w:color w:val="2D2D2D"/>
          <w:sz w:val="19"/>
        </w:rPr>
        <w:t>resultados/S07_resultados.xlsx</w:t>
      </w:r>
      <w:r>
        <w:rPr>
          <w:color w:val="2D2D2D"/>
        </w:rPr>
        <w:t xml:space="preserve"> con </w:t>
      </w:r>
      <w:r>
        <w:rPr>
          <w:b/>
          <w:color w:val="2D2D2D"/>
        </w:rPr>
        <w:t>media Y mediana</w:t>
      </w:r>
      <w:r>
        <w:rPr>
          <w:color w:val="2D2D2D"/>
        </w:rPr>
        <w:t xml:space="preserve"> y el </w:t>
      </w:r>
      <w:r>
        <w:rPr>
          <w:b/>
          <w:color w:val="2D2D2D"/>
        </w:rPr>
        <w:t>% de ingreso exacto</w:t>
      </w:r>
      <w:r>
        <w:rPr>
          <w:color w:val="2D2D2D"/>
        </w:rPr>
        <w:t xml:space="preserve"> (hoja </w:t>
      </w:r>
      <w:r>
        <w:rPr>
          <w:rFonts w:ascii="Consolas" w:hAnsi="Consolas"/>
          <w:color w:val="2D2D2D"/>
          <w:sz w:val="19"/>
        </w:rPr>
        <w:t>perfiles_cluster</w:t>
      </w:r>
      <w:r>
        <w:rPr>
          <w:color w:val="2D2D2D"/>
        </w:rPr>
        <w:t xml:space="preserve">); las siluetas por k están en la hoja </w:t>
      </w:r>
      <w:r>
        <w:rPr>
          <w:rFonts w:ascii="Consolas" w:hAnsi="Consolas"/>
          <w:color w:val="2D2D2D"/>
          <w:sz w:val="19"/>
        </w:rPr>
        <w:t>clustering</w:t>
      </w:r>
      <w:r>
        <w:rPr>
          <w:color w:val="2D2D2D"/>
        </w:rPr>
        <w:t xml:space="preserve">; la tabla RFM completa de los 140 clientes vive en </w:t>
      </w:r>
      <w:r>
        <w:rPr>
          <w:rFonts w:ascii="Consolas" w:hAnsi="Consolas"/>
          <w:color w:val="2D2D2D"/>
          <w:sz w:val="19"/>
        </w:rPr>
        <w:t>rfm_tabla_completa</w:t>
      </w:r>
      <w:r>
        <w:rPr>
          <w:color w:val="2D2D2D"/>
        </w:rPr>
        <w:t xml:space="preserve">. Solo las barras de AUC y de silueta se generan </w:t>
      </w:r>
      <w:r>
        <w:rPr>
          <w:b/>
          <w:color w:val="2D2D2D"/>
        </w:rPr>
        <w:t>al leer ese Excel</w:t>
      </w:r>
      <w:r>
        <w:rPr>
          <w:color w:val="2D2D2D"/>
        </w:rPr>
        <w:t>; el dendrograma y el gráfico de k-distancia son cálculo directo sobre los datos (convención del curso).</w:t>
      </w:r>
    </w:p>
    <w:p>
      <w:pPr>
        <w:spacing w:before="0" w:after="160" w:line="288" w:lineRule="auto"/>
        <w:ind w:left="85" w:right="85"/>
        <w:shd w:val="clear" w:color="auto" w:fill="F4F4F4"/>
        <w:pBdr>
          <w:left w:val="single" w:sz="24" w:space="10" w:color="E4002B"/>
        </w:pBdr>
      </w:pPr>
      <w:r>
        <w:rPr>
          <w:color w:val="2D2D2D"/>
        </w:rPr>
        <w:t xml:space="preserve">Derivado de la guía de interpretación de resultados (Sección 4 perfilar los segmentos; Sección 3 leer la silueta; Sección 1 corte del dendrograma), el glosario de la sesión (Sección 6 perfilamiento, Sección 7 RFM, Sección 5 silueta, Sección 12 estandarización) e la guía de supuestos de la sesión (Parte 1 escala y métrica, Parte 2 elección de k, Parte 3 enlace y corte, Parte 6 validación interna). Fuentes: Hughes (1994), </w:t>
      </w:r>
      <w:r>
        <w:rPr>
          <w:i/>
          <w:color w:val="2D2D2D"/>
        </w:rPr>
        <w:t>Strategic Database Marketing</w:t>
      </w:r>
      <w:r>
        <w:rPr>
          <w:color w:val="2D2D2D"/>
        </w:rPr>
        <w:t xml:space="preserve">; Fader, Hardie &amp; Lee (2005), </w:t>
      </w:r>
      <w:r>
        <w:rPr>
          <w:i/>
          <w:color w:val="2D2D2D"/>
        </w:rPr>
        <w:t>RFM and CLV</w:t>
      </w:r>
      <w:r>
        <w:rPr>
          <w:color w:val="2D2D2D"/>
        </w:rPr>
        <w:t xml:space="preserve">, JMR 42(4):415-430; ISLR Sección 12.4 (statlearning.com); documentación de </w:t>
      </w:r>
      <w:r>
        <w:rPr>
          <w:rFonts w:ascii="Consolas" w:hAnsi="Consolas"/>
          <w:color w:val="2D2D2D"/>
          <w:sz w:val="19"/>
        </w:rPr>
        <w:t>sklearn.preprocessing.StandardScaler</w:t>
      </w:r>
      <w:r>
        <w:rPr>
          <w:color w:val="2D2D2D"/>
        </w:rPr>
        <w:t xml:space="preserve">, </w:t>
      </w:r>
      <w:r>
        <w:rPr>
          <w:rFonts w:ascii="Consolas" w:hAnsi="Consolas"/>
          <w:color w:val="2D2D2D"/>
          <w:sz w:val="19"/>
        </w:rPr>
        <w:t>sklearn.cluster.AgglomerativeClustering</w:t>
      </w:r>
      <w:r>
        <w:rPr>
          <w:color w:val="2D2D2D"/>
        </w:rPr>
        <w:t xml:space="preserve"> y </w:t>
      </w:r>
      <w:r>
        <w:rPr>
          <w:rFonts w:ascii="Consolas" w:hAnsi="Consolas"/>
          <w:color w:val="2D2D2D"/>
          <w:sz w:val="19"/>
        </w:rPr>
        <w:t>sklearn.metrics.silhouette_score</w:t>
      </w:r>
      <w:r>
        <w:rPr>
          <w:color w:val="2D2D2D"/>
        </w:rPr>
        <w:t>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134" w:right="1247" w:bottom="1020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2" w:color="D9D9D9"/>
      </w:pBdr>
    </w:pPr>
    <w:r>
      <w:rPr>
        <w:color w:val="6E6E6E"/>
        <w:sz w:val="16"/>
      </w:rPr>
      <w:t xml:space="preserve">Herramientas para la Ciencia de Datos, UPC, Facultad de Negocios     |     </w:t>
    </w:r>
    <w:r>
      <w:rPr>
        <w:color w:val="6E6E6E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E4002B"/>
      </w:pBdr>
    </w:pPr>
    <w:r>
      <w:rPr>
        <w:color w:val="6E6E6E"/>
        <w:sz w:val="16"/>
      </w:rPr>
      <w:t>Plantilla de cálculo RFM y perfilamiento de segmentos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