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Drills — Sesión S08</w:t>
      </w:r>
    </w:p>
    <w:p>
      <w:pPr>
        <w:pBdr>
          <w:bottom w:val="single" w:color="E4002B" w:sz="18" w:space="10"/>
        </w:pBdr>
        <w:spacing w:after="160"/>
      </w:pPr>
      <w:r>
        <w:rPr>
          <w:rFonts w:ascii="Cambria" w:cs="Cambria" w:eastAsia="Cambria" w:hAnsi="Cambria"/>
          <w:color w:val="7A1526"/>
          <w:sz w:val="28"/>
          <w:szCs w:val="28"/>
        </w:rPr>
        <w:t xml:space="preserve">Reglas de asociación: soporte, confianza, lift y la velocidad de Apriori vs. FP-Growth</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08 · Reglas de asociación y cross-selling sobre retail · Drills (ejercicios cortos)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Tarea take-home, en parejas, junto con los pasos 2–6 del laboratorio · entrega individual</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CALIFICACIÓN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El desempeño se refuerza en el control corto de cierre de la sesión y se evalúa de forma integral en el entregable (</w:t>
            </w:r>
            <w:r>
              <w:rPr>
                <w:rFonts w:ascii="Consolas" w:cs="Consolas" w:eastAsia="Consolas" w:hAnsi="Consolas"/>
                <w:color w:val="7A1526"/>
                <w:sz w:val="17"/>
                <w:szCs w:val="17"/>
              </w:rPr>
              <w:t xml:space="preserve">evaluacion/entregable.docx</w:t>
            </w:r>
            <w:r>
              <w:rPr>
                <w:rFonts w:ascii="Cambria" w:cs="Cambria" w:eastAsia="Cambria" w:hAnsi="Cambria"/>
                <w:color w:val="2D2D2D"/>
                <w:sz w:val="19"/>
                <w:szCs w:val="19"/>
              </w:rPr>
              <w:t xml:space="preserv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notebook/S08_reglas_asociacion.ipynb</w:t>
            </w:r>
          </w:p>
        </w:tc>
      </w:tr>
    </w:tbl>
    <w:p>
      <w:pPr>
        <w:spacing w:after="150"/>
      </w:pPr>
    </w:p>
    <w:p>
      <w:pPr>
        <w:spacing w:after="180" w:line="265"/>
      </w:pPr>
      <w:r>
        <w:rPr>
          <w:rFonts w:ascii="Cambria" w:cs="Cambria" w:eastAsia="Cambria" w:hAnsi="Cambria"/>
          <w:color w:val="3A3A3A"/>
          <w:sz w:val="18"/>
          <w:szCs w:val="18"/>
        </w:rPr>
        <w:t xml:space="preserve">Material del estudiante. Tres ejercicios de práctica de la Sesión 8 (Reglas de asociación + market basket analysis). </w:t>
      </w:r>
      <w:r>
        <w:rPr>
          <w:rFonts w:ascii="Cambria" w:cs="Cambria" w:eastAsia="Cambria" w:hAnsi="Cambria"/>
          <w:b/>
          <w:bCs/>
          <w:color w:val="3A3A3A"/>
          <w:sz w:val="18"/>
          <w:szCs w:val="18"/>
        </w:rPr>
        <w:t xml:space="preserve">Take-home</w:t>
      </w:r>
      <w:r>
        <w:rPr>
          <w:rFonts w:ascii="Cambria" w:cs="Cambria" w:eastAsia="Cambria" w:hAnsi="Cambria"/>
          <w:color w:val="3A3A3A"/>
          <w:sz w:val="18"/>
          <w:szCs w:val="18"/>
        </w:rPr>
        <w:t xml:space="preserve">: el reloj de 90 min de la sesión está íntegramente asignado (exposición, laboratorio en aula, cierre) y no les reserva minuto propio; se resuelven en parejas fuera del aula, junto con los pasos 2–6 del laboratorio; la entrega es individual. Español impersonal. </w:t>
      </w:r>
      <w:r>
        <w:rPr>
          <w:rFonts w:ascii="Cambria" w:cs="Cambria" w:eastAsia="Cambria" w:hAnsi="Cambria"/>
          <w:b/>
          <w:bCs/>
          <w:color w:val="3A3A3A"/>
          <w:sz w:val="18"/>
          <w:szCs w:val="18"/>
        </w:rPr>
        <w:t xml:space="preserve">Material de apoyo:</w:t>
      </w:r>
      <w:r>
        <w:rPr>
          <w:rFonts w:ascii="Cambria" w:cs="Cambria" w:eastAsia="Cambria" w:hAnsi="Cambria"/>
          <w:color w:val="3A3A3A"/>
          <w:sz w:val="18"/>
          <w:szCs w:val="18"/>
        </w:rPr>
        <w:t xml:space="preserve"> el cuaderno </w:t>
      </w:r>
      <w:r>
        <w:rPr>
          <w:rFonts w:ascii="Consolas" w:cs="Consolas" w:eastAsia="Consolas" w:hAnsi="Consolas"/>
          <w:color w:val="7A1526"/>
          <w:sz w:val="16"/>
          <w:szCs w:val="16"/>
        </w:rPr>
        <w:t xml:space="preserve">notebook/S08_reglas_asociacion.ipynb</w:t>
      </w:r>
      <w:r>
        <w:rPr>
          <w:rFonts w:ascii="Cambria" w:cs="Cambria" w:eastAsia="Cambria" w:hAnsi="Cambria"/>
          <w:color w:val="3A3A3A"/>
          <w:sz w:val="18"/>
          <w:szCs w:val="18"/>
        </w:rPr>
        <w:t xml:space="preserve">, la guía </w:t>
      </w:r>
      <w:r>
        <w:rPr>
          <w:rFonts w:ascii="Consolas" w:cs="Consolas" w:eastAsia="Consolas" w:hAnsi="Consolas"/>
          <w:color w:val="7A1526"/>
          <w:sz w:val="16"/>
          <w:szCs w:val="16"/>
        </w:rPr>
        <w:t xml:space="preserve">plantillas/guia_one_hot_transacciones.docx</w:t>
      </w:r>
      <w:r>
        <w:rPr>
          <w:rFonts w:ascii="Cambria" w:cs="Cambria" w:eastAsia="Cambria" w:hAnsi="Cambria"/>
          <w:color w:val="3A3A3A"/>
          <w:sz w:val="18"/>
          <w:szCs w:val="18"/>
        </w:rPr>
        <w:t xml:space="preserve"> (preparación transaccional one-hot por ticket, apoyo general de la sesión), la plantilla </w:t>
      </w:r>
      <w:r>
        <w:rPr>
          <w:rFonts w:ascii="Consolas" w:cs="Consolas" w:eastAsia="Consolas" w:hAnsi="Consolas"/>
          <w:color w:val="7A1526"/>
          <w:sz w:val="16"/>
          <w:szCs w:val="16"/>
        </w:rPr>
        <w:t xml:space="preserve">plantillas/top_reglas_impacto.docx</w:t>
      </w:r>
      <w:r>
        <w:rPr>
          <w:rFonts w:ascii="Cambria" w:cs="Cambria" w:eastAsia="Cambria" w:hAnsi="Cambria"/>
          <w:color w:val="3A3A3A"/>
          <w:sz w:val="18"/>
          <w:szCs w:val="18"/>
        </w:rPr>
        <w:t xml:space="preserve"> (fórmulas y lectura de negocio de las reglas — apoya los </w:t>
      </w:r>
      <w:r>
        <w:rPr>
          <w:rFonts w:ascii="Cambria" w:cs="Cambria" w:eastAsia="Cambria" w:hAnsi="Cambria"/>
          <w:b/>
          <w:bCs/>
          <w:color w:val="3A3A3A"/>
          <w:sz w:val="18"/>
          <w:szCs w:val="18"/>
        </w:rPr>
        <w:t xml:space="preserve">Drills 1 y 2</w:t>
      </w:r>
      <w:r>
        <w:rPr>
          <w:rFonts w:ascii="Cambria" w:cs="Cambria" w:eastAsia="Cambria" w:hAnsi="Cambria"/>
          <w:color w:val="3A3A3A"/>
          <w:sz w:val="18"/>
          <w:szCs w:val="18"/>
        </w:rPr>
        <w:t xml:space="preserve">), el diccionario de variables en </w:t>
      </w:r>
      <w:r>
        <w:rPr>
          <w:rFonts w:ascii="Consolas" w:cs="Consolas" w:eastAsia="Consolas" w:hAnsi="Consolas"/>
          <w:color w:val="7A1526"/>
          <w:sz w:val="16"/>
          <w:szCs w:val="16"/>
        </w:rPr>
        <w:t xml:space="preserve">data/diccionario_datos.md</w:t>
      </w:r>
      <w:r>
        <w:rPr>
          <w:rFonts w:ascii="Cambria" w:cs="Cambria" w:eastAsia="Cambria" w:hAnsi="Cambria"/>
          <w:color w:val="3A3A3A"/>
          <w:sz w:val="18"/>
          <w:szCs w:val="18"/>
        </w:rPr>
        <w:t xml:space="preserve"> y las lecturas en la bibliografía de la sesión. El </w:t>
      </w:r>
      <w:r>
        <w:rPr>
          <w:rFonts w:ascii="Cambria" w:cs="Cambria" w:eastAsia="Cambria" w:hAnsi="Cambria"/>
          <w:b/>
          <w:bCs/>
          <w:color w:val="3A3A3A"/>
          <w:sz w:val="18"/>
          <w:szCs w:val="18"/>
        </w:rPr>
        <w:t xml:space="preserve">Drill 3</w:t>
      </w:r>
      <w:r>
        <w:rPr>
          <w:rFonts w:ascii="Cambria" w:cs="Cambria" w:eastAsia="Cambria" w:hAnsi="Cambria"/>
          <w:color w:val="3A3A3A"/>
          <w:sz w:val="18"/>
          <w:szCs w:val="18"/>
        </w:rPr>
        <w:t xml:space="preserve"> (tiempos Apriori vs. FP-Growth) se apoya en la hoja tiempos del Excel de resultados, no en ninguna de las dos plantillas. El entregable evaluable de la sesión está en </w:t>
      </w:r>
      <w:r>
        <w:rPr>
          <w:rFonts w:ascii="Consolas" w:cs="Consolas" w:eastAsia="Consolas" w:hAnsi="Consolas"/>
          <w:color w:val="7A1526"/>
          <w:sz w:val="16"/>
          <w:szCs w:val="16"/>
        </w:rPr>
        <w:t xml:space="preserve">evaluacion/entregable.docx</w:t>
      </w:r>
      <w:r>
        <w:rPr>
          <w:rFonts w:ascii="Cambria" w:cs="Cambria" w:eastAsia="Cambria" w:hAnsi="Cambria"/>
          <w:color w:val="3A3A3A"/>
          <w:sz w:val="18"/>
          <w:szCs w:val="18"/>
        </w:rPr>
        <w:t xml:space="preserve">. Convención del curso: el análisis se apoya en mlxtend (preprocessing.TransactionEncoder, </w:t>
      </w:r>
      <w:r>
        <w:rPr>
          <w:rFonts w:ascii="Consolas" w:cs="Consolas" w:eastAsia="Consolas" w:hAnsi="Consolas"/>
          <w:color w:val="7A1526"/>
          <w:sz w:val="16"/>
          <w:szCs w:val="16"/>
        </w:rPr>
        <w:t xml:space="preserve">frequent_patterns.aprio</w:t>
      </w:r>
      <w:r>
        <w:rPr>
          <w:rFonts w:ascii="Cambria" w:cs="Cambria" w:eastAsia="Cambria" w:hAnsi="Cambria"/>
          <w:color w:val="3A3A3A"/>
          <w:sz w:val="18"/>
          <w:szCs w:val="18"/>
        </w:rPr>
        <w:t xml:space="preserve">ri, </w:t>
      </w:r>
      <w:r>
        <w:rPr>
          <w:rFonts w:ascii="Consolas" w:cs="Consolas" w:eastAsia="Consolas" w:hAnsi="Consolas"/>
          <w:color w:val="7A1526"/>
          <w:sz w:val="16"/>
          <w:szCs w:val="16"/>
        </w:rPr>
        <w:t xml:space="preserve">frequent_patterns.fpgro</w:t>
      </w:r>
      <w:r>
        <w:rPr>
          <w:rFonts w:ascii="Cambria" w:cs="Cambria" w:eastAsia="Cambria" w:hAnsi="Cambria"/>
          <w:color w:val="3A3A3A"/>
          <w:sz w:val="18"/>
          <w:szCs w:val="18"/>
        </w:rPr>
        <w:t xml:space="preserve">wth, </w:t>
      </w:r>
      <w:r>
        <w:rPr>
          <w:rFonts w:ascii="Consolas" w:cs="Consolas" w:eastAsia="Consolas" w:hAnsi="Consolas"/>
          <w:color w:val="7A1526"/>
          <w:sz w:val="16"/>
          <w:szCs w:val="16"/>
        </w:rPr>
        <w:t xml:space="preserve">frequent_patterns.assoc</w:t>
      </w:r>
      <w:r>
        <w:rPr>
          <w:rFonts w:ascii="Consolas" w:cs="Consolas" w:eastAsia="Consolas" w:hAnsi="Consolas"/>
          <w:color w:val="7A1526"/>
          <w:sz w:val="16"/>
          <w:szCs w:val="16"/>
        </w:rPr>
        <w:t xml:space="preserve">iation_rules</w:t>
      </w:r>
      <w:r>
        <w:rPr>
          <w:rFonts w:ascii="Cambria" w:cs="Cambria" w:eastAsia="Cambria" w:hAnsi="Cambria"/>
          <w:color w:val="3A3A3A"/>
          <w:sz w:val="18"/>
          <w:szCs w:val="18"/>
        </w:rPr>
        <w:t xml:space="preserve">), pandas y numpy. Toda métrica se calcula sobre la </w:t>
      </w:r>
      <w:r>
        <w:rPr>
          <w:rFonts w:ascii="Cambria" w:cs="Cambria" w:eastAsia="Cambria" w:hAnsi="Cambria"/>
          <w:b/>
          <w:bCs/>
          <w:color w:val="3A3A3A"/>
          <w:sz w:val="18"/>
          <w:szCs w:val="18"/>
        </w:rPr>
        <w:t xml:space="preserve">matriz one-hot booleana por ticket</w:t>
      </w:r>
      <w:r>
        <w:rPr>
          <w:rFonts w:ascii="Cambria" w:cs="Cambria" w:eastAsia="Cambria" w:hAnsi="Cambria"/>
          <w:color w:val="3A3A3A"/>
          <w:sz w:val="18"/>
          <w:szCs w:val="18"/>
        </w:rPr>
        <w:t xml:space="preserve"> (una fila = una transacción; True/False = presencia/ausencia del ítem). </w:t>
      </w:r>
      <w:r>
        <w:rPr>
          <w:rFonts w:ascii="Consolas" w:cs="Consolas" w:eastAsia="Consolas" w:hAnsi="Consolas"/>
          <w:b/>
          <w:bCs/>
          <w:color w:val="7A1526"/>
          <w:sz w:val="16"/>
          <w:szCs w:val="16"/>
        </w:rPr>
        <w:t xml:space="preserve">min_support</w:t>
      </w:r>
      <w:r>
        <w:rPr>
          <w:rFonts w:ascii="Cambria" w:cs="Cambria" w:eastAsia="Cambria" w:hAnsi="Cambria"/>
          <w:b/>
          <w:bCs/>
          <w:color w:val="3A3A3A"/>
          <w:sz w:val="18"/>
          <w:szCs w:val="18"/>
        </w:rPr>
        <w:t xml:space="preserve"> es una fracción</w:t>
      </w:r>
      <w:r>
        <w:rPr>
          <w:rFonts w:ascii="Cambria" w:cs="Cambria" w:eastAsia="Cambria" w:hAnsi="Cambria"/>
          <w:color w:val="3A3A3A"/>
          <w:sz w:val="18"/>
          <w:szCs w:val="18"/>
        </w:rPr>
        <w:t xml:space="preserve"> (no un conteo): 0.01 = 1 % de las transacciones. </w:t>
      </w:r>
      <w:r>
        <w:rPr>
          <w:rFonts w:ascii="Cambria" w:cs="Cambria" w:eastAsia="Cambria" w:hAnsi="Cambria"/>
          <w:b/>
          <w:bCs/>
          <w:color w:val="3A3A3A"/>
          <w:sz w:val="18"/>
          <w:szCs w:val="18"/>
        </w:rPr>
        <w:t xml:space="preserve">Fuera de alcance (no usar):</w:t>
      </w:r>
      <w:r>
        <w:rPr>
          <w:rFonts w:ascii="Cambria" w:cs="Cambria" w:eastAsia="Cambria" w:hAnsi="Cambria"/>
          <w:color w:val="3A3A3A"/>
          <w:sz w:val="18"/>
          <w:szCs w:val="18"/>
        </w:rPr>
        <w:t xml:space="preserve"> ajustar un clasificador supervisado, regresión logística/GLM (S09), árboles/LDA/QDA/Naive Bayes (S10) ni filtrado colaborativo (S14) — las reglas se convierten en features booleanas, pero </w:t>
      </w:r>
      <w:r>
        <w:rPr>
          <w:rFonts w:ascii="Cambria" w:cs="Cambria" w:eastAsia="Cambria" w:hAnsi="Cambria"/>
          <w:b/>
          <w:bCs/>
          <w:color w:val="3A3A3A"/>
          <w:sz w:val="18"/>
          <w:szCs w:val="18"/>
        </w:rPr>
        <w:t xml:space="preserve">aquí no se entrena ningún modelo supervisado</w:t>
      </w:r>
      <w:r>
        <w:rPr>
          <w:rFonts w:ascii="Cambria" w:cs="Cambria" w:eastAsia="Cambria" w:hAnsi="Cambria"/>
          <w:color w:val="3A3A3A"/>
          <w:sz w:val="18"/>
          <w:szCs w:val="18"/>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 LOS DRILLS</w:t>
            </w:r>
          </w:p>
          <w:p>
            <w:pPr>
              <w:spacing w:line="280"/>
            </w:pPr>
            <w:r>
              <w:rPr>
                <w:rFonts w:ascii="Cambria" w:cs="Cambria" w:eastAsia="Cambria" w:hAnsi="Cambria"/>
                <w:color w:val="FFFFFF"/>
                <w:sz w:val="21"/>
                <w:szCs w:val="21"/>
              </w:rPr>
              <w:t xml:space="preserve">Practicar, de forma manual y con calculadora, cómo se calculan e interpretan el soporte, la confianza, el lift y la conviction de una regla de asociación; entender por qué una regla con confianza alta puede tener lift &lt; 1; y leer la tabla de tiempos que compara Apriori con FP-Growth al bajar el soporte mínimo sobre el benchmark T10I4D100K.</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1</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Calcular soporte, confianza y lift de una regla de forma manual</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2</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Por qué una regla con confianza alta puede tener lift &lt; 1</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3</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Comparar tiempos de Apriori vs. FP-Growth al bajar el soporte mínimo</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bl>
    <w:p>
      <w:pPr>
        <w:spacing w:after="220"/>
      </w:pP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DRILL 1 — CALCULAR SOPORTE, CONFIANZA Y LIFT DE UNA REGLA DE FORMA MANUAL</w:t>
      </w:r>
    </w:p>
    <w:p>
      <w:pPr>
        <w:keepNext/>
        <w:pBdr>
          <w:bottom w:val="single" w:color="E4002B" w:sz="14" w:space="8"/>
        </w:pBdr>
        <w:spacing w:after="140"/>
      </w:pPr>
      <w:r>
        <w:rPr>
          <w:rFonts w:ascii="Cambria" w:cs="Cambria" w:eastAsia="Cambria" w:hAnsi="Cambria"/>
          <w:i/>
          <w:iCs/>
          <w:color w:val="6E6E6E"/>
          <w:sz w:val="19"/>
          <w:szCs w:val="19"/>
        </w:rPr>
        <w:t xml:space="preserve">Trabajo manual y con calculadora, en parejas</w:t>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Una tienda de conveniencia registra estas </w:t>
      </w:r>
      <w:r>
        <w:rPr>
          <w:rFonts w:ascii="Cambria" w:cs="Cambria" w:eastAsia="Cambria" w:hAnsi="Cambria"/>
          <w:b/>
          <w:bCs/>
          <w:color w:val="2D2D2D"/>
          <w:sz w:val="20"/>
          <w:szCs w:val="20"/>
        </w:rPr>
        <w:t xml:space="preserve">10 canastas</w:t>
      </w:r>
      <w:r>
        <w:rPr>
          <w:rFonts w:ascii="Cambria" w:cs="Cambria" w:eastAsia="Cambria" w:hAnsi="Cambria"/>
          <w:color w:val="2D2D2D"/>
          <w:sz w:val="20"/>
          <w:szCs w:val="20"/>
        </w:rPr>
        <w:t xml:space="preserve"> (cada fila es un ticket con los productos que lleva):</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tblHeader/>
        </w:trPr>
        <w:tc>
          <w:tcPr>
            <w:tcW w:type="dxa" w:w="50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Ticket</w:t>
            </w:r>
          </w:p>
        </w:tc>
        <w:tc>
          <w:tcPr>
            <w:tcW w:type="dxa" w:w="50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Productos</w:t>
            </w:r>
          </w:p>
        </w:tc>
      </w:tr>
      <w:tr>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pan, mantequilla, leche</w:t>
            </w:r>
          </w:p>
        </w:tc>
      </w:tr>
      <w:tr>
        <w:tc>
          <w:tcPr>
            <w:tcW w:type="dxa" w:w="50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2</w:t>
            </w:r>
          </w:p>
        </w:tc>
        <w:tc>
          <w:tcPr>
            <w:tcW w:type="dxa" w:w="50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pan, mantequilla</w:t>
            </w:r>
          </w:p>
        </w:tc>
      </w:tr>
      <w:tr>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3</w:t>
            </w:r>
          </w:p>
        </w:tc>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pan, leche</w:t>
            </w:r>
          </w:p>
        </w:tc>
      </w:tr>
      <w:tr>
        <w:tc>
          <w:tcPr>
            <w:tcW w:type="dxa" w:w="50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4</w:t>
            </w:r>
          </w:p>
        </w:tc>
        <w:tc>
          <w:tcPr>
            <w:tcW w:type="dxa" w:w="50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café, azúcar, leche</w:t>
            </w:r>
          </w:p>
        </w:tc>
      </w:tr>
      <w:tr>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5</w:t>
            </w:r>
          </w:p>
        </w:tc>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pan, mantequilla, café</w:t>
            </w:r>
          </w:p>
        </w:tc>
      </w:tr>
      <w:tr>
        <w:tc>
          <w:tcPr>
            <w:tcW w:type="dxa" w:w="50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6</w:t>
            </w:r>
          </w:p>
        </w:tc>
        <w:tc>
          <w:tcPr>
            <w:tcW w:type="dxa" w:w="50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café, azúcar</w:t>
            </w:r>
          </w:p>
        </w:tc>
      </w:tr>
      <w:tr>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7</w:t>
            </w:r>
          </w:p>
        </w:tc>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pan, mantequilla, leche</w:t>
            </w:r>
          </w:p>
        </w:tc>
      </w:tr>
      <w:tr>
        <w:tc>
          <w:tcPr>
            <w:tcW w:type="dxa" w:w="50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8</w:t>
            </w:r>
          </w:p>
        </w:tc>
        <w:tc>
          <w:tcPr>
            <w:tcW w:type="dxa" w:w="50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leche, café</w:t>
            </w:r>
          </w:p>
        </w:tc>
      </w:tr>
      <w:tr>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9</w:t>
            </w:r>
          </w:p>
        </w:tc>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pan, mantequilla, azúcar</w:t>
            </w:r>
          </w:p>
        </w:tc>
      </w:tr>
      <w:tr>
        <w:tc>
          <w:tcPr>
            <w:tcW w:type="dxa" w:w="50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10</w:t>
            </w:r>
          </w:p>
        </w:tc>
        <w:tc>
          <w:tcPr>
            <w:tcW w:type="dxa" w:w="50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café, azúcar, leche</w:t>
            </w:r>
          </w:p>
        </w:tc>
      </w:tr>
    </w:tbl>
    <w:p>
      <w:pPr>
        <w:spacing w:after="220"/>
      </w:pPr>
    </w:p>
    <w:p>
      <w:pPr>
        <w:spacing w:line="270"/>
      </w:pPr>
      <w:r>
        <w:rPr>
          <w:rFonts w:ascii="Cambria" w:cs="Cambria" w:eastAsia="Cambria" w:hAnsi="Cambria"/>
          <w:color w:val="2D2D2D"/>
          <w:sz w:val="20"/>
          <w:szCs w:val="20"/>
        </w:rPr>
        <w:t xml:space="preserve">Se pide (trabajar con N = 10 transacciones; expresar los soportes como fracción):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Calcular el </w:t>
            </w:r>
            <w:r>
              <w:rPr>
                <w:rFonts w:ascii="Cambria" w:cs="Cambria" w:eastAsia="Cambria" w:hAnsi="Cambria"/>
                <w:b/>
                <w:bCs/>
                <w:color w:val="2D2D2D"/>
                <w:sz w:val="19"/>
                <w:szCs w:val="19"/>
              </w:rPr>
              <w:t xml:space="preserve">soporte</w:t>
            </w:r>
            <w:r>
              <w:rPr>
                <w:rFonts w:ascii="Cambria" w:cs="Cambria" w:eastAsia="Cambria" w:hAnsi="Cambria"/>
                <w:color w:val="2D2D2D"/>
                <w:sz w:val="19"/>
                <w:szCs w:val="19"/>
              </w:rPr>
              <w:t xml:space="preserve"> de cada ítem individual: pan, mantequilla, leche, café, azúcar. Indicar cuál es el ítem más frecuente.</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Para la regla </w:t>
            </w:r>
            <w:r>
              <w:rPr>
                <w:rFonts w:ascii="Cambria" w:cs="Cambria" w:eastAsia="Cambria" w:hAnsi="Cambria"/>
                <w:b/>
                <w:bCs/>
                <w:color w:val="2D2D2D"/>
                <w:sz w:val="19"/>
                <w:szCs w:val="19"/>
              </w:rPr>
              <w:t xml:space="preserve">{pan}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{mantequilla}</w:t>
            </w:r>
            <w:r>
              <w:rPr>
                <w:rFonts w:ascii="Cambria" w:cs="Cambria" w:eastAsia="Cambria" w:hAnsi="Cambria"/>
                <w:color w:val="2D2D2D"/>
                <w:sz w:val="19"/>
                <w:szCs w:val="19"/>
              </w:rPr>
              <w:t xml:space="preserve">, calcular </w:t>
            </w:r>
            <w:r>
              <w:rPr>
                <w:rFonts w:ascii="Cambria" w:cs="Cambria" w:eastAsia="Cambria" w:hAnsi="Cambria"/>
                <w:b/>
                <w:bCs/>
                <w:color w:val="2D2D2D"/>
                <w:sz w:val="19"/>
                <w:szCs w:val="19"/>
              </w:rPr>
              <w:t xml:space="preserve">paso a paso</w:t>
            </w:r>
            <w:r>
              <w:rPr>
                <w:rFonts w:ascii="Cambria" w:cs="Cambria" w:eastAsia="Cambria" w:hAnsi="Cambria"/>
                <w:color w:val="2D2D2D"/>
                <w:sz w:val="19"/>
                <w:szCs w:val="19"/>
              </w:rPr>
              <w:t xml:space="preserve">: (a) soporte({pan, mantequilla}); (b) confianza; (c) lift; (d) conviction. Escribir cada fórmula antes de sustituir los números. </w:t>
            </w:r>
            <w:r>
              <w:rPr>
                <w:rFonts w:ascii="Cambria" w:cs="Cambria" w:eastAsia="Cambria" w:hAnsi="Cambria"/>
                <w:i/>
                <w:iCs/>
                <w:color w:val="2D2D2D"/>
                <w:sz w:val="19"/>
                <w:szCs w:val="19"/>
              </w:rPr>
              <w:t xml:space="preserve">(Recordatorio: confianza = soporte(X y Y) / soporte(X); </w:t>
            </w:r>
            <w:r>
              <w:rPr>
                <w:rFonts w:ascii="Consolas" w:cs="Consolas" w:eastAsia="Consolas" w:hAnsi="Consolas"/>
                <w:i/>
                <w:iCs/>
                <w:color w:val="7A1526"/>
                <w:sz w:val="17"/>
                <w:szCs w:val="17"/>
              </w:rPr>
              <w:t xml:space="preserve">lift = confianza / soporte(Y)</w:t>
            </w:r>
            <w:r>
              <w:rPr>
                <w:rFonts w:ascii="Cambria" w:cs="Cambria" w:eastAsia="Cambria" w:hAnsi="Cambria"/>
                <w:i/>
                <w:iCs/>
                <w:color w:val="2D2D2D"/>
                <w:sz w:val="19"/>
                <w:szCs w:val="19"/>
              </w:rPr>
              <w:t xml:space="preserve">; </w:t>
            </w:r>
            <w:r>
              <w:rPr>
                <w:rFonts w:ascii="Consolas" w:cs="Consolas" w:eastAsia="Consolas" w:hAnsi="Consolas"/>
                <w:i/>
                <w:iCs/>
                <w:color w:val="7A1526"/>
                <w:sz w:val="17"/>
                <w:szCs w:val="17"/>
              </w:rPr>
              <w:t xml:space="preserve">conviction = (1−soporte(Y)) / (1−confianza)</w:t>
            </w:r>
            <w:r>
              <w:rPr>
                <w:rFonts w:ascii="Cambria" w:cs="Cambria" w:eastAsia="Cambria" w:hAnsi="Cambria"/>
                <w:i/>
                <w:iCs/>
                <w:color w:val="2D2D2D"/>
                <w:sz w:val="19"/>
                <w:szCs w:val="19"/>
              </w:rPr>
              <w:t xml:space="preserve">.)</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Calcular ahora la regla </w:t>
            </w:r>
            <w:r>
              <w:rPr>
                <w:rFonts w:ascii="Cambria" w:cs="Cambria" w:eastAsia="Cambria" w:hAnsi="Cambria"/>
                <w:b/>
                <w:bCs/>
                <w:color w:val="2D2D2D"/>
                <w:sz w:val="19"/>
                <w:szCs w:val="19"/>
              </w:rPr>
              <w:t xml:space="preserve">inversa</w:t>
            </w:r>
            <w:r>
              <w:rPr>
                <w:rFonts w:ascii="Cambria" w:cs="Cambria" w:eastAsia="Cambria" w:hAnsi="Cambria"/>
                <w:color w:val="2D2D2D"/>
                <w:sz w:val="19"/>
                <w:szCs w:val="19"/>
              </w:rPr>
              <w:t xml:space="preserve"> {mantequilla}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{pan}: su confianza, su lift y su conviction. Comparar con el punto 2 y responder: ¿cuál de las tres métricas </w:t>
            </w:r>
            <w:r>
              <w:rPr>
                <w:rFonts w:ascii="Cambria" w:cs="Cambria" w:eastAsia="Cambria" w:hAnsi="Cambria"/>
                <w:b/>
                <w:bCs/>
                <w:color w:val="2D2D2D"/>
                <w:sz w:val="19"/>
                <w:szCs w:val="19"/>
              </w:rPr>
              <w:t xml:space="preserve">coincide</w:t>
            </w:r>
            <w:r>
              <w:rPr>
                <w:rFonts w:ascii="Cambria" w:cs="Cambria" w:eastAsia="Cambria" w:hAnsi="Cambria"/>
                <w:color w:val="2D2D2D"/>
                <w:sz w:val="19"/>
                <w:szCs w:val="19"/>
              </w:rPr>
              <w:t xml:space="preserve"> en las dos direcciones y cuál </w:t>
            </w:r>
            <w:r>
              <w:rPr>
                <w:rFonts w:ascii="Cambria" w:cs="Cambria" w:eastAsia="Cambria" w:hAnsi="Cambria"/>
                <w:b/>
                <w:bCs/>
                <w:color w:val="2D2D2D"/>
                <w:sz w:val="19"/>
                <w:szCs w:val="19"/>
              </w:rPr>
              <w:t xml:space="preserve">cambia</w:t>
            </w:r>
            <w:r>
              <w:rPr>
                <w:rFonts w:ascii="Cambria" w:cs="Cambria" w:eastAsia="Cambria" w:hAnsi="Cambria"/>
                <w:color w:val="2D2D2D"/>
                <w:sz w:val="19"/>
                <w:szCs w:val="19"/>
              </w:rPr>
              <w:t xml:space="preserve">? ¿Qué propiedad de cada métrica explica eso?</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Interpretar en una frase de negocio la regla {pan}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{mantequilla} (soporte, confianza y lift) y decidir si es </w:t>
            </w:r>
            <w:r>
              <w:rPr>
                <w:rFonts w:ascii="Cambria" w:cs="Cambria" w:eastAsia="Cambria" w:hAnsi="Cambria"/>
                <w:b/>
                <w:bCs/>
                <w:color w:val="2D2D2D"/>
                <w:sz w:val="19"/>
                <w:szCs w:val="19"/>
              </w:rPr>
              <w:t xml:space="preserve">candidata a cross-selling</w:t>
            </w:r>
            <w:r>
              <w:rPr>
                <w:rFonts w:ascii="Cambria" w:cs="Cambria" w:eastAsia="Cambria" w:hAnsi="Cambria"/>
                <w:color w:val="2D2D2D"/>
                <w:sz w:val="19"/>
                <w:szCs w:val="19"/>
              </w:rPr>
              <w:t xml:space="preserve">. Justificar con el valor del lift respecto a 1.</w:t>
            </w:r>
          </w:p>
        </w:tc>
      </w:tr>
    </w:tbl>
    <w:p>
      <w:pPr>
        <w:spacing w:after="220"/>
      </w:pPr>
    </w:p>
    <w:p>
      <w:pPr>
        <w:spacing w:after="260" w:line="265"/>
      </w:pPr>
      <w:r>
        <w:rPr>
          <w:rFonts w:ascii="Cambria" w:cs="Cambria" w:eastAsia="Cambria" w:hAnsi="Cambria"/>
          <w:i/>
          <w:iCs/>
          <w:color w:val="6E6E6E"/>
          <w:sz w:val="18"/>
          <w:szCs w:val="18"/>
        </w:rPr>
        <w:t xml:space="preserve">(Pista: al menos una de las métricas de la regla inversa da un valor "extremo"; explicar por qué ocurre y qué significa.)</w:t>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DRILL 2 — POR QUÉ UNA REGLA CON CONFIANZA ALTA PUEDE TENER LIFT &lt; 1</w:t>
      </w:r>
    </w:p>
    <w:p>
      <w:pPr>
        <w:keepNext/>
        <w:pBdr>
          <w:bottom w:val="single" w:color="E4002B" w:sz="14" w:space="8"/>
        </w:pBdr>
        <w:spacing w:after="140"/>
      </w:pPr>
      <w:r>
        <w:rPr>
          <w:rFonts w:ascii="Cambria" w:cs="Cambria" w:eastAsia="Cambria" w:hAnsi="Cambria"/>
          <w:i/>
          <w:iCs/>
          <w:color w:val="6E6E6E"/>
          <w:sz w:val="19"/>
          <w:szCs w:val="19"/>
        </w:rPr>
        <w:t xml:space="preserve">Trabajo manual y con calculadora, en parejas</w:t>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Un supermercado tiene N = 1 000 tickets. Se sabe que: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900</w:t>
            </w:r>
            <w:r>
              <w:rPr>
                <w:rFonts w:ascii="Cambria" w:cs="Cambria" w:eastAsia="Cambria" w:hAnsi="Cambria"/>
                <w:color w:val="2D2D2D"/>
                <w:sz w:val="19"/>
                <w:szCs w:val="19"/>
              </w:rPr>
              <w:t xml:space="preserve"> tickets llevan </w:t>
            </w:r>
            <w:r>
              <w:rPr>
                <w:rFonts w:ascii="Cambria" w:cs="Cambria" w:eastAsia="Cambria" w:hAnsi="Cambria"/>
                <w:b/>
                <w:bCs/>
                <w:color w:val="2D2D2D"/>
                <w:sz w:val="19"/>
                <w:szCs w:val="19"/>
              </w:rPr>
              <w:t xml:space="preserve">bolsa reutilizable</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soporte({bolsa}) = 0.90.</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300</w:t>
            </w:r>
            <w:r>
              <w:rPr>
                <w:rFonts w:ascii="Cambria" w:cs="Cambria" w:eastAsia="Cambria" w:hAnsi="Cambria"/>
                <w:color w:val="2D2D2D"/>
                <w:sz w:val="19"/>
                <w:szCs w:val="19"/>
              </w:rPr>
              <w:t xml:space="preserve"> tickets llevan </w:t>
            </w:r>
            <w:r>
              <w:rPr>
                <w:rFonts w:ascii="Cambria" w:cs="Cambria" w:eastAsia="Cambria" w:hAnsi="Cambria"/>
                <w:b/>
                <w:bCs/>
                <w:color w:val="2D2D2D"/>
                <w:sz w:val="19"/>
                <w:szCs w:val="19"/>
              </w:rPr>
              <w:t xml:space="preserve">leche</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soporte({leche}) = 0.30.</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264</w:t>
            </w:r>
            <w:r>
              <w:rPr>
                <w:rFonts w:ascii="Cambria" w:cs="Cambria" w:eastAsia="Cambria" w:hAnsi="Cambria"/>
                <w:color w:val="2D2D2D"/>
                <w:sz w:val="19"/>
                <w:szCs w:val="19"/>
              </w:rPr>
              <w:t xml:space="preserve"> tickets llevan </w:t>
            </w:r>
            <w:r>
              <w:rPr>
                <w:rFonts w:ascii="Cambria" w:cs="Cambria" w:eastAsia="Cambria" w:hAnsi="Cambria"/>
                <w:b/>
                <w:bCs/>
                <w:color w:val="2D2D2D"/>
                <w:sz w:val="19"/>
                <w:szCs w:val="19"/>
              </w:rPr>
              <w:t xml:space="preserve">leche y bolsa</w:t>
            </w:r>
            <w:r>
              <w:rPr>
                <w:rFonts w:ascii="Cambria" w:cs="Cambria" w:eastAsia="Cambria" w:hAnsi="Cambria"/>
                <w:color w:val="2D2D2D"/>
                <w:sz w:val="19"/>
                <w:szCs w:val="19"/>
              </w:rPr>
              <w:t xml:space="preserve"> a la vez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soporte({leche, bolsa}) = 0.264.</w:t>
            </w:r>
          </w:p>
        </w:tc>
      </w:tr>
    </w:tbl>
    <w:p>
      <w:pPr>
        <w:spacing w:after="220"/>
      </w:pPr>
    </w:p>
    <w:p>
      <w:pPr>
        <w:spacing w:line="270"/>
      </w:pPr>
      <w:r>
        <w:rPr>
          <w:rFonts w:ascii="Cambria" w:cs="Cambria" w:eastAsia="Cambria" w:hAnsi="Cambria"/>
          <w:color w:val="2D2D2D"/>
          <w:sz w:val="20"/>
          <w:szCs w:val="20"/>
        </w:rPr>
        <w:t xml:space="preserve">Para contraste, en la misma base: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100</w:t>
            </w:r>
            <w:r>
              <w:rPr>
                <w:rFonts w:ascii="Cambria" w:cs="Cambria" w:eastAsia="Cambria" w:hAnsi="Cambria"/>
                <w:color w:val="2D2D2D"/>
                <w:sz w:val="19"/>
                <w:szCs w:val="19"/>
              </w:rPr>
              <w:t xml:space="preserve"> tickets llevan </w:t>
            </w:r>
            <w:r>
              <w:rPr>
                <w:rFonts w:ascii="Cambria" w:cs="Cambria" w:eastAsia="Cambria" w:hAnsi="Cambria"/>
                <w:b/>
                <w:bCs/>
                <w:color w:val="2D2D2D"/>
                <w:sz w:val="19"/>
                <w:szCs w:val="19"/>
              </w:rPr>
              <w:t xml:space="preserve">pañales</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soporte({pañales}) = 0.10.</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200</w:t>
            </w:r>
            <w:r>
              <w:rPr>
                <w:rFonts w:ascii="Cambria" w:cs="Cambria" w:eastAsia="Cambria" w:hAnsi="Cambria"/>
                <w:color w:val="2D2D2D"/>
                <w:sz w:val="19"/>
                <w:szCs w:val="19"/>
              </w:rPr>
              <w:t xml:space="preserve"> tickets llevan </w:t>
            </w:r>
            <w:r>
              <w:rPr>
                <w:rFonts w:ascii="Cambria" w:cs="Cambria" w:eastAsia="Cambria" w:hAnsi="Cambria"/>
                <w:b/>
                <w:bCs/>
                <w:color w:val="2D2D2D"/>
                <w:sz w:val="19"/>
                <w:szCs w:val="19"/>
              </w:rPr>
              <w:t xml:space="preserve">cerveza</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soporte({cerveza}) = 0.20.</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60</w:t>
            </w:r>
            <w:r>
              <w:rPr>
                <w:rFonts w:ascii="Cambria" w:cs="Cambria" w:eastAsia="Cambria" w:hAnsi="Cambria"/>
                <w:color w:val="2D2D2D"/>
                <w:sz w:val="19"/>
                <w:szCs w:val="19"/>
              </w:rPr>
              <w:t xml:space="preserve"> tickets llevan </w:t>
            </w:r>
            <w:r>
              <w:rPr>
                <w:rFonts w:ascii="Cambria" w:cs="Cambria" w:eastAsia="Cambria" w:hAnsi="Cambria"/>
                <w:b/>
                <w:bCs/>
                <w:color w:val="2D2D2D"/>
                <w:sz w:val="19"/>
                <w:szCs w:val="19"/>
              </w:rPr>
              <w:t xml:space="preserve">pañales y cerveza</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soporte({pañales, cerveza}) = 0.06.</w:t>
            </w:r>
          </w:p>
        </w:tc>
      </w:tr>
    </w:tbl>
    <w:p>
      <w:pPr>
        <w:spacing w:after="220"/>
      </w:pPr>
    </w:p>
    <w:p>
      <w:pPr>
        <w:spacing w:line="270"/>
      </w:pPr>
      <w:r>
        <w:rPr>
          <w:rFonts w:ascii="Cambria" w:cs="Cambria" w:eastAsia="Cambria" w:hAnsi="Cambria"/>
          <w:color w:val="2D2D2D"/>
          <w:sz w:val="20"/>
          <w:szCs w:val="20"/>
        </w:rPr>
        <w:t xml:space="preserve">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Calcular la </w:t>
            </w:r>
            <w:r>
              <w:rPr>
                <w:rFonts w:ascii="Cambria" w:cs="Cambria" w:eastAsia="Cambria" w:hAnsi="Cambria"/>
                <w:b/>
                <w:bCs/>
                <w:color w:val="2D2D2D"/>
                <w:sz w:val="19"/>
                <w:szCs w:val="19"/>
              </w:rPr>
              <w:t xml:space="preserve">confianza</w:t>
            </w:r>
            <w:r>
              <w:rPr>
                <w:rFonts w:ascii="Cambria" w:cs="Cambria" w:eastAsia="Cambria" w:hAnsi="Cambria"/>
                <w:color w:val="2D2D2D"/>
                <w:sz w:val="19"/>
                <w:szCs w:val="19"/>
              </w:rPr>
              <w:t xml:space="preserve"> y el </w:t>
            </w:r>
            <w:r>
              <w:rPr>
                <w:rFonts w:ascii="Cambria" w:cs="Cambria" w:eastAsia="Cambria" w:hAnsi="Cambria"/>
                <w:b/>
                <w:bCs/>
                <w:color w:val="2D2D2D"/>
                <w:sz w:val="19"/>
                <w:szCs w:val="19"/>
              </w:rPr>
              <w:t xml:space="preserve">lift</w:t>
            </w:r>
            <w:r>
              <w:rPr>
                <w:rFonts w:ascii="Cambria" w:cs="Cambria" w:eastAsia="Cambria" w:hAnsi="Cambria"/>
                <w:color w:val="2D2D2D"/>
                <w:sz w:val="19"/>
                <w:szCs w:val="19"/>
              </w:rPr>
              <w:t xml:space="preserve"> de la regla {leche}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{bolsa}. La confianza parece muy alta: ¿el lift la respalda? Interpretar el valor del lift respecto a 1.</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Calcular la </w:t>
            </w:r>
            <w:r>
              <w:rPr>
                <w:rFonts w:ascii="Cambria" w:cs="Cambria" w:eastAsia="Cambria" w:hAnsi="Cambria"/>
                <w:b/>
                <w:bCs/>
                <w:color w:val="2D2D2D"/>
                <w:sz w:val="19"/>
                <w:szCs w:val="19"/>
              </w:rPr>
              <w:t xml:space="preserve">confianza</w:t>
            </w:r>
            <w:r>
              <w:rPr>
                <w:rFonts w:ascii="Cambria" w:cs="Cambria" w:eastAsia="Cambria" w:hAnsi="Cambria"/>
                <w:color w:val="2D2D2D"/>
                <w:sz w:val="19"/>
                <w:szCs w:val="19"/>
              </w:rPr>
              <w:t xml:space="preserve"> y el </w:t>
            </w:r>
            <w:r>
              <w:rPr>
                <w:rFonts w:ascii="Cambria" w:cs="Cambria" w:eastAsia="Cambria" w:hAnsi="Cambria"/>
                <w:b/>
                <w:bCs/>
                <w:color w:val="2D2D2D"/>
                <w:sz w:val="19"/>
                <w:szCs w:val="19"/>
              </w:rPr>
              <w:t xml:space="preserve">lift</w:t>
            </w:r>
            <w:r>
              <w:rPr>
                <w:rFonts w:ascii="Cambria" w:cs="Cambria" w:eastAsia="Cambria" w:hAnsi="Cambria"/>
                <w:color w:val="2D2D2D"/>
                <w:sz w:val="19"/>
                <w:szCs w:val="19"/>
              </w:rPr>
              <w:t xml:space="preserve"> de la regla {pañales}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{cerveza}. Compararla con la anterior: ¿cuál tiene mayor confianza y cuál mayor lift? ¿Cuál es la </w:t>
            </w:r>
            <w:r>
              <w:rPr>
                <w:rFonts w:ascii="Cambria" w:cs="Cambria" w:eastAsia="Cambria" w:hAnsi="Cambria"/>
                <w:b/>
                <w:bCs/>
                <w:color w:val="2D2D2D"/>
                <w:sz w:val="19"/>
                <w:szCs w:val="19"/>
              </w:rPr>
              <w:t xml:space="preserve">regla útil</w:t>
            </w:r>
            <w:r>
              <w:rPr>
                <w:rFonts w:ascii="Cambria" w:cs="Cambria" w:eastAsia="Cambria" w:hAnsi="Cambria"/>
                <w:color w:val="2D2D2D"/>
                <w:sz w:val="19"/>
                <w:szCs w:val="19"/>
              </w:rPr>
              <w:t xml:space="preserve"> para el negocio y por qué?</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Explicar, </w:t>
            </w:r>
            <w:r>
              <w:rPr>
                <w:rFonts w:ascii="Cambria" w:cs="Cambria" w:eastAsia="Cambria" w:hAnsi="Cambria"/>
                <w:b/>
                <w:bCs/>
                <w:color w:val="2D2D2D"/>
                <w:sz w:val="19"/>
                <w:szCs w:val="19"/>
              </w:rPr>
              <w:t xml:space="preserve">en términos generales</w:t>
            </w:r>
            <w:r>
              <w:rPr>
                <w:rFonts w:ascii="Cambria" w:cs="Cambria" w:eastAsia="Cambria" w:hAnsi="Cambria"/>
                <w:color w:val="2D2D2D"/>
                <w:sz w:val="19"/>
                <w:szCs w:val="19"/>
              </w:rPr>
              <w:t xml:space="preserve">, por qué una regla puede tener </w:t>
            </w:r>
            <w:r>
              <w:rPr>
                <w:rFonts w:ascii="Cambria" w:cs="Cambria" w:eastAsia="Cambria" w:hAnsi="Cambria"/>
                <w:b/>
                <w:bCs/>
                <w:color w:val="2D2D2D"/>
                <w:sz w:val="19"/>
                <w:szCs w:val="19"/>
              </w:rPr>
              <w:t xml:space="preserve">confianza alta y lift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1</w:t>
            </w:r>
            <w:r>
              <w:rPr>
                <w:rFonts w:ascii="Cambria" w:cs="Cambria" w:eastAsia="Cambria" w:hAnsi="Cambria"/>
                <w:color w:val="2D2D2D"/>
                <w:sz w:val="19"/>
                <w:szCs w:val="19"/>
              </w:rPr>
              <w:t xml:space="preserve">. ¿Qué papel juega la </w:t>
            </w:r>
            <w:r>
              <w:rPr>
                <w:rFonts w:ascii="Cambria" w:cs="Cambria" w:eastAsia="Cambria" w:hAnsi="Cambria"/>
                <w:b/>
                <w:bCs/>
                <w:color w:val="2D2D2D"/>
                <w:sz w:val="19"/>
                <w:szCs w:val="19"/>
              </w:rPr>
              <w:t xml:space="preserve">popularidad del consecuente</w:t>
            </w:r>
            <w:r>
              <w:rPr>
                <w:rFonts w:ascii="Cambria" w:cs="Cambria" w:eastAsia="Cambria" w:hAnsi="Cambria"/>
                <w:color w:val="2D2D2D"/>
                <w:sz w:val="19"/>
                <w:szCs w:val="19"/>
              </w:rPr>
              <w:t xml:space="preserve"> en inflar la confianza? Enunciar qué significa exactamente </w:t>
            </w:r>
            <w:r>
              <w:rPr>
                <w:rFonts w:ascii="Cambria" w:cs="Cambria" w:eastAsia="Cambria" w:hAnsi="Cambria"/>
                <w:b/>
                <w:bCs/>
                <w:color w:val="2D2D2D"/>
                <w:sz w:val="19"/>
                <w:szCs w:val="19"/>
              </w:rPr>
              <w:t xml:space="preserve">lift = 1</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lift &lt; 1</w:t>
            </w:r>
            <w:r>
              <w:rPr>
                <w:rFonts w:ascii="Cambria" w:cs="Cambria" w:eastAsia="Cambria" w:hAnsi="Cambria"/>
                <w:color w:val="2D2D2D"/>
                <w:sz w:val="19"/>
                <w:szCs w:val="19"/>
              </w:rPr>
              <w:t xml:space="preserve"> en cuanto a la relación entre antecedente y consecuente.</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Un analista propone ordenar todas las reglas del catálogo </w:t>
            </w:r>
            <w:r>
              <w:rPr>
                <w:rFonts w:ascii="Cambria" w:cs="Cambria" w:eastAsia="Cambria" w:hAnsi="Cambria"/>
                <w:b/>
                <w:bCs/>
                <w:color w:val="2D2D2D"/>
                <w:sz w:val="19"/>
                <w:szCs w:val="19"/>
              </w:rPr>
              <w:t xml:space="preserve">por confianza descendente</w:t>
            </w:r>
            <w:r>
              <w:rPr>
                <w:rFonts w:ascii="Cambria" w:cs="Cambria" w:eastAsia="Cambria" w:hAnsi="Cambria"/>
                <w:color w:val="2D2D2D"/>
                <w:sz w:val="19"/>
                <w:szCs w:val="19"/>
              </w:rPr>
              <w:t xml:space="preserve"> y activar las 20 primeras como recomendaciones. Señalar el riesgo de ese criterio y proponer el criterio correcto de ordenamiento/filtrado.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Robustez de datos — ¿qué pasaría si...?</w:t>
            </w:r>
          </w:p>
          <w:p>
            <w:pPr>
              <w:spacing w:after="70" w:line="265"/>
            </w:pPr>
            <w:r>
              <w:rPr>
                <w:rFonts w:ascii="Cambria" w:cs="Cambria" w:eastAsia="Cambria" w:hAnsi="Cambria"/>
                <w:color w:val="3A3A3A"/>
                <w:sz w:val="18"/>
                <w:szCs w:val="18"/>
              </w:rPr>
              <w:t xml:space="preserve">El registro de transacciones disponible cubriera solo una semana de temporada navideña, no un año completo de operación? ¿Seguirían siendo válidas fuera de esa semana las reglas de asociación descubiertas? </w:t>
            </w:r>
            <w:r>
              <w:rPr>
                <w:rFonts w:ascii="Cambria" w:cs="Cambria" w:eastAsia="Cambria" w:hAnsi="Cambria"/>
                <w:i/>
                <w:iCs/>
                <w:color w:val="3A3A3A"/>
                <w:sz w:val="18"/>
                <w:szCs w:val="18"/>
              </w:rPr>
              <w:t xml:space="preserve">(El riesgo de reglas espurias por una muestra corta está en la guía de supuestos de la sesión, punto 4.1.)</w:t>
            </w:r>
          </w:p>
        </w:tc>
      </w:tr>
    </w:tbl>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DRILL 3 — COMPARAR TIEMPOS DE APRIORI VS. FP-GROWTH AL BAJAR EL SOPORTE MÍNIMO</w:t>
      </w:r>
    </w:p>
    <w:p>
      <w:pPr>
        <w:keepNext/>
        <w:pBdr>
          <w:bottom w:val="single" w:color="E4002B" w:sz="14" w:space="8"/>
        </w:pBdr>
        <w:spacing w:after="140"/>
      </w:pPr>
      <w:r>
        <w:rPr>
          <w:rFonts w:ascii="Cambria" w:cs="Cambria" w:eastAsia="Cambria" w:hAnsi="Cambria"/>
          <w:i/>
          <w:iCs/>
          <w:color w:val="6E6E6E"/>
          <w:sz w:val="19"/>
          <w:szCs w:val="19"/>
        </w:rPr>
        <w:t xml:space="preserve">Lectura de la tabla de tiempos del cuaderno, en parejas</w:t>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Sobre el benchmark T10I4D100K (100 000 transacciones, 870 ítems), el cuaderno cronometra apriori(...) y fpgrowth(...) a varios valores de </w:t>
      </w:r>
      <w:r>
        <w:rPr>
          <w:rFonts w:ascii="Consolas" w:cs="Consolas" w:eastAsia="Consolas" w:hAnsi="Consolas"/>
          <w:color w:val="7A1526"/>
          <w:sz w:val="18"/>
          <w:szCs w:val="18"/>
        </w:rPr>
        <w:t xml:space="preserve">min_support</w:t>
      </w:r>
      <w:r>
        <w:rPr>
          <w:rFonts w:ascii="Cambria" w:cs="Cambria" w:eastAsia="Cambria" w:hAnsi="Cambria"/>
          <w:color w:val="2D2D2D"/>
          <w:sz w:val="20"/>
          <w:szCs w:val="20"/>
        </w:rPr>
        <w:t xml:space="preserve"> y registra, en cada umbral, el </w:t>
      </w:r>
      <w:r>
        <w:rPr>
          <w:rFonts w:ascii="Cambria" w:cs="Cambria" w:eastAsia="Cambria" w:hAnsi="Cambria"/>
          <w:b/>
          <w:bCs/>
          <w:color w:val="2D2D2D"/>
          <w:sz w:val="20"/>
          <w:szCs w:val="20"/>
        </w:rPr>
        <w:t xml:space="preserve">nº de itemsets frecuentes</w:t>
      </w:r>
      <w:r>
        <w:rPr>
          <w:rFonts w:ascii="Cambria" w:cs="Cambria" w:eastAsia="Cambria" w:hAnsi="Cambria"/>
          <w:color w:val="2D2D2D"/>
          <w:sz w:val="20"/>
          <w:szCs w:val="20"/>
        </w:rPr>
        <w:t xml:space="preserve"> hallado (idéntico para ambos algoritmos), el </w:t>
      </w:r>
      <w:r>
        <w:rPr>
          <w:rFonts w:ascii="Cambria" w:cs="Cambria" w:eastAsia="Cambria" w:hAnsi="Cambria"/>
          <w:b/>
          <w:bCs/>
          <w:color w:val="2D2D2D"/>
          <w:sz w:val="20"/>
          <w:szCs w:val="20"/>
        </w:rPr>
        <w:t xml:space="preserve">tiempo</w:t>
      </w:r>
      <w:r>
        <w:rPr>
          <w:rFonts w:ascii="Cambria" w:cs="Cambria" w:eastAsia="Cambria" w:hAnsi="Cambria"/>
          <w:color w:val="2D2D2D"/>
          <w:sz w:val="20"/>
          <w:szCs w:val="20"/>
        </w:rPr>
        <w:t xml:space="preserve"> de cada uno y la </w:t>
      </w:r>
      <w:r>
        <w:rPr>
          <w:rFonts w:ascii="Cambria" w:cs="Cambria" w:eastAsia="Cambria" w:hAnsi="Cambria"/>
          <w:b/>
          <w:bCs/>
          <w:color w:val="2D2D2D"/>
          <w:sz w:val="20"/>
          <w:szCs w:val="20"/>
        </w:rPr>
        <w:t xml:space="preserve">aceleración</w:t>
      </w:r>
      <w:r>
        <w:rPr>
          <w:rFonts w:ascii="Cambria" w:cs="Cambria" w:eastAsia="Cambria" w:hAnsi="Cambria"/>
          <w:color w:val="2D2D2D"/>
          <w:sz w:val="20"/>
          <w:szCs w:val="20"/>
        </w:rPr>
        <w:t xml:space="preserve"> de FP-Growth sobre Apriori. Tabla volcada a </w:t>
      </w:r>
      <w:r>
        <w:rPr>
          <w:rFonts w:ascii="Consolas" w:cs="Consolas" w:eastAsia="Consolas" w:hAnsi="Consolas"/>
          <w:color w:val="7A1526"/>
          <w:sz w:val="18"/>
          <w:szCs w:val="18"/>
        </w:rPr>
        <w:t xml:space="preserve">resultados/S08_resultados.xlsx</w:t>
      </w:r>
      <w:r>
        <w:rPr>
          <w:rFonts w:ascii="Cambria" w:cs="Cambria" w:eastAsia="Cambria" w:hAnsi="Cambria"/>
          <w:color w:val="2D2D2D"/>
          <w:sz w:val="20"/>
          <w:szCs w:val="20"/>
        </w:rPr>
        <w:t xml:space="preserve"> (hoja tiempos) desde una ejecución del venv del curso; los tiempos absolutos y el factor de aceleración dependen de la máquina/Colab y </w:t>
      </w:r>
      <w:r>
        <w:rPr>
          <w:rFonts w:ascii="Cambria" w:cs="Cambria" w:eastAsia="Cambria" w:hAnsi="Cambria"/>
          <w:b/>
          <w:bCs/>
          <w:color w:val="2D2D2D"/>
          <w:sz w:val="20"/>
          <w:szCs w:val="20"/>
        </w:rPr>
        <w:t xml:space="preserve">no se reportan como un número fijo</w:t>
      </w:r>
      <w:r>
        <w:rPr>
          <w:rFonts w:ascii="Cambria" w:cs="Cambria" w:eastAsia="Cambria" w:hAnsi="Cambria"/>
          <w:color w:val="2D2D2D"/>
          <w:sz w:val="20"/>
          <w:szCs w:val="20"/>
        </w:rPr>
        <w:t xml:space="preserve"> (nunca se cita como «≈19-26×» ni como ninguna otra banda): lo que el validador certifica (el material de referencia de la sesión, guardarrail «tiempos») es la </w:t>
      </w:r>
      <w:r>
        <w:rPr>
          <w:rFonts w:ascii="Cambria" w:cs="Cambria" w:eastAsia="Cambria" w:hAnsi="Cambria"/>
          <w:b/>
          <w:bCs/>
          <w:color w:val="2D2D2D"/>
          <w:sz w:val="20"/>
          <w:szCs w:val="20"/>
        </w:rPr>
        <w:t xml:space="preserve">relación</w:t>
      </w:r>
      <w:r>
        <w:rPr>
          <w:rFonts w:ascii="Cambria" w:cs="Cambria" w:eastAsia="Cambria" w:hAnsi="Cambria"/>
          <w:color w:val="2D2D2D"/>
          <w:sz w:val="20"/>
          <w:szCs w:val="20"/>
        </w:rPr>
        <w:t xml:space="preserve"> — FP-Growth siempre más rápido que Apriori, aceleración no decreciente al bajar el soporte —, verificada tanto en esta tabla como al recomputar en vivo en la máquina que ejecuta el validador:</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16"/>
        <w:gridCol w:w="2016"/>
        <w:gridCol w:w="2016"/>
        <w:gridCol w:w="2016"/>
        <w:gridCol w:w="2016"/>
      </w:tblGrid>
      <w:tr>
        <w:trPr>
          <w:tblHeader/>
        </w:trPr>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min_support</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Nº de itemsets frecuentes</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Tiempo Apriori (s)</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Tiempo FP-Growth (s)</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Aceleración (Apriori/FP)</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0.020 (2 %)</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155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8.59</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1.23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7×</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0.015 (1.5 %)</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237</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20.70</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1.46</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14.2×</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0.010 (1 %)</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385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48.44</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1.86</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26×</w:t>
            </w:r>
          </w:p>
        </w:tc>
      </w:tr>
    </w:tbl>
    <w:p>
      <w:pPr>
        <w:spacing w:after="220"/>
      </w:pPr>
    </w:p>
    <w:p>
      <w:pPr>
        <w:spacing w:line="270"/>
      </w:pPr>
      <w:r>
        <w:rPr>
          <w:rFonts w:ascii="Cambria" w:cs="Cambria" w:eastAsia="Cambria" w:hAnsi="Cambria"/>
          <w:color w:val="2D2D2D"/>
          <w:sz w:val="20"/>
          <w:szCs w:val="20"/>
        </w:rPr>
        <w:t xml:space="preserve">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Describir la </w:t>
            </w:r>
            <w:r>
              <w:rPr>
                <w:rFonts w:ascii="Cambria" w:cs="Cambria" w:eastAsia="Cambria" w:hAnsi="Cambria"/>
                <w:b/>
                <w:bCs/>
                <w:color w:val="2D2D2D"/>
                <w:sz w:val="19"/>
                <w:szCs w:val="19"/>
              </w:rPr>
              <w:t xml:space="preserve">tendencia</w:t>
            </w:r>
            <w:r>
              <w:rPr>
                <w:rFonts w:ascii="Cambria" w:cs="Cambria" w:eastAsia="Cambria" w:hAnsi="Cambria"/>
                <w:color w:val="2D2D2D"/>
                <w:sz w:val="19"/>
                <w:szCs w:val="19"/>
              </w:rPr>
              <w:t xml:space="preserve"> de los </w:t>
            </w:r>
            <w:r>
              <w:rPr>
                <w:rFonts w:ascii="Cambria" w:cs="Cambria" w:eastAsia="Cambria" w:hAnsi="Cambria"/>
                <w:b/>
                <w:bCs/>
                <w:color w:val="2D2D2D"/>
                <w:sz w:val="19"/>
                <w:szCs w:val="19"/>
              </w:rPr>
              <w:t xml:space="preserve">tiempos</w:t>
            </w:r>
            <w:r>
              <w:rPr>
                <w:rFonts w:ascii="Cambria" w:cs="Cambria" w:eastAsia="Cambria" w:hAnsi="Cambria"/>
                <w:color w:val="2D2D2D"/>
                <w:sz w:val="19"/>
                <w:szCs w:val="19"/>
              </w:rPr>
              <w:t xml:space="preserve"> (columnas Apriori y FP-Growth) y de la </w:t>
            </w:r>
            <w:r>
              <w:rPr>
                <w:rFonts w:ascii="Cambria" w:cs="Cambria" w:eastAsia="Cambria" w:hAnsi="Cambria"/>
                <w:b/>
                <w:bCs/>
                <w:color w:val="2D2D2D"/>
                <w:sz w:val="19"/>
                <w:szCs w:val="19"/>
              </w:rPr>
              <w:t xml:space="preserve">aceleración</w:t>
            </w:r>
            <w:r>
              <w:rPr>
                <w:rFonts w:ascii="Cambria" w:cs="Cambria" w:eastAsia="Cambria" w:hAnsi="Cambria"/>
                <w:color w:val="2D2D2D"/>
                <w:sz w:val="19"/>
                <w:szCs w:val="19"/>
              </w:rPr>
              <w:t xml:space="preserve"> al </w:t>
            </w:r>
            <w:r>
              <w:rPr>
                <w:rFonts w:ascii="Cambria" w:cs="Cambria" w:eastAsia="Cambria" w:hAnsi="Cambria"/>
                <w:b/>
                <w:bCs/>
                <w:color w:val="2D2D2D"/>
                <w:sz w:val="19"/>
                <w:szCs w:val="19"/>
              </w:rPr>
              <w:t xml:space="preserve">bajar</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min_support</w:t>
            </w:r>
            <w:r>
              <w:rPr>
                <w:rFonts w:ascii="Cambria" w:cs="Cambria" w:eastAsia="Cambria" w:hAnsi="Cambria"/>
                <w:color w:val="2D2D2D"/>
                <w:sz w:val="19"/>
                <w:szCs w:val="19"/>
              </w:rPr>
              <w:t xml:space="preserve">. ¿Cómo evoluciona la brecha entre Apriori y FP-Growth conforme el umbral disminuye? ¿A qué umbral se vuelve más marcada?</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Explicar </w:t>
            </w:r>
            <w:r>
              <w:rPr>
                <w:rFonts w:ascii="Cambria" w:cs="Cambria" w:eastAsia="Cambria" w:hAnsi="Cambria"/>
                <w:b/>
                <w:bCs/>
                <w:color w:val="2D2D2D"/>
                <w:sz w:val="19"/>
                <w:szCs w:val="19"/>
              </w:rPr>
              <w:t xml:space="preserve">por qué FP-Growth escala mejor</w:t>
            </w:r>
            <w:r>
              <w:rPr>
                <w:rFonts w:ascii="Cambria" w:cs="Cambria" w:eastAsia="Cambria" w:hAnsi="Cambria"/>
                <w:color w:val="2D2D2D"/>
                <w:sz w:val="19"/>
                <w:szCs w:val="19"/>
              </w:rPr>
              <w:t xml:space="preserve"> que Apriori cuando el soporte baja. Relacionar la respuesta con las dos ideas centrales de cada algoritmo: Apriori </w:t>
            </w:r>
            <w:r>
              <w:rPr>
                <w:rFonts w:ascii="Cambria" w:cs="Cambria" w:eastAsia="Cambria" w:hAnsi="Cambria"/>
                <w:b/>
                <w:bCs/>
                <w:color w:val="2D2D2D"/>
                <w:sz w:val="19"/>
                <w:szCs w:val="19"/>
              </w:rPr>
              <w:t xml:space="preserve">genera y cuenta candidatos</w:t>
            </w:r>
            <w:r>
              <w:rPr>
                <w:rFonts w:ascii="Cambria" w:cs="Cambria" w:eastAsia="Cambria" w:hAnsi="Cambria"/>
                <w:color w:val="2D2D2D"/>
                <w:sz w:val="19"/>
                <w:szCs w:val="19"/>
              </w:rPr>
              <w:t xml:space="preserve"> (múltiples pasadas sobre los datos); FP-Growth comprime la base en un </w:t>
            </w:r>
            <w:r>
              <w:rPr>
                <w:rFonts w:ascii="Cambria" w:cs="Cambria" w:eastAsia="Cambria" w:hAnsi="Cambria"/>
                <w:b/>
                <w:bCs/>
                <w:color w:val="2D2D2D"/>
                <w:sz w:val="19"/>
                <w:szCs w:val="19"/>
              </w:rPr>
              <w:t xml:space="preserve">FP-tree</w:t>
            </w:r>
            <w:r>
              <w:rPr>
                <w:rFonts w:ascii="Cambria" w:cs="Cambria" w:eastAsia="Cambria" w:hAnsi="Cambria"/>
                <w:color w:val="2D2D2D"/>
                <w:sz w:val="19"/>
                <w:szCs w:val="19"/>
              </w:rPr>
              <w:t xml:space="preserve"> y mina </w:t>
            </w:r>
            <w:r>
              <w:rPr>
                <w:rFonts w:ascii="Cambria" w:cs="Cambria" w:eastAsia="Cambria" w:hAnsi="Cambria"/>
                <w:b/>
                <w:bCs/>
                <w:color w:val="2D2D2D"/>
                <w:sz w:val="19"/>
                <w:szCs w:val="19"/>
              </w:rPr>
              <w:t xml:space="preserve">sin generar candidatos</w:t>
            </w:r>
            <w:r>
              <w:rPr>
                <w:rFonts w:ascii="Cambria" w:cs="Cambria" w:eastAsia="Cambria" w:hAnsi="Cambria"/>
                <w:color w:val="2D2D2D"/>
                <w:sz w:val="19"/>
                <w:szCs w:val="19"/>
              </w:rPr>
              <w:t xml:space="preserve"> (solo dos pasadas).</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La columna del </w:t>
            </w:r>
            <w:r>
              <w:rPr>
                <w:rFonts w:ascii="Cambria" w:cs="Cambria" w:eastAsia="Cambria" w:hAnsi="Cambria"/>
                <w:b/>
                <w:bCs/>
                <w:color w:val="2D2D2D"/>
                <w:sz w:val="19"/>
                <w:szCs w:val="19"/>
              </w:rPr>
              <w:t xml:space="preserve">nº de itemsets frecuentes</w:t>
            </w:r>
            <w:r>
              <w:rPr>
                <w:rFonts w:ascii="Cambria" w:cs="Cambria" w:eastAsia="Cambria" w:hAnsi="Cambria"/>
                <w:color w:val="2D2D2D"/>
                <w:sz w:val="19"/>
                <w:szCs w:val="19"/>
              </w:rPr>
              <w:t xml:space="preserve"> es la </w:t>
            </w:r>
            <w:r>
              <w:rPr>
                <w:rFonts w:ascii="Cambria" w:cs="Cambria" w:eastAsia="Cambria" w:hAnsi="Cambria"/>
                <w:b/>
                <w:bCs/>
                <w:color w:val="2D2D2D"/>
                <w:sz w:val="19"/>
                <w:szCs w:val="19"/>
              </w:rPr>
              <w:t xml:space="preserve">misma</w:t>
            </w:r>
            <w:r>
              <w:rPr>
                <w:rFonts w:ascii="Cambria" w:cs="Cambria" w:eastAsia="Cambria" w:hAnsi="Cambria"/>
                <w:color w:val="2D2D2D"/>
                <w:sz w:val="19"/>
                <w:szCs w:val="19"/>
              </w:rPr>
              <w:t xml:space="preserve"> para Apriori y FP-Growth en cada fila. ¿Es esto una casualidad, un resultado empírico afortunado o una </w:t>
            </w:r>
            <w:r>
              <w:rPr>
                <w:rFonts w:ascii="Cambria" w:cs="Cambria" w:eastAsia="Cambria" w:hAnsi="Cambria"/>
                <w:b/>
                <w:bCs/>
                <w:color w:val="2D2D2D"/>
                <w:sz w:val="19"/>
                <w:szCs w:val="19"/>
              </w:rPr>
              <w:t xml:space="preserve">garantía</w:t>
            </w:r>
            <w:r>
              <w:rPr>
                <w:rFonts w:ascii="Cambria" w:cs="Cambria" w:eastAsia="Cambria" w:hAnsi="Cambria"/>
                <w:color w:val="2D2D2D"/>
                <w:sz w:val="19"/>
                <w:szCs w:val="19"/>
              </w:rPr>
              <w:t xml:space="preserve">? Justificar. Si en un experimento propio los dos algoritmos devolvieran </w:t>
            </w:r>
            <w:r>
              <w:rPr>
                <w:rFonts w:ascii="Cambria" w:cs="Cambria" w:eastAsia="Cambria" w:hAnsi="Cambria"/>
                <w:b/>
                <w:bCs/>
                <w:color w:val="2D2D2D"/>
                <w:sz w:val="19"/>
                <w:szCs w:val="19"/>
              </w:rPr>
              <w:t xml:space="preserve">conteos distintos</w:t>
            </w:r>
            <w:r>
              <w:rPr>
                <w:rFonts w:ascii="Cambria" w:cs="Cambria" w:eastAsia="Cambria" w:hAnsi="Cambria"/>
                <w:color w:val="2D2D2D"/>
                <w:sz w:val="19"/>
                <w:szCs w:val="19"/>
              </w:rPr>
              <w:t xml:space="preserve"> al mismo </w:t>
            </w:r>
            <w:r>
              <w:rPr>
                <w:rFonts w:ascii="Consolas" w:cs="Consolas" w:eastAsia="Consolas" w:hAnsi="Consolas"/>
                <w:color w:val="7A1526"/>
                <w:sz w:val="17"/>
                <w:szCs w:val="17"/>
              </w:rPr>
              <w:t xml:space="preserve">min_support</w:t>
            </w:r>
            <w:r>
              <w:rPr>
                <w:rFonts w:ascii="Cambria" w:cs="Cambria" w:eastAsia="Cambria" w:hAnsi="Cambria"/>
                <w:color w:val="2D2D2D"/>
                <w:sz w:val="19"/>
                <w:szCs w:val="19"/>
              </w:rPr>
              <w:t xml:space="preserve">, ¿qué se debería sospechar?</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Un analista concluye del experimento: </w:t>
            </w:r>
            <w:r>
              <w:rPr>
                <w:rFonts w:ascii="Cambria" w:cs="Cambria" w:eastAsia="Cambria" w:hAnsi="Cambria"/>
                <w:i/>
                <w:iCs/>
                <w:color w:val="2D2D2D"/>
                <w:sz w:val="19"/>
                <w:szCs w:val="19"/>
              </w:rPr>
              <w:t xml:space="preserve">"a soportes bajos conviene FP-Growth porque encuentra</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más reglas</w:t>
            </w:r>
            <w:r>
              <w:rPr>
                <w:rFonts w:ascii="Cambria" w:cs="Cambria" w:eastAsia="Cambria" w:hAnsi="Cambria"/>
                <w:color w:val="2D2D2D"/>
                <w:sz w:val="19"/>
                <w:szCs w:val="19"/>
              </w:rPr>
              <w:t xml:space="preserve"> </w:t>
            </w:r>
            <w:r>
              <w:rPr>
                <w:rFonts w:ascii="Cambria" w:cs="Cambria" w:eastAsia="Cambria" w:hAnsi="Cambria"/>
                <w:i/>
                <w:iCs/>
                <w:color w:val="2D2D2D"/>
                <w:sz w:val="19"/>
                <w:szCs w:val="19"/>
              </w:rPr>
              <w:t xml:space="preserve">que Apriori"</w:t>
            </w:r>
            <w:r>
              <w:rPr>
                <w:rFonts w:ascii="Cambria" w:cs="Cambria" w:eastAsia="Cambria" w:hAnsi="Cambria"/>
                <w:color w:val="2D2D2D"/>
                <w:sz w:val="19"/>
                <w:szCs w:val="19"/>
              </w:rPr>
              <w:t xml:space="preserve">. Corregir la afirmación: ¿qué gana realmente FP-Growth y qué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cambia entre los dos algoritmos?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3.1   </w:t>
            </w:r>
            <w:r>
              <w:rPr>
                <w:rFonts w:ascii="Calibri" w:cs="Calibri" w:eastAsia="Calibri" w:hAnsi="Calibri"/>
                <w:b/>
                <w:bCs/>
                <w:color w:val="7A1526"/>
                <w:sz w:val="19"/>
                <w:szCs w:val="19"/>
              </w:rPr>
              <w:t xml:space="preserve">Proyección — ¿qué pasaría si...?</w:t>
            </w:r>
          </w:p>
          <w:p>
            <w:pPr>
              <w:spacing w:after="70" w:line="265"/>
            </w:pPr>
            <w:r>
              <w:rPr>
                <w:rFonts w:ascii="Cambria" w:cs="Cambria" w:eastAsia="Cambria" w:hAnsi="Cambria"/>
                <w:color w:val="3A3A3A"/>
                <w:sz w:val="18"/>
                <w:szCs w:val="18"/>
              </w:rPr>
              <w:t xml:space="preserve">Apriori y FP-Growth descubren aquí qué productos se compran juntos. ¿Qué pasaría si, en lugar de eso, se quisiera predecir con anticipación qué cliente específico abandonará el servicio, sabiendo que solo el 1% de la base realmente lo hace? ¿Qué técnica estima esa probabilidad individual con una clase tan minoritaria? </w:t>
            </w:r>
            <w:r>
              <w:rPr>
                <w:rFonts w:ascii="Cambria" w:cs="Cambria" w:eastAsia="Cambria" w:hAnsi="Cambria"/>
                <w:i/>
                <w:iCs/>
                <w:color w:val="3A3A3A"/>
                <w:sz w:val="18"/>
                <w:szCs w:val="18"/>
              </w:rPr>
              <w:t xml:space="preserve">(No se resuelve aquí — la regresión logística es el tema de la S09.)</w:t>
            </w:r>
          </w:p>
        </w:tc>
      </w:tr>
    </w:tbl>
    <w:p>
      <w:pPr>
        <w:spacing w:after="220"/>
      </w:pPr>
    </w:p>
    <w:p>
      <w:pPr>
        <w:spacing w:after="260" w:line="265"/>
      </w:pPr>
      <w:r>
        <w:rPr>
          <w:rFonts w:ascii="Cambria" w:cs="Cambria" w:eastAsia="Cambria" w:hAnsi="Cambria"/>
          <w:i/>
          <w:iCs/>
          <w:color w:val="6E6E6E"/>
          <w:sz w:val="18"/>
          <w:szCs w:val="18"/>
        </w:rPr>
        <w:t xml:space="preserve">El procedimiento y las respuestas los conserva el docente. El desempeño en estos drills se refuerza en el </w:t>
      </w:r>
      <w:r>
        <w:rPr>
          <w:rFonts w:ascii="Cambria" w:cs="Cambria" w:eastAsia="Cambria" w:hAnsi="Cambria"/>
          <w:b/>
          <w:bCs/>
          <w:i/>
          <w:iCs/>
          <w:color w:val="6E6E6E"/>
          <w:sz w:val="18"/>
          <w:szCs w:val="18"/>
        </w:rPr>
        <w:t xml:space="preserve">control corto</w:t>
      </w:r>
      <w:r>
        <w:rPr>
          <w:rFonts w:ascii="Cambria" w:cs="Cambria" w:eastAsia="Cambria" w:hAnsi="Cambria"/>
          <w:i/>
          <w:iCs/>
          <w:color w:val="6E6E6E"/>
          <w:sz w:val="18"/>
          <w:szCs w:val="18"/>
        </w:rPr>
        <w:t xml:space="preserve"> de cierre de la sesión y se evalúa de forma integral en </w:t>
      </w:r>
      <w:r>
        <w:rPr>
          <w:rFonts w:ascii="Consolas" w:cs="Consolas" w:eastAsia="Consolas" w:hAnsi="Consolas"/>
          <w:i/>
          <w:iCs/>
          <w:color w:val="7A1526"/>
          <w:sz w:val="16"/>
          <w:szCs w:val="16"/>
        </w:rPr>
        <w:t xml:space="preserve">evaluacion/entregable.docx</w:t>
      </w:r>
      <w:r>
        <w:rPr>
          <w:rFonts w:ascii="Cambria" w:cs="Cambria" w:eastAsia="Cambria" w:hAnsi="Cambria"/>
          <w:i/>
          <w:iCs/>
          <w:color w:val="6E6E6E"/>
          <w:sz w:val="18"/>
          <w:szCs w:val="18"/>
        </w:rPr>
        <w:t xml:space="preserve">.</w:t>
      </w:r>
    </w:p>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Drills — Sesión S08: Reglas de asociación: soporte, confianza, lift y velocidad de Apriori vs. FP-Growth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Drills — Sesión S08</dc:title>
  <dc:creator>UPC</dc:creator>
  <dc:description>Reglas de asociación: soporte, confianza, lift y la velocidad de Apriori vs. FP-Growth</dc:description>
  <cp:lastModifiedBy>Un-named</cp:lastModifiedBy>
  <cp:revision>1</cp:revision>
  <dcterms:created xsi:type="dcterms:W3CDTF">2026-09-11T14:14:11.695Z</dcterms:created>
  <dcterms:modified xsi:type="dcterms:W3CDTF">2026-09-11T14:14:11.695Z</dcterms:modified>
</cp:coreProperties>
</file>

<file path=docProps/custom.xml><?xml version="1.0" encoding="utf-8"?>
<Properties xmlns="http://schemas.openxmlformats.org/officeDocument/2006/custom-properties" xmlns:vt="http://schemas.openxmlformats.org/officeDocument/2006/docPropsVTypes"/>
</file>