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A1526"/>
          <w:spacing w:val="40"/>
          <w:sz w:val="15"/>
          <w:szCs w:val="15"/>
        </w:rPr>
        <w:t xml:space="preserve">UPC · FACULTAD DE NEGOCIOS · PROGRAMA ADMINISTRACIÓN Y CIENCIA DE DATOS PARA NEGOCIOS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2D2D2D"/>
          <w:sz w:val="36"/>
          <w:szCs w:val="36"/>
        </w:rPr>
        <w:t xml:space="preserve">Entregable evaluable — Sesión S08</w:t>
      </w:r>
    </w:p>
    <w:p>
      <w:pPr>
        <w:pBdr>
          <w:bottom w:val="single" w:color="E4002B" w:sz="18" w:space="10"/>
        </w:pBdr>
        <w:spacing w:after="160"/>
      </w:pPr>
      <w:r>
        <w:rPr>
          <w:rFonts w:ascii="Cambria" w:cs="Cambria" w:eastAsia="Cambria" w:hAnsi="Cambria"/>
          <w:color w:val="7A1526"/>
          <w:sz w:val="28"/>
          <w:szCs w:val="28"/>
        </w:rPr>
        <w:t xml:space="preserve">Reglas de asociación y cross-selling sobre retail (Online Retail II · benchmark T10I4D100K)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CURSO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Herramientas para la Ciencia de Datos · Sesión 08 · Reglas de asociación y cross-selling sobre retail · Entregable evaluable · Material del estudiante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MODALIDAD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Trabajo en parejas durante el laboratorio · entrega individual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CALIFICACIÓN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Escala vigesimal 0–20, según la rúbrica de la sección 4 de este documento</w:t>
            </w:r>
          </w:p>
        </w:tc>
      </w:tr>
      <w:tr>
        <w:tc>
          <w:tcPr>
            <w:tcW w:type="dxa" w:w="22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CUADERNO</w:t>
            </w:r>
          </w:p>
        </w:tc>
        <w:tc>
          <w:tcPr>
            <w:tcW w:type="dxa" w:w="78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notebook/S08_reglas_asociacion.ipynb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(todo el análisis se desarrolla y reproduce aquí)</w:t>
            </w:r>
          </w:p>
        </w:tc>
      </w:tr>
    </w:tbl>
    <w:p>
      <w:pPr>
        <w:spacing w:after="150"/>
      </w:pPr>
    </w:p>
    <w:p>
      <w:pPr>
        <w:spacing w:after="180" w:line="265"/>
      </w:pPr>
      <w:r>
        <w:rPr>
          <w:rFonts w:ascii="Cambria" w:cs="Cambria" w:eastAsia="Cambria" w:hAnsi="Cambria"/>
          <w:color w:val="3A3A3A"/>
          <w:sz w:val="18"/>
          <w:szCs w:val="18"/>
        </w:rPr>
        <w:t xml:space="preserve">Material del estudiante. Trabajo evaluable de la Sesión 8. Modalidad: parejas,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entrega individual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Calificación vigesimal 0–20 según la rúbrica de este documento. Español impersonal.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Primera unidad de la 2.ª mitad del curso (post-PARCIAL).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</w:t>
      </w:r>
      <w:r>
        <w:rPr>
          <w:rFonts w:ascii="Cambria" w:cs="Cambria" w:eastAsia="Cambria" w:hAnsi="Cambria"/>
          <w:b/>
          <w:bCs/>
          <w:color w:val="3A3A3A"/>
          <w:sz w:val="18"/>
          <w:szCs w:val="18"/>
        </w:rPr>
        <w:t xml:space="preserve">El entregable se completa con: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la guía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plantillas/guia_one_hot_transacciones.docx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(preparación transaccional one-hot por ticket) y la plantilla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plantillas/top_reglas_impacto.docx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 (top-N de reglas con lectura de negocio y estimación de impacto). Todo el análisis se desarrolla en el cuaderno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notebook/S08_reglas_asociacion.ipynb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. Los ejercicios previos están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evaluacion/drills.docx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el diccionario de variables en </w:t>
      </w:r>
      <w:r>
        <w:rPr>
          <w:rFonts w:ascii="Consolas" w:cs="Consolas" w:eastAsia="Consolas" w:hAnsi="Consolas"/>
          <w:color w:val="7A1526"/>
          <w:sz w:val="16"/>
          <w:szCs w:val="16"/>
        </w:rPr>
        <w:t xml:space="preserve">data/diccionario_datos.md</w:t>
      </w:r>
      <w:r>
        <w:rPr>
          <w:rFonts w:ascii="Cambria" w:cs="Cambria" w:eastAsia="Cambria" w:hAnsi="Cambria"/>
          <w:color w:val="3A3A3A"/>
          <w:sz w:val="18"/>
          <w:szCs w:val="18"/>
        </w:rPr>
        <w:t xml:space="preserve">, los supuestos y decisiones de la sesión en la guía de supuestos de la sesión y las lecturas en la bibliografía de la sesión.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1526" w:color="auto" w:val="clear"/>
            <w:tcMar>
              <w:top w:type="dxa" w:w="180"/>
              <w:left w:type="dxa" w:w="150"/>
              <w:bottom w:type="dxa" w:w="180"/>
              <w:right w:type="dxa" w:w="15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30"/>
                <w:sz w:val="15"/>
                <w:szCs w:val="15"/>
              </w:rPr>
              <w:t xml:space="preserve">OBJETIVO DEL ENTREGABLE</w:t>
            </w:r>
          </w:p>
          <w:p>
            <w:pPr>
              <w:spacing w:line="280"/>
            </w:pPr>
            <w:r>
              <w:rPr>
                <w:rFonts w:ascii="Cambria" w:cs="Cambria" w:eastAsia="Cambria" w:hAnsi="Cambria"/>
                <w:color w:val="FFFFFF"/>
                <w:sz w:val="21"/>
                <w:szCs w:val="21"/>
              </w:rPr>
              <w:t xml:space="preserve">Preparar las canastas transaccionales en formato one-hot por ticket, minar itemsets frecuentes con Apriori y FP-Growth y verificar su identidad exacta, generar reglas de asociación y filtrar las triviales y redundantes por lift y conviction, seleccionar un top-N con lectura de negocio, estimar el impacto de cross-selling como un rango honesto, decidir explícitamente un supuesto metodológico de la sesión, y construir una feature booleana a partir de una regla top con su recomendación de negocio.</w:t>
            </w:r>
          </w:p>
        </w:tc>
      </w:tr>
    </w:tbl>
    <w:p>
      <w:pPr>
        <w:spacing w:after="200"/>
      </w:pPr>
    </w:p>
    <w:p>
      <w:pPr>
        <w:keepNext/>
        <w:spacing w:after="110" w:before="240"/>
      </w:pPr>
      <w:r>
        <w:rPr>
          <w:rFonts w:ascii="Calibri" w:cs="Calibri" w:eastAsia="Calibri" w:hAnsi="Calibri"/>
          <w:b/>
          <w:bCs/>
          <w:color w:val="7A1526"/>
          <w:sz w:val="21"/>
          <w:szCs w:val="21"/>
        </w:rPr>
        <w:t xml:space="preserve">Contenido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180"/>
        <w:gridCol w:w="2400"/>
      </w:tblGrid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1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Contexto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2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La tarea (ocho puntos, en este orden)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máx. 5 páginas + anexos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3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Formato de entrega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17"/>
                <w:szCs w:val="17"/>
              </w:rPr>
              <w:t xml:space="preserve">Sección 4</w:t>
            </w:r>
          </w:p>
        </w:tc>
        <w:tc>
          <w:tcPr>
            <w:tcW w:type="dxa" w:w="61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Rúbrica de evaluación</w:t>
            </w:r>
          </w:p>
        </w:tc>
        <w:tc>
          <w:tcPr>
            <w:tcW w:type="dxa" w:w="24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6E6E6E"/>
                <w:sz w:val="17"/>
                <w:szCs w:val="17"/>
              </w:rPr>
              <w:t xml:space="preserve">vigesimal, total 20</w:t>
            </w:r>
          </w:p>
        </w:tc>
      </w:tr>
    </w:tbl>
    <w:p>
      <w:pPr>
        <w:spacing w:after="22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CONTEXTO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Online Retail II, T10I4D100K y el ciclo de reglas de asociación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Toda empresa que registra ventas ya tiene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canastas de mercado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: qué productos entran juntos en cada ticket. El análisis de reglas de asociación extrae de esas canastas patrones accionables —"quienes compran X también compran Y"— sin necesitar datos demográficos ni un modelo predictivo. El valor no está en generar reglas (el algoritmo produce cientos), sino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filtrar las triviales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, quedarse con un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top-N legible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y traducirlo en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acciones de cross-selling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con una estimación de impacto declarada. Este entregable recorre ese ciclo sobre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Online Retail II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(e-commerce británico de regalos, 2009–2011), y ancla la comparación de algoritmos en el benchmark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T10I4D100K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Minado y algoritmos: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preparar las canastas en formato one-hot por factura, minar itemsets frecuentes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Apriori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FP-Growth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y comparar ambos (identidad del resultado y eficiencia).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Reglas y negocio: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generar reglas,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filtrar las triviales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por lift/conviction, seleccionar un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top-N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con lectura de negocio,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estimar el impacto de cross-selling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de las reglas top (rango con supuestos declarados).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TAREA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Ocho puntos, en este orden — informe máx. 5 páginas + anexos del cuaderno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Elaborar un informe (máx. 5 páginas + anexos del cuaderno) que contenga, en este orden: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Preparación transaccional (one-hot por ticket)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Cargar la muestra de canastas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data/online_retail_baskets_muestra.csv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(800 facturas con todas sus líneas; columnas reales: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Invoice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StockCode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Description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Country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 la muestra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ya viene limpia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: sin cancelaciones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Invoice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que empiezan por C, sin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Description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nula; no trae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Customer ID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Quantity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ni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Price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así que esos filtros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aplican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este CSV). Verificar por código que no quedan facturas C ni descripciones nulas, y construir 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transacción = lista de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Description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distintas por </w:t>
            </w:r>
            <w:r>
              <w:rPr>
                <w:rFonts w:ascii="Consolas" w:cs="Consolas" w:eastAsia="Consolas" w:hAnsi="Consolas"/>
                <w:b/>
                <w:bCs/>
                <w:color w:val="7A1526"/>
                <w:sz w:val="16"/>
                <w:szCs w:val="16"/>
              </w:rPr>
              <w:t xml:space="preserve">Invoice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Convertir a matriz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one-hot booleana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TransactionEncoder (una fila = una factura, columnas = productos, True/False). Reportar la forma de la matriz y advertir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dispersión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Seguir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plantillas/guia_one_hot_transacciones.docx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(Advertencia: una fila = una transacción;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ambria" w:cs="Cambria" w:eastAsia="Cambria" w:hAnsi="Cambria"/>
                <w:i/>
                <w:iCs/>
                <w:color w:val="3A3A3A"/>
                <w:sz w:val="18"/>
                <w:szCs w:val="18"/>
              </w:rPr>
              <w:t xml:space="preserve">agrupar por cliente ni usar cantidades en vez de presencia/ausencia.)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2.2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Minado de itemsets: Apriori vs. FP-Growth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Minar los itemsets frecuentes con apriori(onehot,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min_support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=...,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use_colnames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=True) y con fpgrowth(...) al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mismo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min_support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Verificar que ambos devuelven el mismo conjunto exacto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 itemsets (mismo número y mismos soportes) —verificación de correctitud—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cronometrar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ambos para varios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min_support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decrecientes, y mostrar la tabla tiempo-vs-soporte y el nº de itemsets (que crece al bajar el umbral). Anclar esta comparación de eficiencia en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T10I4D100K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(benchmark). Concluir sobre cuál escala mejor y por qué.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2.3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Generación de reglas y métricas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association_rules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(...), generar las reglas y mostrar las columnas support, confidence, lift, leverage y conviction. Cada métrica de una regla X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Y se define sobre los soportes: soporte(X) = (nº de transacciones que contienen X) / N; confianza(X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Y) = soporte(X y Y) / soporte(X); lift(X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Y) = confianza(X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Y) / soporte(Y) = soporte(X y Y) / (soporte(X)·soporte(Y)); leverage(X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Y) = soporte(X y Y) − soporte(X)·soporte(Y);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conviction(X→Y) = (1−soporte(Y)) / (1−confianza(X→Y))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Explicar qué responde cada una (volumen; fiabilidad aparente; cuánto supera al azar —métrica de decisión—; exceso absoluto sobre la independencia, el glosario de la sesión; implicación real).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Ordenar por lift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(no por confianza).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2.4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Filtrado de reglas triviales y redundantes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Descartar reglas con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lift </w:t>
            </w: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≤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 1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(triviales/sustituciones) y colapsar familias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redundantes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(si {A}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{C} y {A,B}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→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{C} tienen métricas equivalentes, conservar la más simple). Sobre Online Retail II a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min_support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0,02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 existe ninguna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regla con confianza alta y lift ≈ 1 (el lift mínimo real del conjunto de reglas está muy por encima de 1): en su lugar, señalar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la regla retenida de MENOR lift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entre las que sobreviven el filtro y explicar por qué un lift bajo (pero mayor que 1)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no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implica independencia total, sino una asociación real aunque débil, y distinguirlo explícitamente de lift ≈ 1 (que sí sería independencia). Usar conviction como criterio de desempate. Documentar el orden de filtrado aplicado.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2.5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Top-N con lectura de negocio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Seleccionar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top-N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(5–15 reglas) ordenado por lift, y para cada una escribir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lectura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(qué se compra con qué y qué palanca comercial sugiere: colocación conjunta, bundle, cupón cruzado o recomendación). Descartar reglas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obvias por definición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producto. Materializar en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plantillas/top_reglas_impacto.docx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2.6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Estimación de impacto de cross-selling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Para 2–3 reglas top, estimar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impacto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la fórmula del curso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trans_incrementales(Y) ≈ N·soporte(X)·(confianza(X→Y) − soporte(Y))·tasa_adopción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impacto(Y) ≈ trans_incrementales(Y)·margen(Y)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(en GBP). El factor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(confianza(X→Y) − soporte(Y))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es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exceso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sobre el nivel base (si el lift = 1 el exceso es 0). Declarar explícitamente los supuestos (margen,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tasa_adopción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p. ej. 5–15 %) y reportar el resultado como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rango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no como cifra exacta.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Definir el horizonte temporal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del impacto (p. ej. anual o el periodo completo del dataset ~2 años, 2009–2011)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encuadrarlo como cartera de las top-N reglas automatizada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—no una regla aislada, que resulta económicamente trivial—, y reconciliar el agregado con el rango sectorial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+15-30 % de AOV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(las fuentes de actualidad de la sesión). Advertir que el lift mide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asociación, no causalidad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(la cifra es una hipótesis a validar con A/B testing de S02).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2.7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Supuesto/decisión crítica de la sesión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Identificar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decidir explícitamente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al menos un supuesto o decisión metodológica de las que gobiernan la sesión —la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elección del soporte mínimo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min_support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(el umbral que gobierna la explosión combinatoria de itemsets), el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sesgo de la confianza frente al lift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(por qué una confianza alta puede inducir a error cuando el consecuente es popular, y cómo el lift la corrige), o el descarte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reglas espurias/redundantes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y el riesgo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comparaciones múltiples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— e indicar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identifica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(señal, gráfico o métrica, con su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umbral práctico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cómo se decide o corrige, y por qué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, según la guía de supuestos de la sesión (soporte mínimo Parte 2.1; sesgo de la confianza Parte 3.1; el lift como corrección Parte 3.2; reglas espurias y comparaciones múltiples Parte 4.1; triviales y redundantes Parte 4.2). No basta con aplicarlo de forma implícita: debe quedar escrito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qué se decidió y con qué criterio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2.8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Reglas como features + recomendación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Construir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una columna booleana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 partir de una regla top (cumple_{X} = transacciones que contienen el antecedente) como ejemplo de feature reutilizable, y explicar cómo alimentaría un modelo supervisado de S09–S10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sin ajustarlo aquí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Cerrar con una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recomendación de negocio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accionable (qué 2–3 reglas activar y con qué palanca) y las salvaguardas.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FORMATO DE ENTREGA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/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9380"/>
      </w:tblGrid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1.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Informe en.md o.docx con las figuras y tablas exportadas desde el cuaderno.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2.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análisis reproducible en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notebook/S08_reglas_asociacion.ipynb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los resultados numéricos (itemsets por tamaño y soporte, tabla comparativa Apriori/FP-Growth con conteo idéntico + soportes, tabla tiempo-vs-soporte, tabla de reglas top con métricas, estimación de impacto) volcados 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resultados/S08_resultados.xlsx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y 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3 figuras de resultados generadas al leer ese Excel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(convención del curso): itemsets Apriori vs. FP-Growth (idénticos), tiempo vs. soporte mínimo, y top-N de reglas de retail por lift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S08_top_reglas_lift_retail.png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— barra horizontal de lift por regla, no un histograma de distribución).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3.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Toda cifra citada en el informe debe existir en el cuaderno o en el Excel de resultados. Los conteos de itemsets/reglas son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deterministas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(no dependen de semilla); todo muestreo usa 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random_state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=42.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4.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El top-N debe presentarse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nombres de producto legibles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color w:val="7A1526"/>
                <w:sz w:val="17"/>
                <w:szCs w:val="17"/>
              </w:rPr>
              <w:t xml:space="preserve">Description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), no con códigos.</w:t>
            </w:r>
          </w:p>
        </w:tc>
      </w:tr>
      <w:tr>
        <w:tc>
          <w:tcPr>
            <w:tcW w:type="dxa" w:w="70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1526"/>
                <w:sz w:val="20"/>
                <w:szCs w:val="20"/>
              </w:rPr>
              <w:t xml:space="preserve">5.</w:t>
            </w:r>
          </w:p>
        </w:tc>
        <w:tc>
          <w:tcPr>
            <w:tcW w:type="dxa" w:w="938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line="265"/>
            </w:pP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Prohibido: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ordenar o seleccionar reglas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por confianza sola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(sin tomar en cuenta el lift); agrupar el one-hot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por cliente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vez de por ticket; usar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cantidades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en vez de presencia/ausencia; presentar la estimación de impacto como cifra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garantizada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o interpretar el lift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causalidad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; comparar el nº de reglas de Apriori vs. FP-Growth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como si midiera calidad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 (debe ser idéntico);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9"/>
                <w:szCs w:val="19"/>
              </w:rPr>
              <w:t xml:space="preserve">entrenar un clasificador supervisado</w:t>
            </w:r>
            <w:r>
              <w:rPr>
                <w:rFonts w:ascii="Cambria" w:cs="Cambria" w:eastAsia="Cambria" w:hAnsi="Cambria"/>
                <w:color w:val="2D2D2D"/>
                <w:sz w:val="19"/>
                <w:szCs w:val="19"/>
              </w:rPr>
              <w:t xml:space="preserve">, ajustar regresión logística/GLM (S09) o aplicar filtrado colaborativo (S14) —fuera de alcance—.</w:t>
            </w:r>
          </w:p>
        </w:tc>
      </w:tr>
    </w:tbl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7A1526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7A1526"/>
          <w:spacing w:val="20"/>
          <w:sz w:val="24"/>
          <w:szCs w:val="24"/>
        </w:rPr>
        <w:t xml:space="preserve">RÚBRICA DE EVALUACIÓN</w:t>
      </w:r>
    </w:p>
    <w:p>
      <w:pPr>
        <w:keepNext/>
        <w:pBdr>
          <w:bottom w:val="single" w:color="E4002B" w:sz="14" w:space="8"/>
        </w:pBdr>
        <w:spacing w:after="140"/>
      </w:pPr>
      <w:r>
        <w:rPr>
          <w:rFonts w:ascii="Cambria" w:cs="Cambria" w:eastAsia="Cambria" w:hAnsi="Cambria"/>
          <w:i/>
          <w:iCs/>
          <w:color w:val="6E6E6E"/>
          <w:sz w:val="19"/>
          <w:szCs w:val="19"/>
        </w:rPr>
        <w:t xml:space="preserve">Escala vigesimal, 0–20 · siete criterios × cuatro niveles</w:t>
      </w:r>
      <w:r>
        <w:rPr>
          <w:rFonts w:ascii="Cambria" w:cs="Cambria" w:eastAsia="Cambria" w:hAnsi="Cambria"/>
          <w:b/>
          <w:bCs/>
          <w:color w:val="7A1526"/>
          <w:sz w:val="19"/>
          <w:szCs w:val="19"/>
        </w:rPr>
        <w:t xml:space="preserve">   |   total 20 puntos</w:t>
      </w:r>
    </w:p>
    <w:p>
      <w:pPr>
        <w:spacing w:line="270"/>
      </w:pPr>
      <w:r>
        <w:rPr>
          <w:rFonts w:ascii="Cambria" w:cs="Cambria" w:eastAsia="Cambria" w:hAnsi="Cambria"/>
          <w:color w:val="2D2D2D"/>
          <w:sz w:val="20"/>
          <w:szCs w:val="20"/>
        </w:rPr>
        <w:t xml:space="preserve">Siete criterios × cuatro niveles. La columna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Peso (máx.)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 es el puntaje del nivel </w:t>
      </w:r>
      <w:r>
        <w:rPr>
          <w:rFonts w:ascii="Cambria" w:cs="Cambria" w:eastAsia="Cambria" w:hAnsi="Cambria"/>
          <w:i/>
          <w:iCs/>
          <w:color w:val="2D2D2D"/>
          <w:sz w:val="20"/>
          <w:szCs w:val="20"/>
        </w:rPr>
        <w:t xml:space="preserve">Excelente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; los pesos </w:t>
      </w:r>
      <w:r>
        <w:rPr>
          <w:rFonts w:ascii="Cambria" w:cs="Cambria" w:eastAsia="Cambria" w:hAnsi="Cambria"/>
          <w:b/>
          <w:bCs/>
          <w:color w:val="2D2D2D"/>
          <w:sz w:val="20"/>
          <w:szCs w:val="20"/>
        </w:rPr>
        <w:t xml:space="preserve">suman exactamente 20</w:t>
      </w:r>
      <w:r>
        <w:rPr>
          <w:rFonts w:ascii="Cambria" w:cs="Cambria" w:eastAsia="Cambria" w:hAnsi="Cambria"/>
          <w:color w:val="2D2D2D"/>
          <w:sz w:val="20"/>
          <w:szCs w:val="20"/>
        </w:rPr>
        <w:t xml:space="preserve">. Cada nivel otorga el puntaje indicado entre paréntesis.</w:t>
      </w:r>
    </w:p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20"/>
        <w:gridCol w:w="1638"/>
        <w:gridCol w:w="1638"/>
        <w:gridCol w:w="1638"/>
        <w:gridCol w:w="1638"/>
        <w:gridCol w:w="908"/>
      </w:tblGrid>
      <w:tr>
        <w:trPr>
          <w:tblHeader/>
        </w:trPr>
        <w:tc>
          <w:tcPr>
            <w:tcW w:type="dxa" w:w="2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CRITERIO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INSUFICIENTE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BÁSICO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COMPETENTE</w:t>
            </w:r>
          </w:p>
        </w:tc>
        <w:tc>
          <w:tcPr>
            <w:tcW w:type="dxa" w:w="1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EXCELENTE</w:t>
            </w:r>
          </w:p>
        </w:tc>
        <w:tc>
          <w:tcPr>
            <w:tcW w:type="dxa" w:w="9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450" w:color="auto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C1. Preparación transaccional one-hot por ticket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arma la matriz o la arma mal (por cliente, con cantidades).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Arma un one-hot pero con un error (agrupa mal, no de-duplica, no limpia).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Limpia y arma one-hot booleano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por factura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con TransactionEncoder, una fila = un ticket.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One-hot booleano por factura correcto, con limpieza documentada, forma y dispersión reportadas, y advertencia explícita de no agrupar por cliente ni usar cantidades.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C2. Apriori vs. FP-Growth: identidad + eficiencia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mina itemsets o usa un solo algoritmo sin comparar.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Corre Apriori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FP-Growth, sin verificar la identidad ni cronometrar.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Corre ambos,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verifica que dan el mismo conjunto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muestra al menos un contraste de tiempo.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Ejecuta ambos, verifica 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identidad exacta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(mismo nº y soportes) como verificación de correctitud, tabula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tiempo-vs-soporte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decreciente sobre T10I4D100K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concluye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que FP-Growth escala mejor, y explica por qué (sin candidatos vs. genera candidatos).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C3. Métricas y filtrado de triviales/redundantes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calcula las métricas o no filtra.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Muestra métricas pero ordena por confianza y no descarta triviales.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Ordena por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lift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descarta lift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≤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1 y muestra las métricas correctas.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Ordena por lift,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descarta triviales (lift </w:t>
            </w:r>
            <w:r>
              <w:rPr>
                <w:rFonts w:ascii="Calibri" w:cs="Calibri" w:eastAsia="Calibri" w:hAnsi="Calibri"/>
                <w:b/>
                <w:bCs/>
                <w:color w:val="2D2D2D"/>
                <w:sz w:val="16"/>
                <w:szCs w:val="16"/>
              </w:rPr>
              <w:t xml:space="preserve">≤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 1) y redundantes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señala la regla retenida de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MENOR lift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explica por qué un lift bajo (&gt;1) no es independencia total, y usa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conviction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como desempate, y documenta el orden de filtrado.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(4)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C4. Top-N con lectura de negocio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top-N o sin lectura de negocio.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Lista reglas sin nombres legibles o sin acción comercial.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Presenta un top-N legible con una lectura de negocio por regla.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Top-N (5–15) legible por nombre de producto, ordenado por lift, con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lectura de negocio y palanca comercial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por regla y descarte de reglas obvias por definición.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(3)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C5. Estimación de impacto de cross-selling + Excel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estima impacto o sin cuaderno reproducible.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Da una cifra sin supuestos o sin volcar a Excel.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Aplica la fórmula de impacto a alguna regla y vuelca resultados a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S08_resultados.xlsx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Estima el impacto de 2–3 reglas con la fórmula del exceso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(confianza − soporte(Y))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supuestos declarados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(margen, tasa de adopción),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horizonte temporal explícito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encuadre de cartera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(top-N automatizada, reconciliada con el +15-30 % de AOV), resultado como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rango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con resultados en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S08_resultados.xlsx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gráficas leídas del Excel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y advertencia asociación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causalidad.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C6. Reglas como features + recomendación de negocio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Sin recomendación ni feature.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Recomendación vaga; feature ausente o mal construida.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Construye una feature booleana desde una regla y da una recomendación ligada a las reglas.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Construye cumple_{X} (feature booleana,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sin ajustar modelo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), explica el puente a S09–S10, y cierra con recomendación accionable (qué 2–3 reglas activar) + salvaguardas (impacto = hipótesis a validar; lift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≠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causalidad; el modelo supervisado es posterior).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BEFF1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620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b/>
                <w:bCs/>
                <w:color w:val="7A1526"/>
                <w:sz w:val="17"/>
                <w:szCs w:val="17"/>
              </w:rPr>
              <w:t xml:space="preserve">C7. Supuesto/decisión crítica identificada y decidida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No identifica ningún supuesto/decisión, o lo aplica sin nombrarlo.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(0)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Menciona un supuesto (p. ej. elegir </w:t>
            </w:r>
            <w:r>
              <w:rPr>
                <w:rFonts w:ascii="Consolas" w:cs="Consolas" w:eastAsia="Consolas" w:hAnsi="Consolas"/>
                <w:color w:val="7A1526"/>
                <w:sz w:val="14"/>
                <w:szCs w:val="14"/>
              </w:rPr>
              <w:t xml:space="preserve">min_support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pero sin diagnóstico ni criterio.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un supuesto/decisión con su señal o umbral y toma la decisión correcta.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(1,5)</w:t>
            </w:r>
          </w:p>
        </w:tc>
        <w:tc>
          <w:tcPr>
            <w:tcW w:type="dxa" w:w="163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line="250"/>
            </w:pP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Identifica y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decide explícitamente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</w:t>
            </w:r>
            <w:r>
              <w:rPr>
                <w:rFonts w:ascii="Calibri" w:cs="Calibri" w:eastAsia="Calibri" w:hAnsi="Calibri"/>
                <w:color w:val="2D2D2D"/>
                <w:sz w:val="16"/>
                <w:szCs w:val="16"/>
              </w:rPr>
              <w:t xml:space="preserve">≥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 1 supuesto/decisión (soporte mínimo, sesgo de la confianza frente al lift, o reglas espurias/comparaciones múltiples), con su diagnóstico (señal/gráfico/métrica +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umbral</w:t>
            </w:r>
            <w:r>
              <w:rPr>
                <w:rFonts w:ascii="Cambria" w:cs="Cambria" w:eastAsia="Cambria" w:hAnsi="Cambria"/>
                <w:color w:val="2D2D2D"/>
                <w:sz w:val="16"/>
                <w:szCs w:val="16"/>
              </w:rPr>
              <w:t xml:space="preserve">) y justificación, según la guía de supuestos de la sesión. </w:t>
            </w:r>
            <w:r>
              <w:rPr>
                <w:rFonts w:ascii="Cambria" w:cs="Cambria" w:eastAsia="Cambria" w:hAnsi="Cambria"/>
                <w:b/>
                <w:bCs/>
                <w:color w:val="2D2D2D"/>
                <w:sz w:val="16"/>
                <w:szCs w:val="16"/>
              </w:rPr>
              <w:t xml:space="preserve">(2)</w:t>
            </w:r>
          </w:p>
        </w:tc>
        <w:tc>
          <w:tcPr>
            <w:tcW w:type="dxa" w:w="908"/>
            <w:tcBorders>
              <w:top w:val="single" w:color="DFE2E6" w:sz="4"/>
              <w:left w:val="none" w:color="FFFFFF" w:sz="0"/>
              <w:bottom w:val="single" w:color="DFE2E6" w:sz="4"/>
              <w:right w:val="none" w:color="FFFFFF" w:sz="0"/>
            </w:tcBorders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9D9D9" w:sz="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8"/>
                <w:szCs w:val="18"/>
              </w:rPr>
              <w:t xml:space="preserve">Puntaje total = C1 + C2 + C3 + C4 + C5 + C6 + C7 = 3 + 4 + 4 + 3 + 2 + 2 + 2 = 20 puntos.</w:t>
            </w:r>
          </w:p>
        </w:tc>
      </w:tr>
    </w:tbl>
    <w:p>
      <w:pPr>
        <w:spacing w:after="2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002B" w:sz="14"/>
              <w:left w:val="none" w:color="FFFFFF" w:sz="0"/>
              <w:bottom w:val="single" w:color="D9D9D9" w:sz="4"/>
              <w:right w:val="none" w:color="FFFFFF" w:sz="0"/>
            </w:tcBorders>
            <w:shd w:fill="F2F3F5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keepNext/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A1526"/>
                <w:sz w:val="15"/>
                <w:szCs w:val="15"/>
              </w:rPr>
              <w:t xml:space="preserve">NOTA TÉCNICA 4.1   </w:t>
            </w:r>
            <w:r>
              <w:rPr>
                <w:rFonts w:ascii="Calibri" w:cs="Calibri" w:eastAsia="Calibri" w:hAnsi="Calibri"/>
                <w:b/>
                <w:bCs/>
                <w:color w:val="7A1526"/>
                <w:sz w:val="19"/>
                <w:szCs w:val="19"/>
              </w:rPr>
              <w:t xml:space="preserve">Honestidad analítica: la referencia de la muestra y del benchmark</w:t>
            </w:r>
          </w:p>
          <w:p>
            <w:pPr>
              <w:spacing w:after="70" w:line="265"/>
            </w:pP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No hay una única selección "correcta" de reglas, pero el análisis debe ser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coherente con la evidencia y trazable al Excel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. Como referencia sobre la muestra de 800 facturas, un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min_support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0.02 produce del orden de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~215 itemsets frecuentes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(Apriori = FP-Growth)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~38 reglas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confidence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0.3; las de mayor lift son juegos de tazas «Regency Teacup» (lift ≈ 33), un cross-selling nítido. Sobre el benchmark T10I4D100K, </w:t>
            </w:r>
            <w:r>
              <w:rPr>
                <w:rFonts w:ascii="Consolas" w:cs="Consolas" w:eastAsia="Consolas" w:hAnsi="Consolas"/>
                <w:color w:val="7A1526"/>
                <w:sz w:val="16"/>
                <w:szCs w:val="16"/>
              </w:rPr>
              <w:t xml:space="preserve">min_support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= 0.01 da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385 itemsets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(idénticos en ambos algoritmos) y </w:t>
            </w:r>
            <w:r>
              <w:rPr>
                <w:rFonts w:ascii="Cambria" w:cs="Cambria" w:eastAsia="Cambria" w:hAnsi="Cambria"/>
                <w:b/>
                <w:bCs/>
                <w:color w:val="3A3A3A"/>
                <w:sz w:val="18"/>
                <w:szCs w:val="18"/>
              </w:rPr>
              <w:t xml:space="preserve">7 reglas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con confidence </w:t>
            </w:r>
            <w:r>
              <w:rPr>
                <w:rFonts w:ascii="Calibri" w:cs="Calibri" w:eastAsia="Calibri" w:hAnsi="Calibri"/>
                <w:color w:val="3A3A3A"/>
                <w:sz w:val="18"/>
                <w:szCs w:val="18"/>
              </w:rPr>
              <w:t xml:space="preserve">≥</w:t>
            </w:r>
            <w:r>
              <w:rPr>
                <w:rFonts w:ascii="Cambria" w:cs="Cambria" w:eastAsia="Cambria" w:hAnsi="Cambria"/>
                <w:color w:val="3A3A3A"/>
                <w:sz w:val="18"/>
                <w:szCs w:val="18"/>
              </w:rPr>
              <w:t xml:space="preserve"> 0.5. Un trabajo que ordene reglas por confianza sola, agrupe el one-hot por cliente, presente el impacto como cifra garantizada, interprete el lift como causalidad, o compare el nº de reglas de Apriori vs. FP-Growth como diferencia de calidad no puede alcanzar C2/C3/C5 altos.</w:t>
            </w:r>
          </w:p>
        </w:tc>
      </w:tr>
    </w:tbl>
    <w:p>
      <w:pPr>
        <w:spacing w:after="220"/>
      </w:pPr>
    </w:p>
    <w:p>
      <w:pPr>
        <w:spacing w:after="260" w:line="265"/>
      </w:pP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El desempeño en este entregable se refuerza con el </w:t>
      </w:r>
      <w:r>
        <w:rPr>
          <w:rFonts w:ascii="Cambria" w:cs="Cambria" w:eastAsia="Cambria" w:hAnsi="Cambria"/>
          <w:b/>
          <w:bCs/>
          <w:i/>
          <w:iCs/>
          <w:color w:val="6E6E6E"/>
          <w:sz w:val="18"/>
          <w:szCs w:val="18"/>
        </w:rPr>
        <w:t xml:space="preserve">control corto</w:t>
      </w:r>
      <w:r>
        <w:rPr>
          <w:rFonts w:ascii="Cambria" w:cs="Cambria" w:eastAsia="Cambria" w:hAnsi="Cambria"/>
          <w:i/>
          <w:iCs/>
          <w:color w:val="6E6E6E"/>
          <w:sz w:val="18"/>
          <w:szCs w:val="18"/>
        </w:rPr>
        <w:t xml:space="preserve"> de cierre y con los ítems [S08] del banco de exámenes. Alimenta la fase «Modelado/Despliegue» del proyecto integrador. Lecturas de apoyo: los papers de Agrawal, Imieliński &amp; Swami (1993), Agrawal &amp; Srikant (1994, Apriori), Han, Pei &amp; Yin (2000, FP-Growth) y Brin et al. (1997, lift/conviction) en la bibliografía de la sesión, y el cap. 5 de Tan, Steinbach &amp; Kumar.</w:t>
      </w:r>
    </w:p>
    <w:sectPr>
      <w:headerReference w:type="default" r:id="rId7"/>
      <w:footerReference w:type="default" r:id="rId8"/>
      <w:pgSz w:w="12240" w:h="15840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E6E"/>
        <w:sz w:val="14"/>
        <w:szCs w:val="14"/>
      </w:rPr>
      <w:t xml:space="preserve">Herramientas para la Ciencia de Datos, UPC, Facultad de Negocios     |     </w:t>
    </w:r>
    <w:r>
      <w:rPr>
        <w:rFonts w:ascii="Calibri" w:cs="Calibri" w:eastAsia="Calibri" w:hAnsi="Calibri"/>
        <w:b/>
        <w:bCs/>
        <w:color w:val="7A152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FE2E6" w:sz="4" w:space="4"/>
      </w:pBdr>
      <w:spacing w:after="120"/>
    </w:pPr>
    <w:r>
      <w:rPr>
        <w:rFonts w:ascii="Calibri" w:cs="Calibri" w:eastAsia="Calibri" w:hAnsi="Calibri"/>
        <w:color w:val="6E6E6E"/>
        <w:sz w:val="15"/>
        <w:szCs w:val="15"/>
      </w:rPr>
      <w:t xml:space="preserve">Entregable evaluable — Sesión S08: Reglas de asociación y cross-selling sobre retail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evaluable — Sesión S08</dc:title>
  <dc:creator>UPC</dc:creator>
  <dc:description>Reglas de asociación y cross-selling sobre retail (Online Retail II · benchmark T10I4D100K)</dc:description>
  <cp:lastModifiedBy>Un-named</cp:lastModifiedBy>
  <cp:revision>1</cp:revision>
  <dcterms:created xsi:type="dcterms:W3CDTF">2026-09-11T14:14:11.910Z</dcterms:created>
  <dcterms:modified xsi:type="dcterms:W3CDTF">2026-09-11T14:14:11.911Z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