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Benchmark de clasificadores — tabla de métricas, curvas ROC/PR y elección del campeón por PR-AUC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S10 — Herramientas para la Ciencia de Datos (UPC). Registra, bajo un </w:t>
      </w:r>
      <w:r>
        <w:rPr>
          <w:b/>
          <w:color w:val="2D2D2D"/>
        </w:rPr>
        <w:t>mismo protocolo reproducible</w:t>
      </w:r>
      <w:r>
        <w:rPr>
          <w:color w:val="2D2D2D"/>
        </w:rPr>
        <w:t xml:space="preserve">, la comparación de varios clasificadores (LDA, QDA, Naive Bayes y una línea base logística) sobre un problema </w:t>
      </w:r>
      <w:r>
        <w:rPr>
          <w:b/>
          <w:color w:val="2D2D2D"/>
        </w:rPr>
        <w:t>desbalanceado</w:t>
      </w:r>
      <w:r>
        <w:rPr>
          <w:color w:val="2D2D2D"/>
        </w:rPr>
        <w:t xml:space="preserve"> (fraude 99:1). Una fila por modelo; columnas de las </w:t>
      </w:r>
      <w:r>
        <w:rPr>
          <w:b/>
          <w:color w:val="2D2D2D"/>
        </w:rPr>
        <w:t>métricas correctas</w:t>
      </w:r>
      <w:r>
        <w:rPr>
          <w:color w:val="2D2D2D"/>
        </w:rPr>
        <w:t xml:space="preserve"> —precision, recall, F1, </w:t>
      </w:r>
      <w:r>
        <w:rPr>
          <w:b/>
          <w:color w:val="2D2D2D"/>
        </w:rPr>
        <w:t>PR-AUC (average precision)</w:t>
      </w:r>
      <w:r>
        <w:rPr>
          <w:color w:val="2D2D2D"/>
        </w:rPr>
        <w:t xml:space="preserve"> y log-loss— </w:t>
      </w:r>
      <w:r>
        <w:rPr>
          <w:b/>
          <w:color w:val="2D2D2D"/>
        </w:rPr>
        <w:t>sin usar la accuracy como métrica de negocio</w:t>
      </w:r>
      <w:r>
        <w:rPr>
          <w:color w:val="2D2D2D"/>
        </w:rPr>
        <w:t xml:space="preserve">. Se completa con los resultados del cuaderno </w:t>
      </w:r>
      <w:r>
        <w:rPr>
          <w:rFonts w:ascii="Consolas" w:hAnsi="Consolas"/>
          <w:color w:val="2D2D2D"/>
          <w:sz w:val="19"/>
        </w:rPr>
        <w:t>notebook/S10_clasificadores_clasicos.ipynb</w:t>
      </w:r>
      <w:r>
        <w:rPr>
          <w:color w:val="2D2D2D"/>
        </w:rPr>
        <w:t xml:space="preserve"> y del archivo </w:t>
      </w:r>
      <w:r>
        <w:rPr>
          <w:rFonts w:ascii="Consolas" w:hAnsi="Consolas"/>
          <w:color w:val="2D2D2D"/>
          <w:sz w:val="19"/>
        </w:rPr>
        <w:t>resultados/S10_resultados.xlsx</w:t>
      </w:r>
      <w:r>
        <w:rPr>
          <w:color w:val="2D2D2D"/>
        </w:rPr>
        <w:t xml:space="preserve">. El </w:t>
      </w:r>
      <w:r>
        <w:rPr>
          <w:b/>
          <w:color w:val="2D2D2D"/>
        </w:rPr>
        <w:t>campeón</w:t>
      </w:r>
      <w:r>
        <w:rPr>
          <w:color w:val="2D2D2D"/>
        </w:rPr>
        <w:t xml:space="preserve"> se elige por </w:t>
      </w:r>
      <w:r>
        <w:rPr>
          <w:b/>
          <w:color w:val="2D2D2D"/>
        </w:rPr>
        <w:t>PR-AUC</w:t>
      </w:r>
      <w:r>
        <w:rPr>
          <w:color w:val="2D2D2D"/>
        </w:rPr>
        <w:t xml:space="preserve"> y se le fija un </w:t>
      </w:r>
      <w:r>
        <w:rPr>
          <w:b/>
          <w:color w:val="2D2D2D"/>
        </w:rPr>
        <w:t>umbral</w:t>
      </w:r>
      <w:r>
        <w:rPr>
          <w:color w:val="2D2D2D"/>
        </w:rPr>
        <w:t xml:space="preserve"> por costo (enlace con S09).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benchmark de clasificadores estandariza la comparación para que la decisión de </w:t>
      </w:r>
      <w:r>
        <w:rPr>
          <w:b/>
        </w:rPr>
        <w:t>qué modelo desplegar</w:t>
      </w:r>
      <w:r>
        <w:t xml:space="preserve"> sea auditable y reproducible: todos los modelos se entrenan con el </w:t>
      </w:r>
      <w:r>
        <w:rPr>
          <w:b/>
        </w:rPr>
        <w:t>mismo split estratificado</w:t>
      </w:r>
      <w:r>
        <w:t xml:space="preserve">, la </w:t>
      </w:r>
      <w:r>
        <w:rPr>
          <w:b/>
        </w:rPr>
        <w:t>misma semilla</w:t>
      </w:r>
      <w:r>
        <w:t xml:space="preserve">, el </w:t>
      </w:r>
      <w:r>
        <w:rPr>
          <w:b/>
        </w:rPr>
        <w:t>mismo preprocesamiento</w:t>
      </w:r>
      <w:r>
        <w:t xml:space="preserve"> y se evalúan con las </w:t>
      </w:r>
      <w:r>
        <w:rPr>
          <w:b/>
        </w:rPr>
        <w:t>mismas métricas</w:t>
      </w:r>
      <w:r>
        <w:t xml:space="preserve">. En un problema desbalanceado la elección </w:t>
      </w:r>
      <w:r>
        <w:rPr>
          <w:b/>
        </w:rPr>
        <w:t>no</w:t>
      </w:r>
      <w:r>
        <w:t xml:space="preserve"> se hace por accuracy —que en 99:1 es un espejismo (véase </w:t>
      </w:r>
      <w:r>
        <w:rPr>
          <w:rFonts w:ascii="Consolas" w:hAnsi="Consolas"/>
          <w:color w:val="9B1B30"/>
          <w:sz w:val="19"/>
        </w:rPr>
        <w:t>plantillas/guia_metricas_desbalance.docx</w:t>
      </w:r>
      <w:r>
        <w:t xml:space="preserve">)— sino por </w:t>
      </w:r>
      <w:r>
        <w:rPr>
          <w:b/>
        </w:rPr>
        <w:t>PR-AUC (average precision)</w:t>
      </w:r>
      <w:r>
        <w:t xml:space="preserve">, el número honesto sobre la clase rara. El benchmark termina con un </w:t>
      </w:r>
      <w:r>
        <w:rPr>
          <w:b/>
        </w:rPr>
        <w:t>campeón</w:t>
      </w:r>
      <w:r>
        <w:t xml:space="preserve">, su </w:t>
      </w:r>
      <w:r>
        <w:rPr>
          <w:b/>
        </w:rPr>
        <w:t>umbral de operación</w:t>
      </w:r>
      <w:r>
        <w:t xml:space="preserve"> fijado por costo y una recomendación de negocio. «Reproducible» significa que cualquiera obtiene los mismos números si fija la semilla y las versiones.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Fundamento matemático — de la regla de Bayes a la métrica de decisión</w:t>
      </w:r>
    </w:p>
    <w:p>
      <w:pPr>
        <w:jc w:val="both"/>
      </w:pPr>
      <w:r>
        <w:t xml:space="preserve">Los tres clasificadores generativos del benchmark (LDA, QDA, Naive Bayes) modelan cómo se generan los datos de cada clase —la verosimilitud </w:t>
      </w:r>
      <w:r>
        <w:drawing>
          <wp:inline xmlns:a="http://schemas.openxmlformats.org/drawingml/2006/main" xmlns:pic="http://schemas.openxmlformats.org/drawingml/2006/picture">
            <wp:extent cx="444389" cy="206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9bce26ed46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89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y el prior $P(y)$— y clasifican por la </w:t>
      </w:r>
      <w:r>
        <w:rPr>
          <w:b/>
        </w:rPr>
        <w:t>regla de Bayes</w:t>
      </w:r>
      <w:r>
        <w:t>, que invierte esa verosimilitud en la probabilidad posterior: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1021" cy="4031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d8edf561f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21" cy="403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Como $P(x)$ no depende de la clase, clasificar equivale a elegir la clase de </w:t>
      </w:r>
      <w:r>
        <w:rPr>
          <w:b/>
        </w:rPr>
        <w:t>mayor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692420" cy="20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cdf527ba69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420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. La logística de S09 (línea base </w:t>
      </w:r>
      <w:r>
        <w:rPr>
          <w:b/>
        </w:rPr>
        <w:t>discriminativa</w:t>
      </w:r>
      <w:r>
        <w:t xml:space="preserve">) modela en cambio </w:t>
      </w:r>
      <w:r>
        <w:drawing>
          <wp:inline xmlns:a="http://schemas.openxmlformats.org/drawingml/2006/main" xmlns:pic="http://schemas.openxmlformats.org/drawingml/2006/picture">
            <wp:extent cx="444389" cy="206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d369755e7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89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directamente, sin describir </w:t>
      </w:r>
      <w:r>
        <w:drawing>
          <wp:inline xmlns:a="http://schemas.openxmlformats.org/drawingml/2006/main" xmlns:pic="http://schemas.openxmlformats.org/drawingml/2006/picture">
            <wp:extent cx="444389" cy="206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9bce26ed46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389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. Los generativos se diferencian por </w:t>
      </w:r>
      <w:r>
        <w:rPr>
          <w:b/>
        </w:rPr>
        <w:t>qué forma</w:t>
      </w:r>
      <w:r>
        <w:t xml:space="preserve"> asumen para la verosimilitud de (1).</w:t>
      </w:r>
    </w:p>
    <w:p>
      <w:pPr>
        <w:jc w:val="both"/>
      </w:pPr>
      <w:r>
        <w:rPr>
          <w:b/>
        </w:rPr>
        <w:t>Naive Bayes</w:t>
      </w:r>
      <w:r>
        <w:t xml:space="preserve"> hace el supuesto más fuerte —independencia condicional de las variables dada la clase— y por eso </w:t>
      </w:r>
      <w:r>
        <w:rPr>
          <w:b/>
        </w:rPr>
        <w:t>factoriza</w:t>
      </w:r>
      <w:r>
        <w:t xml:space="preserve"> la verosimilitud en un producto de términos por variable: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6534" cy="5320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695c315bf4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534" cy="532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LDA</w:t>
      </w:r>
      <w:r>
        <w:t xml:space="preserve"> asume verosimilitud gaussiana con una </w:t>
      </w:r>
      <w:r>
        <w:rPr>
          <w:b/>
        </w:rPr>
        <w:t>covarianza común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3928" cy="206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0d03bd3129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928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 todas las clases; los términos cuadráticos se cancelan y la función discriminante queda </w:t>
      </w:r>
      <w:r>
        <w:rPr>
          <w:b/>
        </w:rPr>
        <w:t>lineal</w:t>
      </w:r>
      <w:r>
        <w:t xml:space="preserve"> en $x$ (frontera recta):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9407" cy="35744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def038598db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07" cy="357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Es la formalización del </w:t>
      </w:r>
      <w:r>
        <w:rPr>
          <w:b/>
        </w:rPr>
        <w:t>discriminante de Fisher (1936)</w:t>
      </w:r>
      <w:r>
        <w:t xml:space="preserve">: la proyección lineal que maximiza la separación entre clases relativa a la variación dentro de cada clase. </w:t>
      </w:r>
      <w:r>
        <w:rPr>
          <w:b/>
        </w:rPr>
        <w:t>QDA</w:t>
      </w:r>
      <w:r>
        <w:t xml:space="preserve"> relaja el supuesto y da a cada clase su </w:t>
      </w:r>
      <w:r>
        <w:rPr>
          <w:b/>
        </w:rPr>
        <w:t>propia</w:t>
      </w:r>
      <w:r>
        <w:t xml:space="preserve"> covarianza </w:t>
      </w:r>
      <w:r>
        <w:drawing>
          <wp:inline xmlns:a="http://schemas.openxmlformats.org/drawingml/2006/main" xmlns:pic="http://schemas.openxmlformats.org/drawingml/2006/picture">
            <wp:extent cx="220946" cy="2066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314763ce6e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4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; los términos cuadráticos ya </w:t>
      </w:r>
      <w:r>
        <w:rPr>
          <w:b/>
        </w:rPr>
        <w:t>no</w:t>
      </w:r>
      <w:r>
        <w:t xml:space="preserve"> se cancelan y la frontera es </w:t>
      </w:r>
      <w:r>
        <w:rPr>
          <w:b/>
        </w:rPr>
        <w:t>cuadrática</w:t>
      </w:r>
      <w:r>
        <w:t xml:space="preserve"> (curva):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0662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4e42960255e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066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La </w:t>
      </w:r>
      <w:r>
        <w:rPr>
          <w:b/>
        </w:rPr>
        <w:t>forma de la frontera es el supuesto hecho geometría</w:t>
      </w:r>
      <w:r>
        <w:t>: recta ⇔ covarianzas iguales (3), curva ⇔ una covarianza por clase (4).</w:t>
      </w:r>
    </w:p>
    <w:p>
      <w:pPr>
        <w:jc w:val="both"/>
      </w:pPr>
      <w:r>
        <w:t xml:space="preserve">En un problema </w:t>
      </w:r>
      <w:r>
        <w:rPr>
          <w:b/>
        </w:rPr>
        <w:t>desbalanceado</w:t>
      </w:r>
      <w:r>
        <w:t xml:space="preserve"> la comparación no se hace por accuracy sino por las métricas de la clase positiva —precisión </w:t>
      </w:r>
      <w:r>
        <w:drawing>
          <wp:inline xmlns:a="http://schemas.openxmlformats.org/drawingml/2006/main" xmlns:pic="http://schemas.openxmlformats.org/drawingml/2006/picture">
            <wp:extent cx="249456" cy="2066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0047afb19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45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recall </w:t>
      </w:r>
      <w:r>
        <w:drawing>
          <wp:inline xmlns:a="http://schemas.openxmlformats.org/drawingml/2006/main" xmlns:pic="http://schemas.openxmlformats.org/drawingml/2006/picture">
            <wp:extent cx="253019" cy="2066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748d9d3f4a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019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y su media armónica </w:t>
      </w:r>
      <w:r>
        <w:rPr>
          <w:b/>
        </w:rPr>
        <w:t>F1</w:t>
      </w:r>
      <w:r>
        <w:t>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33945" cy="34497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e6c8bcdc5b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945" cy="3449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(5)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y, sobre todos los umbrales, por el </w:t>
      </w:r>
      <w:r>
        <w:rPr>
          <w:b/>
        </w:rPr>
        <w:t>PR-AUC (average precision, AP)</w:t>
      </w:r>
      <w:r>
        <w:t>, el área bajo la curva precision-recall: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47109" cy="47382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0aab08327e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109" cy="473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(6)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cuya línea base (azar) es la </w:t>
      </w:r>
      <w:r>
        <w:rPr>
          <w:b/>
        </w:rPr>
        <w:t>prevalencia</w:t>
      </w:r>
      <w:r>
        <w:t xml:space="preserve"> de positivos, no 0,5. Por qué el PR-AUC (6) —y no la accuracy ni el ROC-AUC— es la métrica de decisión en 99:1 se desarrolla en la guía hermana </w:t>
      </w:r>
      <w:r>
        <w:rPr>
          <w:rFonts w:ascii="Consolas" w:hAnsi="Consolas"/>
          <w:color w:val="9B1B30"/>
          <w:sz w:val="19"/>
        </w:rPr>
        <w:t>plantillas/guia_metricas_desbalance.docx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benchmark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Credit Card Fraud (ULB/Worldline); 284 807 tx, 492 fraudes (0,172 %)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objetivo (evento positivo = 1)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Class</w:t>
            </w:r>
            <w:r>
              <w:rPr>
                <w:sz w:val="19"/>
              </w:rPr>
              <w:t xml:space="preserve"> = 1 (fraude)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Partición para validar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train ___ % / test ___ % (semilla ___)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Preprocesamiento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 xml:space="preserve"> ajustado </w:t>
            </w:r>
            <w:r>
              <w:rPr>
                <w:b/>
                <w:sz w:val="19"/>
              </w:rPr>
              <w:t>solo en train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Tratamiento del desbalance evaluado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 (SMOTE / </w:t>
            </w:r>
            <w:r>
              <w:rPr>
                <w:rFonts w:ascii="Consolas" w:hAnsi="Consolas"/>
                <w:color w:val="9B1B30"/>
                <w:sz w:val="19"/>
              </w:rPr>
              <w:t>class_weight='balanced'</w:t>
            </w:r>
            <w:r>
              <w:rPr>
                <w:sz w:val="19"/>
              </w:rPr>
              <w:t xml:space="preserve"> / undersampling / ninguno)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Python (scikit-learn </w:t>
            </w:r>
            <w:r>
              <w:rPr>
                <w:rFonts w:ascii="Consolas" w:hAnsi="Consolas"/>
                <w:color w:val="9B1B30"/>
                <w:sz w:val="19"/>
              </w:rPr>
              <w:t>average_precision_score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roc_auc_score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precision_recall_curve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f1_score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log_loss</w:t>
            </w:r>
            <w:r>
              <w:rPr>
                <w:sz w:val="19"/>
              </w:rPr>
              <w:t xml:space="preserve">; imbalanced-learn </w:t>
            </w:r>
            <w:r>
              <w:rPr>
                <w:rFonts w:ascii="Consolas" w:hAnsi="Consolas"/>
                <w:color w:val="9B1B30"/>
                <w:sz w:val="19"/>
              </w:rPr>
              <w:t>SMOTE</w:t>
            </w:r>
            <w:r>
              <w:rPr>
                <w:sz w:val="19"/>
              </w:rPr>
              <w:t xml:space="preserve">) — </w:t>
            </w:r>
            <w:r>
              <w:rPr>
                <w:rFonts w:ascii="Consolas" w:hAnsi="Consolas"/>
                <w:color w:val="9B1B30"/>
                <w:sz w:val="19"/>
              </w:rPr>
              <w:t>notebook/S10_clasificadores_clasicos.ipynb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Protocolo reproducible (fijar antes de comparar)</w:t>
      </w:r>
    </w:p>
    <w:p>
      <w:pPr>
        <w:jc w:val="both"/>
      </w:pPr>
      <w:r>
        <w:t xml:space="preserve">Un benchmark solo es válido si </w:t>
      </w:r>
      <w:r>
        <w:rPr>
          <w:b/>
        </w:rPr>
        <w:t>todos los modelos corren bajo la misma configuración</w:t>
      </w:r>
      <w:r>
        <w:t>. Fijar y declarar al pie del cuaderno:</w:t>
      </w:r>
    </w:p>
    <w:p>
      <w:pPr>
        <w:pStyle w:val="ListBullet"/>
        <w:spacing w:after="40"/>
      </w:pPr>
      <w:r>
        <w:rPr>
          <w:b/>
        </w:rPr>
        <w:t>Split estratificado</w:t>
      </w:r>
      <w:r>
        <w:t xml:space="preserve"> train/test (p. ej. 70/30) con </w:t>
      </w:r>
      <w:r>
        <w:rPr>
          <w:b/>
        </w:rPr>
        <w:t>semilla fija</w:t>
      </w:r>
      <w:r>
        <w:t xml:space="preserve"> (</w:t>
      </w:r>
      <w:r>
        <w:rPr>
          <w:rFonts w:ascii="Consolas" w:hAnsi="Consolas"/>
          <w:color w:val="9B1B30"/>
          <w:sz w:val="19"/>
        </w:rPr>
        <w:t>random_state=42</w:t>
      </w:r>
      <w:r>
        <w:t xml:space="preserve">). El test </w:t>
      </w:r>
      <w:r>
        <w:rPr>
          <w:b/>
        </w:rPr>
        <w:t>conserva la prevalencia real</w:t>
      </w:r>
      <w:r>
        <w:t xml:space="preserve"> (99,83 %: 0,17 %); nunca se remuestrea el test.</w:t>
      </w:r>
    </w:p>
    <w:p>
      <w:pPr>
        <w:pStyle w:val="ListBullet"/>
        <w:spacing w:after="40"/>
      </w:pPr>
      <w:r>
        <w:rPr>
          <w:b/>
        </w:rPr>
        <w:t>Escalado</w:t>
      </w:r>
      <w:r>
        <w:t xml:space="preserve">: </w:t>
      </w:r>
      <w:r>
        <w:rPr>
          <w:rFonts w:ascii="Consolas" w:hAnsi="Consolas"/>
          <w:color w:val="9B1B30"/>
          <w:sz w:val="19"/>
        </w:rPr>
        <w:t>StandardScaler</w:t>
      </w:r>
      <w:r>
        <w:t xml:space="preserve"> </w:t>
      </w:r>
      <w:r>
        <w:rPr>
          <w:b/>
        </w:rPr>
        <w:t>ajustado solo en train</w:t>
      </w:r>
      <w:r>
        <w:t xml:space="preserve"> y aplicado a test (evita fuga de información).</w:t>
      </w:r>
    </w:p>
    <w:p>
      <w:pPr>
        <w:pStyle w:val="ListBullet"/>
        <w:spacing w:after="40"/>
      </w:pPr>
      <w:r>
        <w:rPr>
          <w:b/>
        </w:rPr>
        <w:t>Remuestreo del desbalance</w:t>
      </w:r>
      <w:r>
        <w:t xml:space="preserve"> (si se usa): SMOTE </w:t>
      </w:r>
      <w:r>
        <w:rPr>
          <w:b/>
        </w:rPr>
        <w:t>solo en el conjunto de entrenamiento</w:t>
      </w:r>
      <w:r>
        <w:t xml:space="preserve">, idealmente dentro de un </w:t>
      </w:r>
      <w:r>
        <w:rPr>
          <w:rFonts w:ascii="Consolas" w:hAnsi="Consolas"/>
          <w:color w:val="9B1B30"/>
          <w:sz w:val="19"/>
        </w:rPr>
        <w:t>imblearn.pipeline.Pipeline</w:t>
      </w:r>
      <w:r>
        <w:t xml:space="preserve">. </w:t>
      </w:r>
      <w:r>
        <w:rPr>
          <w:b/>
        </w:rPr>
        <w:t>Nunca</w:t>
      </w:r>
      <w:r>
        <w:t xml:space="preserve"> antes del split ni sobre todo el dataset (fuga crítica: infla todas las métricas).</w:t>
      </w:r>
    </w:p>
    <w:p>
      <w:pPr>
        <w:pStyle w:val="ListBullet"/>
        <w:spacing w:after="40"/>
      </w:pPr>
      <w:r>
        <w:rPr>
          <w:b/>
        </w:rPr>
        <w:t>Umbral de reporte</w:t>
      </w:r>
      <w:r>
        <w:t xml:space="preserve"> común (p. ej. 0,5) para precision/recall/F1; el umbral operativo del campeón se fija aparte en la Sección 5.</w:t>
      </w:r>
    </w:p>
    <w:p>
      <w:pPr>
        <w:pStyle w:val="ListBullet"/>
        <w:spacing w:after="40"/>
      </w:pPr>
      <w:r>
        <w:rPr>
          <w:b/>
        </w:rPr>
        <w:t>Métricas</w:t>
      </w:r>
      <w:r>
        <w:t xml:space="preserve">: precision, recall, F1 y log-loss </w:t>
      </w:r>
      <w:r>
        <w:rPr>
          <w:b/>
        </w:rPr>
        <w:t>de la clase positiva (fraude)</w:t>
      </w:r>
      <w:r>
        <w:t xml:space="preserve">, y </w:t>
      </w:r>
      <w:r>
        <w:rPr>
          <w:b/>
        </w:rPr>
        <w:t>PR-AUC (average precision)</w:t>
      </w:r>
      <w:r>
        <w:t xml:space="preserve"> y ROC-AUC (contexto) sobre las probabilidades. </w:t>
      </w:r>
      <w:r>
        <w:rPr>
          <w:b/>
        </w:rPr>
        <w:t>No</w:t>
      </w:r>
      <w:r>
        <w:t xml:space="preserve"> se tabula accuracy como criterio de negocio.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Tabla de benchmark — una fila por modelo</w:t>
      </w:r>
    </w:p>
    <w:p>
      <w:pPr>
        <w:jc w:val="both"/>
      </w:pPr>
      <w:r>
        <w:t>Instrucciones de llenado: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t xml:space="preserve">Una </w:t>
      </w:r>
      <w:r>
        <w:rPr>
          <w:b/>
        </w:rPr>
        <w:t>fila por modelo</w:t>
      </w:r>
      <w:r>
        <w:t>: LDA, QDA, Naive Bayes (GaussianNB) y la línea base logística (discriminativa, para contrastar el enfoque generativo).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 xml:space="preserve">Columna </w:t>
      </w:r>
      <w:r>
        <w:rPr>
          <w:b/>
        </w:rPr>
        <w:t>Enfoque</w:t>
      </w:r>
      <w:r>
        <w:t xml:space="preserve">: </w:t>
      </w:r>
      <w:r>
        <w:rPr>
          <w:i/>
        </w:rPr>
        <w:t>generativo</w:t>
      </w:r>
      <w:r>
        <w:t xml:space="preserve"> (LDA, QDA, GaussianNB, que modelan </w:t>
      </w:r>
      <w:r>
        <w:rPr>
          <w:rFonts w:ascii="Consolas" w:hAnsi="Consolas"/>
          <w:color w:val="9B1B30"/>
          <w:sz w:val="19"/>
        </w:rPr>
        <w:t>P(x|clase)</w:t>
      </w:r>
      <w:r>
        <w:t xml:space="preserve">) o </w:t>
      </w:r>
      <w:r>
        <w:rPr>
          <w:i/>
        </w:rPr>
        <w:t>discriminativo</w:t>
      </w:r>
      <w:r>
        <w:t xml:space="preserve"> (logística, que modela </w:t>
      </w:r>
      <w:r>
        <w:rPr>
          <w:rFonts w:ascii="Consolas" w:hAnsi="Consolas"/>
          <w:color w:val="9B1B30"/>
          <w:sz w:val="19"/>
        </w:rPr>
        <w:t>P(clase|x)</w:t>
      </w:r>
      <w:r>
        <w:t>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precision / recall / F1</w:t>
      </w:r>
      <w:r>
        <w:t xml:space="preserve">: de la </w:t>
      </w:r>
      <w:r>
        <w:rPr>
          <w:b/>
        </w:rPr>
        <w:t>clase fraude</w:t>
      </w:r>
      <w:r>
        <w:t>, al umbral de reporte común (declararlo). No usar el promedio macro/weighted que diluye la clase rara.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PR-AUC (AP)</w:t>
      </w:r>
      <w:r>
        <w:t xml:space="preserve">: </w:t>
      </w:r>
      <w:r>
        <w:rPr>
          <w:rFonts w:ascii="Consolas" w:hAnsi="Consolas"/>
          <w:color w:val="9B1B30"/>
          <w:sz w:val="19"/>
        </w:rPr>
        <w:t>average_precision_score(y_test, proba)</w:t>
      </w:r>
      <w:r>
        <w:t xml:space="preserve"> — </w:t>
      </w:r>
      <w:r>
        <w:rPr>
          <w:b/>
        </w:rPr>
        <w:t>columna decisoria</w:t>
      </w:r>
      <w:r>
        <w:t xml:space="preserve">. Recordar que su línea base (azar) es la </w:t>
      </w:r>
      <w:r>
        <w:rPr>
          <w:b/>
        </w:rPr>
        <w:t>prevalencia</w:t>
      </w:r>
      <w:r>
        <w:t xml:space="preserve"> (≈ 0,0017), no 0,5.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log-loss</w:t>
      </w:r>
      <w:r>
        <w:t xml:space="preserve">: </w:t>
      </w:r>
      <w:r>
        <w:rPr>
          <w:rFonts w:ascii="Consolas" w:hAnsi="Consolas"/>
          <w:color w:val="9B1B30"/>
          <w:sz w:val="19"/>
        </w:rPr>
        <w:t>log_loss(y_test, proba)</w:t>
      </w:r>
      <w:r>
        <w:t xml:space="preserve"> — menor es mejor; mide </w:t>
      </w:r>
      <w:r>
        <w:rPr>
          <w:b/>
        </w:rPr>
        <w:t>calibración</w:t>
      </w:r>
      <w:r>
        <w:t xml:space="preserve"> (útil si la decisión pasa por un umbral por costo). Naive Bayes suele salir alto (probabilidades extremas).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6.  </w:t>
      </w:r>
      <w:r>
        <w:rPr>
          <w:b/>
        </w:rPr>
        <w:t>ROC-AUC (contexto)</w:t>
      </w:r>
      <w:r>
        <w:t xml:space="preserve">: se reporta solo como referencia; en 99:1 se ve optimista y </w:t>
      </w:r>
      <w:r>
        <w:rPr>
          <w:b/>
        </w:rPr>
        <w:t>no</w:t>
      </w:r>
      <w:r>
        <w:t xml:space="preserve"> decide (véase </w:t>
      </w:r>
      <w:r>
        <w:rPr>
          <w:rFonts w:ascii="Consolas" w:hAnsi="Consolas"/>
          <w:color w:val="9B1B30"/>
          <w:sz w:val="19"/>
        </w:rPr>
        <w:t>plantillas/guia_metricas_desbalance.docx</w:t>
      </w:r>
      <w:r>
        <w:t>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7.  </w:t>
      </w:r>
      <w:r>
        <w:t xml:space="preserve">Todas las cifras provienen de </w:t>
      </w:r>
      <w:r>
        <w:rPr>
          <w:rFonts w:ascii="Consolas" w:hAnsi="Consolas"/>
          <w:color w:val="9B1B30"/>
          <w:sz w:val="19"/>
        </w:rPr>
        <w:t>resultados/S10_resultados.xlsx</w:t>
      </w:r>
      <w:r>
        <w:t xml:space="preserve"> (hoja </w:t>
      </w:r>
      <w:r>
        <w:rPr>
          <w:rFonts w:ascii="Consolas" w:hAnsi="Consolas"/>
          <w:color w:val="9B1B30"/>
          <w:sz w:val="19"/>
        </w:rPr>
        <w:t>clasificadores_iris</w:t>
      </w:r>
      <w:r>
        <w:t xml:space="preserve"> / benchmark); las </w:t>
      </w:r>
      <w:r>
        <w:rPr>
          <w:b/>
        </w:rPr>
        <w:t>curvas se trazan al leer ese Excel</w:t>
      </w:r>
      <w:r>
        <w:t xml:space="preserve"> (Sección 4), no desde objetos en memoria.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Enfoque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PR-AUC (AP)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log-loss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ROC-AUC (contexto)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Línea base logística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Discriminativo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LDA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Generativo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QDA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Generativo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Naive Bayes (GaussianNB)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Generativo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</w:t>
      </w:r>
      <w:r>
        <w:rPr>
          <w:color w:val="2D2D2D"/>
        </w:rPr>
        <w:t xml:space="preserve">: la tabla se ordena por </w:t>
      </w:r>
      <w:r>
        <w:rPr>
          <w:b/>
          <w:color w:val="2D2D2D"/>
        </w:rPr>
        <w:t>PR-AUC</w:t>
      </w:r>
      <w:r>
        <w:rPr>
          <w:color w:val="2D2D2D"/>
        </w:rPr>
        <w:t xml:space="preserve"> (métrica correcta en desbalance), no por accuracy ni por ROC-AUC. Se mira además el </w:t>
      </w:r>
      <w:r>
        <w:rPr>
          <w:b/>
          <w:color w:val="2D2D2D"/>
        </w:rPr>
        <w:t>trade-off</w:t>
      </w:r>
      <w:r>
        <w:rPr>
          <w:color w:val="2D2D2D"/>
        </w:rPr>
        <w:t xml:space="preserve"> precision/recall al umbral elegido y la </w:t>
      </w:r>
      <w:r>
        <w:rPr>
          <w:b/>
          <w:color w:val="2D2D2D"/>
        </w:rPr>
        <w:t>calibración</w:t>
      </w:r>
      <w:r>
        <w:rPr>
          <w:color w:val="2D2D2D"/>
        </w:rPr>
        <w:t xml:space="preserve"> (log-loss). El campeón es el que mejor cumple el objetivo de negocio bajo el mismo protocolo (Sección 5).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Tratamiento del desbalance — comparación antes vs. después (para el modelo elegido)</w:t>
      </w:r>
    </w:p>
    <w:p>
      <w:pPr>
        <w:jc w:val="both"/>
      </w:pPr>
      <w:r>
        <w:t xml:space="preserve">El desbalance se ataca con SMOTE (sobremuestreo sintético de la minoría), </w:t>
      </w:r>
      <w:r>
        <w:rPr>
          <w:rFonts w:ascii="Consolas" w:hAnsi="Consolas"/>
          <w:color w:val="9B1B30"/>
          <w:sz w:val="19"/>
        </w:rPr>
        <w:t>class_weight='balanced'</w:t>
      </w:r>
      <w:r>
        <w:t xml:space="preserve"> (pondera el error de la minoría sin tocar los datos) o undersampling (descarta mayoría). Se compara </w:t>
      </w:r>
      <w:r>
        <w:rPr>
          <w:b/>
        </w:rPr>
        <w:t>antes vs. después</w:t>
      </w:r>
      <w:r>
        <w:t xml:space="preserve"> con la métrica correcta; el efecto típico de SMOTE es </w:t>
      </w:r>
      <w:r>
        <w:rPr>
          <w:b/>
        </w:rPr>
        <w:t>recall ↑ / precision ↓</w:t>
      </w:r>
      <w:r>
        <w:t xml:space="preserve"> (más fraudes detectados, más falsas alarmas). El remuestreo va </w:t>
      </w:r>
      <w:r>
        <w:rPr>
          <w:b/>
        </w:rPr>
        <w:t>solo en train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Configuración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Recall (fraude)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Precisión (fraude)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PR-AUC (AP)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Comentario de negocio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Base (sin tratamiento)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+ SMOTE (solo en train)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+ </w:t>
            </w:r>
            <w:r>
              <w:rPr>
                <w:rFonts w:ascii="Consolas" w:hAnsi="Consolas"/>
                <w:color w:val="9B1B30"/>
                <w:sz w:val="19"/>
              </w:rPr>
              <w:t>class_weight='balanced'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+ undersampling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Criterio</w:t>
      </w:r>
      <w:r>
        <w:t xml:space="preserve">: SMOTE conviene si el costo de un fraude no detectado domina y el equipo absorbe más falsas alarmas; si la precisión cae demasiado, se prefiere </w:t>
      </w:r>
      <w:r>
        <w:rPr>
          <w:rFonts w:ascii="Consolas" w:hAnsi="Consolas"/>
          <w:color w:val="9B1B30"/>
          <w:sz w:val="19"/>
        </w:rPr>
        <w:t>class_weight</w:t>
      </w:r>
      <w:r>
        <w:t xml:space="preserve"> o ajustar el umbral (Sección 5). El PR-AUC global puede subir, bajar o quedar igual: se decide con el número, no con la intuición.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Curvas ROC y PR — leídas del Excel</w:t>
      </w:r>
    </w:p>
    <w:p>
      <w:pPr>
        <w:jc w:val="both"/>
      </w:pPr>
      <w:r>
        <w:t xml:space="preserve">Trazar </w:t>
      </w:r>
      <w:r>
        <w:rPr>
          <w:b/>
        </w:rPr>
        <w:t>ambas</w:t>
      </w:r>
      <w:r>
        <w:t xml:space="preserve"> curvas por modelo (o al menos para el campeón y la base) </w:t>
      </w:r>
      <w:r>
        <w:rPr>
          <w:b/>
        </w:rPr>
        <w:t>al leer los puntos desde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resultados/S10_resultados.xlsx</w:t>
      </w:r>
      <w:r>
        <w:t xml:space="preserve">, nunca desde objetos en memoria (convención del curso). Pegar aquí las figuras exportadas a </w:t>
      </w:r>
      <w:r>
        <w:rPr>
          <w:rFonts w:ascii="Consolas" w:hAnsi="Consolas"/>
          <w:color w:val="9B1B30"/>
          <w:sz w:val="19"/>
        </w:rPr>
        <w:t>figuras/</w:t>
      </w:r>
      <w:r>
        <w:t>:</w:t>
      </w:r>
    </w:p>
    <w:p>
      <w:pPr>
        <w:pStyle w:val="ListBullet"/>
        <w:spacing w:after="40"/>
      </w:pPr>
      <w:r>
        <w:rPr>
          <w:b/>
        </w:rPr>
        <w:t>Curva ROC</w:t>
      </w:r>
      <w:r>
        <w:t xml:space="preserve"> (TPR vs. FPR): _[insertar </w:t>
      </w:r>
      <w:r>
        <w:rPr>
          <w:rFonts w:ascii="Consolas" w:hAnsi="Consolas"/>
          <w:color w:val="9B1B30"/>
          <w:sz w:val="19"/>
        </w:rPr>
        <w:t>figuras/S10_roc.png</w:t>
      </w:r>
      <w:r>
        <w:t xml:space="preserve">]_ — se ve alta y próxima a la esquina; </w:t>
      </w:r>
      <w:r>
        <w:rPr>
          <w:b/>
        </w:rPr>
        <w:t>induce a error</w:t>
      </w:r>
      <w:r>
        <w:t xml:space="preserve"> en 99:1.</w:t>
      </w:r>
    </w:p>
    <w:p>
      <w:pPr>
        <w:pStyle w:val="ListBullet"/>
        <w:spacing w:after="40"/>
      </w:pPr>
      <w:r>
        <w:rPr>
          <w:b/>
        </w:rPr>
        <w:t>Curva PR</w:t>
      </w:r>
      <w:r>
        <w:t xml:space="preserve"> (precision vs. recall): _[insertar </w:t>
      </w:r>
      <w:r>
        <w:rPr>
          <w:rFonts w:ascii="Consolas" w:hAnsi="Consolas"/>
          <w:color w:val="9B1B30"/>
          <w:sz w:val="19"/>
        </w:rPr>
        <w:t>figuras/S10_pr.png</w:t>
      </w:r>
      <w:r>
        <w:t xml:space="preserve">]_ — el </w:t>
      </w:r>
      <w:r>
        <w:rPr>
          <w:b/>
        </w:rPr>
        <w:t>número honesto</w:t>
      </w:r>
      <w:r>
        <w:t>; su línea base es la prevalencia (≈ 0,0017). El área bajo esta curva es el PR-AUC de la Sección 2.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Marcar sobre la curva PR el </w:t>
      </w:r>
      <w:r>
        <w:rPr>
          <w:b/>
          <w:color w:val="2D2D2D"/>
        </w:rPr>
        <w:t>punto de operación</w:t>
      </w:r>
      <w:r>
        <w:rPr>
          <w:color w:val="2D2D2D"/>
        </w:rPr>
        <w:t xml:space="preserve"> (umbral elegido en la Sección 5): a ese recall, ¿qué precisión se obtiene?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Elección del campeón por PR-AUC y fijación del umbral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Campeón por PR-AUC</w:t>
      </w:r>
      <w:r>
        <w:t xml:space="preserve">: se elige el modelo con </w:t>
      </w:r>
      <w:r>
        <w:rPr>
          <w:b/>
        </w:rPr>
        <w:t>mayor PR-AUC (average precision)</w:t>
      </w:r>
      <w:r>
        <w:t xml:space="preserve"> en test, no por accuracy ni por ROC-AUC. En empate práctico de PR-AUC, desempatar por F1/recall al umbral objetivo y por menor log-loss (mejor calibración).</w:t>
      </w:r>
    </w:p>
    <w:p>
      <w:pPr>
        <w:jc w:val="both"/>
      </w:pPr>
      <w:r>
        <w:t xml:space="preserve"> - </w:t>
      </w:r>
      <w:r>
        <w:rPr>
          <w:b/>
        </w:rPr>
        <w:t>Campeón declarado = ______</w:t>
      </w:r>
      <w:r>
        <w:t xml:space="preserve"> — PR-AUC = ______ (vs. resto: ______).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Umbral por costo (enlace con S09)</w:t>
      </w:r>
      <w:r>
        <w:t xml:space="preserve">: el </w:t>
      </w:r>
      <w:r>
        <w:rPr>
          <w:rFonts w:ascii="Consolas" w:hAnsi="Consolas"/>
          <w:color w:val="9B1B30"/>
          <w:sz w:val="19"/>
        </w:rPr>
        <w:t>0,5</w:t>
      </w:r>
      <w:r>
        <w:t xml:space="preserve"> por defecto rara vez es el punto correcto. Fijar costos y elegir el umbral que minimiza el </w:t>
      </w:r>
      <w:r>
        <w:rPr>
          <w:b/>
        </w:rPr>
        <w:t>costo esperado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172442" cy="2066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16c5bb0ee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2442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o el punto de la </w:t>
      </w:r>
      <w:r>
        <w:rPr>
          <w:b/>
        </w:rPr>
        <w:t>curva PR</w:t>
      </w:r>
      <w:r>
        <w:t xml:space="preserve"> que da el recall objetivo con precisión aceptable. </w:t>
      </w:r>
      <w:r>
        <w:rPr>
          <w:b/>
        </w:rPr>
        <w:t>Anclar `C_FN` a datos reales</w:t>
      </w:r>
      <w:r>
        <w:t xml:space="preserve">: un fraude no detectado pierde el </w:t>
      </w:r>
      <w:r>
        <w:rPr>
          <w:b/>
        </w:rPr>
        <w:t>importe defraudado</w:t>
      </w:r>
      <w:r>
        <w:t xml:space="preserve">, cuyo promedio sobre las 492 transacciones de fraude del dataset (columna </w:t>
      </w:r>
      <w:r>
        <w:rPr>
          <w:rFonts w:ascii="Consolas" w:hAnsi="Consolas"/>
          <w:color w:val="9B1B30"/>
          <w:sz w:val="19"/>
        </w:rPr>
        <w:t>Amount</w:t>
      </w:r>
      <w:r>
        <w:t xml:space="preserve">, marcada «útil para análisis sensible al costo» en </w:t>
      </w:r>
      <w:r>
        <w:rPr>
          <w:rFonts w:ascii="Consolas" w:hAnsi="Consolas"/>
          <w:color w:val="9B1B30"/>
          <w:sz w:val="19"/>
        </w:rPr>
        <w:t>data/diccionario_datos.md</w:t>
      </w:r>
      <w:r>
        <w:t xml:space="preserve">) es </w:t>
      </w:r>
      <w:r>
        <w:rPr>
          <w:b/>
        </w:rPr>
        <w:t>US$ 122,21</w:t>
      </w:r>
      <w:r>
        <w:t xml:space="preserve"> </w:t>
      </w:r>
      <w:r>
        <w:rPr>
          <w:i/>
        </w:rPr>
        <w:t>[estimado del dataset, no cifra de contrato]</w:t>
      </w:r>
      <w:r>
        <w:t xml:space="preserve">. </w:t>
      </w:r>
      <w:r>
        <w:rPr>
          <w:rFonts w:ascii="Consolas" w:hAnsi="Consolas"/>
          <w:color w:val="9B1B30"/>
          <w:sz w:val="19"/>
        </w:rPr>
        <w:t>C_FP</w:t>
      </w:r>
      <w:r>
        <w:t xml:space="preserve"> es el </w:t>
      </w:r>
      <w:r>
        <w:rPr>
          <w:b/>
        </w:rPr>
        <w:t>costo de revisar</w:t>
      </w:r>
      <w:r>
        <w:t xml:space="preserve"> una alerta (gestión de la falsa alarma más la fricción con el cliente): es ilustrativo, del orden de </w:t>
      </w:r>
      <w:r>
        <w:rPr>
          <w:b/>
        </w:rPr>
        <w:t>US$ 5–20</w:t>
      </w:r>
      <w:r>
        <w:t>.</w:t>
      </w:r>
    </w:p>
    <w:p>
      <w:pPr>
        <w:jc w:val="both"/>
      </w:pPr>
      <w:r>
        <w:t xml:space="preserve"> - </w:t>
      </w:r>
      <w:r>
        <w:rPr>
          <w:rFonts w:ascii="Consolas" w:hAnsi="Consolas"/>
          <w:color w:val="9B1B30"/>
          <w:sz w:val="19"/>
        </w:rPr>
        <w:t>C_FN</w:t>
      </w:r>
      <w:r>
        <w:t xml:space="preserve"> (fraude no detectado = importe medio defraudado) = </w:t>
      </w:r>
      <w:r>
        <w:rPr>
          <w:b/>
        </w:rPr>
        <w:t>US$ 122,21</w:t>
      </w:r>
      <w:r>
        <w:t xml:space="preserve"> </w:t>
      </w:r>
      <w:r>
        <w:rPr>
          <w:i/>
        </w:rPr>
        <w:t>[estimado]</w:t>
      </w:r>
      <w:r>
        <w:t xml:space="preserve"> — </w:t>
      </w:r>
      <w:r>
        <w:rPr>
          <w:rFonts w:ascii="Consolas" w:hAnsi="Consolas"/>
          <w:color w:val="9B1B30"/>
          <w:sz w:val="19"/>
        </w:rPr>
        <w:t>C_FP</w:t>
      </w:r>
      <w:r>
        <w:t xml:space="preserve"> (revisar una falsa alarma) = </w:t>
      </w:r>
      <w:r>
        <w:rPr>
          <w:b/>
        </w:rPr>
        <w:t>US$ ______ (5–20)</w:t>
      </w:r>
      <w:r>
        <w:t xml:space="preserve"> — </w:t>
      </w:r>
      <w:r>
        <w:rPr>
          <w:b/>
        </w:rPr>
        <w:t>umbral elegido `t` = ______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Costo esperado en dinero — base vs. SMOTE (la cuenta hecha).</w:t>
      </w:r>
      <w:r>
        <w:t xml:space="preserve"> Con </w:t>
      </w:r>
      <w:r>
        <w:drawing>
          <wp:inline xmlns:a="http://schemas.openxmlformats.org/drawingml/2006/main" xmlns:pic="http://schemas.openxmlformats.org/drawingml/2006/picture">
            <wp:extent cx="912296" cy="2066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16e28890b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229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(importe medio del fraude, estimado del </w:t>
      </w:r>
      <w:r>
        <w:rPr>
          <w:rFonts w:ascii="Consolas" w:hAnsi="Consolas"/>
          <w:color w:val="9B1B30"/>
          <w:sz w:val="19"/>
        </w:rPr>
        <w:t>Amount</w:t>
      </w:r>
      <w:r>
        <w:t xml:space="preserve">) y </w:t>
      </w:r>
      <w:r>
        <w:drawing>
          <wp:inline xmlns:a="http://schemas.openxmlformats.org/drawingml/2006/main" xmlns:pic="http://schemas.openxmlformats.org/drawingml/2006/picture">
            <wp:extent cx="281528" cy="2066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7f4b66e13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528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ilustrativo, el costo esperado de cada configuración </w:t>
      </w:r>
      <w:r>
        <w:rPr>
          <w:b/>
        </w:rPr>
        <w:t>al umbral 0,5</w:t>
      </w:r>
      <w:r>
        <w:t xml:space="preserve"> (conteos del test de la Sección 3: base 57 FN / 16 FP, SMOTE 18 FN / 1 885 FP) 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Configuración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FN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FP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Costo esperado = 122,21·FN + C_FP·FP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Base (campeón logístico, sin SMOTE)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57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C_FP</w:t>
            </w:r>
            <w:r>
              <w:rPr>
                <w:sz w:val="19"/>
              </w:rPr>
              <w:t xml:space="preserve">=5 → </w:t>
            </w:r>
            <w:r>
              <w:rPr>
                <w:b/>
                <w:sz w:val="19"/>
              </w:rPr>
              <w:t>US$ 7 046</w:t>
            </w:r>
            <w:r>
              <w:rPr>
                <w:sz w:val="19"/>
              </w:rPr>
              <w:t xml:space="preserve"> — =10 → </w:t>
            </w:r>
            <w:r>
              <w:rPr>
                <w:b/>
                <w:sz w:val="19"/>
              </w:rPr>
              <w:t>US$ 7 126</w:t>
            </w:r>
            <w:r>
              <w:rPr>
                <w:sz w:val="19"/>
              </w:rPr>
              <w:t xml:space="preserve"> — =20 → </w:t>
            </w:r>
            <w:r>
              <w:rPr>
                <w:b/>
                <w:sz w:val="19"/>
              </w:rPr>
              <w:t>US$ 7 286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+ SMOTE (solo en train)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1 885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C_FP</w:t>
            </w:r>
            <w:r>
              <w:rPr>
                <w:sz w:val="19"/>
              </w:rPr>
              <w:t xml:space="preserve">=5 → </w:t>
            </w:r>
            <w:r>
              <w:rPr>
                <w:b/>
                <w:sz w:val="19"/>
              </w:rPr>
              <w:t>US$ 11 625</w:t>
            </w:r>
            <w:r>
              <w:rPr>
                <w:sz w:val="19"/>
              </w:rPr>
              <w:t xml:space="preserve"> — =10 → </w:t>
            </w:r>
            <w:r>
              <w:rPr>
                <w:b/>
                <w:sz w:val="19"/>
              </w:rPr>
              <w:t>US$ 21 050</w:t>
            </w:r>
            <w:r>
              <w:rPr>
                <w:sz w:val="19"/>
              </w:rPr>
              <w:t xml:space="preserve"> — =20 → </w:t>
            </w:r>
            <w:r>
              <w:rPr>
                <w:b/>
                <w:sz w:val="19"/>
              </w:rPr>
              <w:t>US$ 39 900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 &gt; </w:t>
      </w:r>
      <w:r>
        <w:rPr>
          <w:b/>
        </w:rPr>
        <w:t>La decisión en dinero.</w:t>
      </w:r>
      <w:r>
        <w:t xml:space="preserve"> En los tres escenarios el </w:t>
      </w:r>
      <w:r>
        <w:rPr>
          <w:b/>
        </w:rPr>
        <w:t>campeón sin SMOTE minimiza el costo esperado</w:t>
      </w:r>
      <w:r>
        <w:t>: SMOTE rescata 39 fraudes más (ahorra 39·122,21 ≈ US</w:t>
      </w:r>
      <w:r>
        <w:rPr>
          <w:rFonts w:ascii="Consolas" w:hAnsi="Consolas"/>
          <w:sz w:val="19"/>
        </w:rPr>
        <w:t xml:space="preserve"> 4 766) pero añade 1 869 falsas alarmas (cuesta 1 869·`C_FP`), y con un importe medio de solo US</w:t>
      </w:r>
      <w:r>
        <w:t xml:space="preserve"> 122 el aluvión de falsos positivos pesa más que los fraudes recuperados. </w:t>
      </w:r>
      <w:r>
        <w:rPr>
          <w:b/>
        </w:rPr>
        <w:t>SMOTE solo convendría si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696300" cy="2066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d5c4c8daa4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6300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(umbral de indiferencia): a </w:t>
      </w:r>
      <w:r>
        <w:rPr>
          <w:rFonts w:ascii="Consolas" w:hAnsi="Consolas"/>
          <w:color w:val="9B1B30"/>
          <w:sz w:val="19"/>
        </w:rPr>
        <w:t>C_FP</w:t>
      </w:r>
      <w:r>
        <w:t xml:space="preserve"> = US$ 10 haría falta un importe medio de fraude &gt; US$ 479, casi 4× el real (US$ 122). Conclusión: la decisión SMOTE-sí/no </w:t>
      </w:r>
      <w:r>
        <w:rPr>
          <w:b/>
        </w:rPr>
        <w:t>no</w:t>
      </w:r>
      <w:r>
        <w:t xml:space="preserve"> se cierra por recall ni por PR-AUC, sino mediante el cómputo del </w:t>
      </w:r>
      <w:r>
        <w:rPr>
          <w:b/>
        </w:rPr>
        <w:t>costo esperado en moneda</w:t>
      </w:r>
      <w:r>
        <w:t xml:space="preserve">; con estos costos </w:t>
      </w:r>
      <w:r>
        <w:rPr>
          <w:b/>
        </w:rPr>
        <w:t>no</w:t>
      </w:r>
      <w:r>
        <w:t xml:space="preserve"> se despliega SMOTE. (Si en producción el importe medio del fraude o el costo de revisión difieren, se recalcula la tabla y puede invertirse la decisión.)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Recomendación de negocio (frase para gerencia)</w:t>
      </w:r>
      <w:r>
        <w:t xml:space="preserve">: "Se despliega </w:t>
      </w:r>
      <w:r>
        <w:rPr>
          <w:b/>
        </w:rPr>
        <w:t>[campeón]</w:t>
      </w:r>
      <w:r>
        <w:t xml:space="preserve"> con umbral </w:t>
      </w:r>
      <w:r>
        <w:rPr>
          <w:b/>
        </w:rPr>
        <w:t>[t]</w:t>
      </w:r>
      <w:r>
        <w:t xml:space="preserve">: alerta el </w:t>
      </w:r>
      <w:r>
        <w:rPr>
          <w:b/>
        </w:rPr>
        <w:t>[recall %]</w:t>
      </w:r>
      <w:r>
        <w:t xml:space="preserve"> de los fraudes con una precisión del </w:t>
      </w:r>
      <w:r>
        <w:rPr>
          <w:b/>
        </w:rPr>
        <w:t>[precision %]</w:t>
      </w:r>
      <w:r>
        <w:t xml:space="preserve"> (≈ [N] falsas alarmas por cada fraude real), con un </w:t>
      </w:r>
      <w:r>
        <w:rPr>
          <w:b/>
        </w:rPr>
        <w:t>costo esperado de US$ [____]</w:t>
      </w:r>
      <w:r>
        <w:t xml:space="preserve"> (frente a US$ [____] de la alternativa). La decisión es reproducible (semilla, versiones y preprocesamiento documentados)."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Ejemplo — operativos del venv (ETIQUETADOS)</w:t>
      </w:r>
    </w:p>
    <w:p>
      <w:pPr>
        <w:jc w:val="both"/>
      </w:pPr>
      <w:r>
        <w:t xml:space="preserve">Valores </w:t>
      </w:r>
      <w:r>
        <w:rPr>
          <w:b/>
        </w:rPr>
        <w:t>operativos del venv</w:t>
      </w:r>
      <w:r>
        <w:t xml:space="preserve"> confirmados el 19/07/2026 (dataset COMPLETO de fraude; split 70/30 estratificado </w:t>
      </w:r>
      <w:r>
        <w:rPr>
          <w:rFonts w:ascii="Consolas" w:hAnsi="Consolas"/>
          <w:color w:val="9B1B30"/>
          <w:sz w:val="19"/>
        </w:rPr>
        <w:t>random_state=42</w:t>
      </w:r>
      <w:r>
        <w:t xml:space="preserve">, </w:t>
      </w:r>
      <w:r>
        <w:rPr>
          <w:rFonts w:ascii="Consolas" w:hAnsi="Consolas"/>
          <w:color w:val="9B1B30"/>
          <w:sz w:val="19"/>
        </w:rPr>
        <w:t>StandardScaler</w:t>
      </w:r>
      <w:r>
        <w:t xml:space="preserve"> en train, umbral de reporte 0,5), tomados declarado para la sesión de réplica del paper </w:t>
      </w:r>
      <w:r>
        <w:rPr>
          <w:b/>
        </w:rPr>
        <w:t>PR-AUC es la columna decisoria</w:t>
      </w:r>
      <w:r>
        <w:t>; las celdas «(léase del Excel)» las completa el cuaderno al exportar cada métrica.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Enfoque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PR-AUC (AP)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log-loss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ROC-AUC (contexto)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Línea base logística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Discriminativo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0,85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0,615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0,71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0,708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0,957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LDA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Generativo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0,675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0,973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QDA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Generativo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0,148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0,962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Naive Bayes (GaussianNB)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Generativo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0,081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(léase del Excel)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0,955</w:t>
            </w:r>
          </w:p>
        </w:tc>
      </w:tr>
    </w:tbl>
    <w:p>
      <w:pPr>
        <w:spacing w:after="40"/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Etiqueta de fuente</w:t>
      </w:r>
      <w:r>
        <w:rPr>
          <w:color w:val="2D2D2D"/>
        </w:rPr>
        <w:t xml:space="preserve">: </w:t>
      </w:r>
      <w:r>
        <w:rPr>
          <w:i/>
          <w:color w:val="2D2D2D"/>
        </w:rPr>
        <w:t>operativo = venv</w:t>
      </w:r>
      <w:r>
        <w:rPr>
          <w:color w:val="2D2D2D"/>
        </w:rPr>
        <w:t xml:space="preserve"> (los valores del venv son los que mandan). Toda cifra de otro pipeline (RepeatedStratifiedKFold de la literatura, PR-AUC de otros estudios, recall post-SMOTE de papers) se anota aparte como </w:t>
      </w:r>
      <w:r>
        <w:rPr>
          <w:i/>
          <w:color w:val="2D2D2D"/>
        </w:rPr>
        <w:t>benchmark publicado (fuente, otro pipeline)</w:t>
      </w:r>
      <w:r>
        <w:rPr>
          <w:color w:val="2D2D2D"/>
        </w:rPr>
        <w:t>, nunca mezclada como propia.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del ejemplo</w:t>
      </w:r>
      <w:r>
        <w:rPr>
          <w:color w:val="2D2D2D"/>
        </w:rPr>
        <w:t xml:space="preserve">: por </w:t>
      </w:r>
      <w:r>
        <w:rPr>
          <w:b/>
          <w:color w:val="2D2D2D"/>
        </w:rPr>
        <w:t>PR-AUC</w:t>
      </w:r>
      <w:r>
        <w:rPr>
          <w:color w:val="2D2D2D"/>
        </w:rPr>
        <w:t xml:space="preserve"> el campeón es la </w:t>
      </w:r>
      <w:r>
        <w:rPr>
          <w:b/>
          <w:color w:val="2D2D2D"/>
        </w:rPr>
        <w:t>línea base logística (0,708)</w:t>
      </w:r>
      <w:r>
        <w:rPr>
          <w:color w:val="2D2D2D"/>
        </w:rPr>
        <w:t xml:space="preserve">, seguida de cerca por </w:t>
      </w:r>
      <w:r>
        <w:rPr>
          <w:b/>
          <w:color w:val="2D2D2D"/>
        </w:rPr>
        <w:t>LDA (0,675)</w:t>
      </w:r>
      <w:r>
        <w:rPr>
          <w:color w:val="2D2D2D"/>
        </w:rPr>
        <w:t xml:space="preserve">; </w:t>
      </w:r>
      <w:r>
        <w:rPr>
          <w:b/>
          <w:color w:val="2D2D2D"/>
        </w:rPr>
        <w:t>QDA (0,148)</w:t>
      </w:r>
      <w:r>
        <w:rPr>
          <w:color w:val="2D2D2D"/>
        </w:rPr>
        <w:t xml:space="preserve"> y </w:t>
      </w:r>
      <w:r>
        <w:rPr>
          <w:b/>
          <w:color w:val="2D2D2D"/>
        </w:rPr>
        <w:t>GaussianNB (0,081)</w:t>
      </w:r>
      <w:r>
        <w:rPr>
          <w:color w:val="2D2D2D"/>
        </w:rPr>
        <w:t xml:space="preserve"> quedan muy por detrás pese a tener ROC-AUC ≈ 0,95–0,96 (síntoma clásico de que el </w:t>
      </w:r>
      <w:r>
        <w:rPr>
          <w:b/>
          <w:color w:val="2D2D2D"/>
        </w:rPr>
        <w:t>ROC-AUC induce a error</w:t>
      </w:r>
      <w:r>
        <w:rPr>
          <w:color w:val="2D2D2D"/>
        </w:rPr>
        <w:t xml:space="preserve"> en 99:1: todos parecen «excelentes» en ROC, pero el PR-AUC los separa). La logística discriminativa supera a los generativos en este problema; el enfoque generativo no domina por definición. Efecto de SMOTE sobre la logística (Sección 3): el recall de fraude sube </w:t>
      </w:r>
      <w:r>
        <w:rPr>
          <w:b/>
          <w:color w:val="2D2D2D"/>
        </w:rPr>
        <w:t>0,615 → 0,878</w:t>
      </w:r>
      <w:r>
        <w:rPr>
          <w:color w:val="2D2D2D"/>
        </w:rPr>
        <w:t xml:space="preserve"> (la precisión baja) — trade-off, no mejora sin costo.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(modelos y evaluación)</w:t>
      </w:r>
    </w:p>
    <w:p>
      <w:pPr>
        <w:jc w:val="both"/>
      </w:pPr>
      <w:r>
        <w:t xml:space="preserve">Un benchmark honesto exige declarar los </w:t>
      </w:r>
      <w:r>
        <w:rPr>
          <w:b/>
        </w:rPr>
        <w:t>supuestos</w:t>
      </w:r>
      <w:r>
        <w:t xml:space="preserve"> de cada generativo (qué forma asumen para la verosimilitud de (1)) y las </w:t>
      </w:r>
      <w:r>
        <w:rPr>
          <w:b/>
        </w:rPr>
        <w:t>decisiones</w:t>
      </w:r>
      <w:r>
        <w:t xml:space="preserve"> de evaluación ante el desbalance. Cada punto se </w:t>
      </w:r>
      <w:r>
        <w:rPr>
          <w:b/>
        </w:rPr>
        <w:t>reconoce</w:t>
      </w:r>
      <w:r>
        <w:t xml:space="preserve"> por una señal con umbral y se </w:t>
      </w:r>
      <w:r>
        <w:rPr>
          <w:b/>
        </w:rPr>
        <w:t>resuelve</w:t>
      </w:r>
      <w:r>
        <w:t xml:space="preserve"> con un método concreto; el desarrollo completo (qué es, cómo se identifica, cómo se decide, alcance)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(señal/umbral)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(SUPUESTOS_S10.md)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LDA — covarianza IGUAL entre clases</w:t>
            </w:r>
            <w:r>
              <w:rPr>
                <w:sz w:val="19"/>
              </w:rPr>
              <w:t xml:space="preserve"> (homocedasticidad)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Elipses de covarianza por clase de distinto tamaño/orientación; Box's M (sensible); ¿QDA mejora clara y consistentemente a LDA?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 se sostiene → </w:t>
            </w:r>
            <w:r>
              <w:rPr>
                <w:b/>
                <w:sz w:val="19"/>
              </w:rPr>
              <w:t>LDA</w:t>
            </w:r>
            <w:r>
              <w:rPr>
                <w:sz w:val="19"/>
              </w:rPr>
              <w:t xml:space="preserve"> (3) (frontera lineal, menos varianza); si se viola → </w:t>
            </w:r>
            <w:r>
              <w:rPr>
                <w:b/>
                <w:sz w:val="19"/>
              </w:rPr>
              <w:t>QDA</w:t>
            </w:r>
            <w:r>
              <w:rPr>
                <w:sz w:val="19"/>
              </w:rPr>
              <w:t xml:space="preserve"> (4) — </w:t>
            </w:r>
            <w:r>
              <w:rPr>
                <w:i/>
                <w:sz w:val="19"/>
              </w:rPr>
              <w:t>RDA (avanzado)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Iris: LDA 0,9733 ≈ QDA 0,9800 → se prefiere LDA (la brecha 0,0067 cabe </w:t>
            </w:r>
            <w:r>
              <w:rPr>
                <w:b/>
                <w:sz w:val="19"/>
              </w:rPr>
              <w:t>dentro del ruido</w:t>
            </w:r>
            <w:r>
              <w:rPr>
                <w:sz w:val="19"/>
              </w:rPr>
              <w:t>: dispersión entre folds ±0,0389 LDA / ±0,0267 QDA, ~6× la brecha)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QDA — covarianza DISTINTA por clase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Ganancia real sobre LDA; degeneración con clases pequeñas (covarianza casi singular); colapso en el fraude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QDA solo si aporta y hay datos por clase; regularizar (</w:t>
            </w:r>
            <w:r>
              <w:rPr>
                <w:rFonts w:ascii="Consolas" w:hAnsi="Consolas"/>
                <w:color w:val="9B1B30"/>
                <w:sz w:val="19"/>
              </w:rPr>
              <w:t>reg_param</w:t>
            </w:r>
            <w:r>
              <w:rPr>
                <w:sz w:val="19"/>
              </w:rPr>
              <w:t>)/RDA; más datos/menos variables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Fraude: QDA PR-AUC 0,148 (colapsa)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3.1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Naive Bayes — independencia condicional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Correlación entre variables por clase (viola casi siempre); </w:t>
            </w:r>
            <w:r>
              <w:rPr>
                <w:rFonts w:ascii="Consolas" w:hAnsi="Consolas"/>
                <w:color w:val="9B1B30"/>
                <w:sz w:val="19"/>
              </w:rPr>
              <w:t>predict_proba</w:t>
            </w:r>
            <w:r>
              <w:rPr>
                <w:sz w:val="19"/>
              </w:rPr>
              <w:t xml:space="preserve"> extremas; log-loss alto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descartarlo (Domingos &amp; Pazzani: acierta el </w:t>
            </w:r>
            <w:r>
              <w:rPr>
                <w:b/>
                <w:sz w:val="19"/>
              </w:rPr>
              <w:t>orden</w:t>
            </w:r>
            <w:r>
              <w:rPr>
                <w:sz w:val="19"/>
              </w:rPr>
              <w:t xml:space="preserve"> (2) pese a violarse); base rápida; calibrar si se necesitan probabilidades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Fraude: GaussianNB PR-AUC 0,081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4.1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Paradoja de la exactitud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Prevalencia baja (0,17 %); trivial «todo legítimo» → accuracy muy alta, recall 0; confusión degenerada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Nunca decidir/reportar por accuracy; fijar las métricas de la clase rara (recall, precisión, F1 (5), PR-AUC (6))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trivial: accuracy 0,9983 / recall 0,000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PR-AUC &gt; ROC-AUC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Brecha ROC-AUC ≫ PR-AUC; línea base del PR-AUC (6) = prevalencia (≈ 0,0017), no 0,5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Elegir/ordenar por PR-AUC; ROC-AUC solo como contexto; no comparar PR-AUC entre prevalencias distintas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ROC 0,957 ≫ PR 0,708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SMOTE solo en el train (leakage)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fit_resample</w:t>
            </w:r>
            <w:r>
              <w:rPr>
                <w:sz w:val="19"/>
              </w:rPr>
              <w:t xml:space="preserve"> antes del split o sobre todo el dataset; métricas «demasiado buenas»; test remuestreado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SMOTE solo en train (en </w:t>
            </w:r>
            <w:r>
              <w:rPr>
                <w:rFonts w:ascii="Consolas" w:hAnsi="Consolas"/>
                <w:color w:val="9B1B30"/>
                <w:sz w:val="19"/>
              </w:rPr>
              <w:t>imblearn.Pipeline</w:t>
            </w:r>
            <w:r>
              <w:rPr>
                <w:sz w:val="19"/>
              </w:rPr>
              <w:t xml:space="preserve">); </w:t>
            </w:r>
            <w:r>
              <w:rPr>
                <w:rFonts w:ascii="Consolas" w:hAnsi="Consolas"/>
                <w:color w:val="9B1B30"/>
                <w:sz w:val="19"/>
              </w:rPr>
              <w:t>StandardScaler</w:t>
            </w:r>
            <w:r>
              <w:rPr>
                <w:sz w:val="19"/>
              </w:rPr>
              <w:t xml:space="preserve"> solo en train; test con prevalencia real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leakage «logra» recall 0,999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Compromiso de SMOTE (recall↑/precisión↓)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Confusión antes/después: sube el recall, aumentan de forma pronunciada los FP, cae la precisión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Usar si el costo de FN domina; alternativas: </w:t>
            </w:r>
            <w:r>
              <w:rPr>
                <w:rFonts w:ascii="Consolas" w:hAnsi="Consolas"/>
                <w:color w:val="9B1B30"/>
                <w:sz w:val="19"/>
              </w:rPr>
              <w:t>class_weight='balanced'</w:t>
            </w:r>
            <w:r>
              <w:rPr>
                <w:sz w:val="19"/>
              </w:rPr>
              <w:t>, undersampling, ajustar el umbral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recall 0,615→0,878; FP 16→1 885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5.4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Umbral y pesos por costo (FP vs FN)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Asimetría de costos declarada; punto sobre la curva PR; log-loss (calibración)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Fijar el umbral por costo (enlace con S09), no 0,5; </w:t>
            </w:r>
            <w:r>
              <w:rPr>
                <w:rFonts w:ascii="Consolas" w:hAnsi="Consolas"/>
                <w:color w:val="9B1B30"/>
                <w:sz w:val="19"/>
              </w:rPr>
              <w:t>class_weight</w:t>
            </w:r>
            <w:r>
              <w:rPr>
                <w:sz w:val="19"/>
              </w:rPr>
              <w:t xml:space="preserve"> para ponderar; preferir menor log-loss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umbral por </w:t>
            </w:r>
            <w:r>
              <w:rPr>
                <w:rFonts w:ascii="Consolas" w:hAnsi="Consolas"/>
                <w:color w:val="9B1B30"/>
                <w:sz w:val="19"/>
              </w:rPr>
              <w:t>C_FN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C_FP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5.5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regla de oro del benchmark.</w:t>
      </w:r>
      <w:r>
        <w:rPr>
          <w:color w:val="2D2D2D"/>
        </w:rPr>
        <w:t xml:space="preserve"> El campeón se elige por </w:t>
      </w:r>
      <w:r>
        <w:rPr>
          <w:b/>
          <w:color w:val="2D2D2D"/>
        </w:rPr>
        <w:t>PR-AUC</w:t>
      </w:r>
      <w:r>
        <w:rPr>
          <w:color w:val="2D2D2D"/>
        </w:rPr>
        <w:t xml:space="preserve"> (6) bajo un </w:t>
      </w:r>
      <w:r>
        <w:rPr>
          <w:b/>
          <w:color w:val="2D2D2D"/>
        </w:rPr>
        <w:t>mismo protocolo</w:t>
      </w:r>
      <w:r>
        <w:rPr>
          <w:color w:val="2D2D2D"/>
        </w:rPr>
        <w:t xml:space="preserve"> (split, semilla, escalado, SMOTE solo en train), no por accuracy ni por ROC-AUC; cada generativo se reporta con </w:t>
      </w:r>
      <w:r>
        <w:rPr>
          <w:b/>
          <w:color w:val="2D2D2D"/>
        </w:rPr>
        <w:t>su supuesto</w:t>
      </w:r>
      <w:r>
        <w:rPr>
          <w:color w:val="2D2D2D"/>
        </w:rPr>
        <w:t xml:space="preserve"> —LDA covarianza igual (3), QDA por clase (4), Naive Bayes independencia (2)— y el campeón se despliega con un </w:t>
      </w:r>
      <w:r>
        <w:rPr>
          <w:b/>
          <w:color w:val="2D2D2D"/>
        </w:rPr>
        <w:t>umbral por costo</w:t>
      </w:r>
      <w:r>
        <w:rPr>
          <w:color w:val="2D2D2D"/>
        </w:rPr>
        <w:t>. Desarrollo completo en la guía de supuestos de la sesión (Partes 2-5).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 xml:space="preserve">[ ] 1. ¿Todos los modelos corren bajo el </w:t>
      </w:r>
      <w:r>
        <w:rPr>
          <w:b/>
        </w:rPr>
        <w:t>mismo protocolo</w:t>
      </w:r>
      <w:r>
        <w:t xml:space="preserve"> (split, semilla, escalado, umbral de reporte)?</w:t>
      </w:r>
    </w:p>
    <w:p>
      <w:pPr>
        <w:pStyle w:val="ListBullet"/>
        <w:spacing w:after="40"/>
      </w:pPr>
      <w:r>
        <w:t xml:space="preserve">[ ] 2. ¿El test conserva la prevalencia real y el remuestreo (SMOTE) se aplicó </w:t>
      </w:r>
      <w:r>
        <w:rPr>
          <w:b/>
        </w:rPr>
        <w:t>solo en train</w:t>
      </w:r>
      <w:r>
        <w:t>?</w:t>
      </w:r>
    </w:p>
    <w:p>
      <w:pPr>
        <w:pStyle w:val="ListBullet"/>
        <w:spacing w:after="40"/>
      </w:pPr>
      <w:r>
        <w:t xml:space="preserve">[ ] 3. ¿La tabla reporta precision/recall/F1 </w:t>
      </w:r>
      <w:r>
        <w:rPr>
          <w:b/>
        </w:rPr>
        <w:t>de la clase fraude</w:t>
      </w:r>
      <w:r>
        <w:t xml:space="preserve"> (no el promedio que la diluye)?</w:t>
      </w:r>
    </w:p>
    <w:p>
      <w:pPr>
        <w:pStyle w:val="ListBullet"/>
        <w:spacing w:after="40"/>
      </w:pPr>
      <w:r>
        <w:t xml:space="preserve">[ ] 4. ¿La columna </w:t>
      </w:r>
      <w:r>
        <w:rPr>
          <w:b/>
        </w:rPr>
        <w:t>PR-AUC (average precision)</w:t>
      </w:r>
      <w:r>
        <w:t xml:space="preserve"> está completa y es la que ordena la tabla?</w:t>
      </w:r>
    </w:p>
    <w:p>
      <w:pPr>
        <w:pStyle w:val="ListBullet"/>
        <w:spacing w:after="40"/>
      </w:pPr>
      <w:r>
        <w:t xml:space="preserve">[ ] 5. ¿Se reporta ROC-AUC solo como contexto, sin usarlo para decidir, y </w:t>
      </w:r>
      <w:r>
        <w:rPr>
          <w:b/>
        </w:rPr>
        <w:t>sin accuracy</w:t>
      </w:r>
      <w:r>
        <w:t xml:space="preserve"> como métrica de negocio?</w:t>
      </w:r>
    </w:p>
    <w:p>
      <w:pPr>
        <w:pStyle w:val="ListBullet"/>
        <w:spacing w:after="40"/>
      </w:pPr>
      <w:r>
        <w:t>[ ] 6. ¿Se comparó el tratamiento del desbalance (base vs. SMOTE/</w:t>
      </w:r>
      <w:r>
        <w:rPr>
          <w:rFonts w:ascii="Consolas" w:hAnsi="Consolas"/>
          <w:color w:val="9B1B30"/>
          <w:sz w:val="19"/>
        </w:rPr>
        <w:t>class_weight</w:t>
      </w:r>
      <w:r>
        <w:t>) con antes/después?</w:t>
      </w:r>
    </w:p>
    <w:p>
      <w:pPr>
        <w:pStyle w:val="ListBullet"/>
        <w:spacing w:after="40"/>
      </w:pPr>
      <w:r>
        <w:t xml:space="preserve">[ ] 7. ¿Las curvas ROC y PR se trazaron </w:t>
      </w:r>
      <w:r>
        <w:rPr>
          <w:b/>
        </w:rPr>
        <w:t>al leer el Excel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resultados/S10_resultados.xlsx</w:t>
      </w:r>
      <w:r>
        <w:t>?</w:t>
      </w:r>
    </w:p>
    <w:p>
      <w:pPr>
        <w:pStyle w:val="ListBullet"/>
        <w:spacing w:after="40"/>
      </w:pPr>
      <w:r>
        <w:t xml:space="preserve">[ ] 8. ¿El </w:t>
      </w:r>
      <w:r>
        <w:rPr>
          <w:b/>
        </w:rPr>
        <w:t>campeón se eligió por PR-AUC</w:t>
      </w:r>
      <w:r>
        <w:t xml:space="preserve"> y se le fijó un </w:t>
      </w:r>
      <w:r>
        <w:rPr>
          <w:b/>
        </w:rPr>
        <w:t>umbral por costo</w:t>
      </w:r>
      <w:r>
        <w:t xml:space="preserve"> con su recomendación de negocio?</w:t>
      </w:r>
    </w:p>
    <w:p>
      <w:pPr>
        <w:pStyle w:val="ListBullet"/>
        <w:spacing w:after="40"/>
      </w:pPr>
      <w:r>
        <w:t xml:space="preserve">[ ] 9. ¿La decisión se </w:t>
      </w:r>
      <w:r>
        <w:rPr>
          <w:b/>
        </w:rPr>
        <w:t>cerró en dinero</w:t>
      </w:r>
      <w:r>
        <w:t xml:space="preserve"> (costo esperado </w:t>
      </w:r>
      <w:r>
        <w:drawing>
          <wp:inline xmlns:a="http://schemas.openxmlformats.org/drawingml/2006/main" xmlns:pic="http://schemas.openxmlformats.org/drawingml/2006/picture">
            <wp:extent cx="1172442" cy="2066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16c5bb0ee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2442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con </w:t>
      </w:r>
      <w:r>
        <w:rPr>
          <w:rFonts w:ascii="Consolas" w:hAnsi="Consolas"/>
          <w:color w:val="9B1B30"/>
          <w:sz w:val="19"/>
        </w:rPr>
        <w:t>C_FN</w:t>
      </w:r>
      <w:r>
        <w:t xml:space="preserve"> anclado al importe medio del </w:t>
      </w:r>
      <w:r>
        <w:rPr>
          <w:rFonts w:ascii="Consolas" w:hAnsi="Consolas"/>
          <w:color w:val="9B1B30"/>
          <w:sz w:val="19"/>
        </w:rPr>
        <w:t>Amount</w:t>
      </w:r>
      <w:r>
        <w:t>, base vs. SMOTE), no solo por PR-AUC/recall?</w:t>
      </w:r>
    </w:p>
    <w:p>
      <w:pPr>
        <w:pStyle w:val="ListBullet"/>
        <w:spacing w:after="40"/>
      </w:pPr>
      <w:r>
        <w:t xml:space="preserve">[ ] 10. ¿Toda cifra propia está etiquetada </w:t>
      </w:r>
      <w:r>
        <w:rPr>
          <w:i/>
        </w:rPr>
        <w:t>operativo = venv</w:t>
      </w:r>
      <w:r>
        <w:t xml:space="preserve"> y las de otros pipelines van marcadas como benchmark publicado?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materializa el </w:t>
      </w:r>
      <w:r>
        <w:rPr>
          <w:b/>
          <w:color w:val="2D2D2D"/>
        </w:rPr>
        <w:t>entregable evaluable</w:t>
      </w:r>
      <w:r>
        <w:rPr>
          <w:color w:val="2D2D2D"/>
        </w:rPr>
        <w:t xml:space="preserve"> de S10: el benchmark reproducible de clasificadores sobre el fraude 99:1. Se completa con los resultados del cuaderno </w:t>
      </w:r>
      <w:r>
        <w:rPr>
          <w:rFonts w:ascii="Consolas" w:hAnsi="Consolas"/>
          <w:color w:val="2D2D2D"/>
          <w:sz w:val="19"/>
        </w:rPr>
        <w:t>notebook/S10_clasificadores_clasicos.ipynb</w:t>
      </w:r>
      <w:r>
        <w:rPr>
          <w:color w:val="2D2D2D"/>
        </w:rPr>
        <w:t xml:space="preserve"> (métricas y curvas exportadas a </w:t>
      </w:r>
      <w:r>
        <w:rPr>
          <w:rFonts w:ascii="Consolas" w:hAnsi="Consolas"/>
          <w:color w:val="2D2D2D"/>
          <w:sz w:val="19"/>
        </w:rPr>
        <w:t>resultados/S10_resultados.xlsx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clasificadores_iris</w:t>
      </w:r>
      <w:r>
        <w:rPr>
          <w:color w:val="2D2D2D"/>
        </w:rPr>
        <w:t xml:space="preserve">) y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con su rúbrica vigesimal 0–20. Su lectura conceptual (por qué PR-AUC y no accuracy) está en la guía hermana </w:t>
      </w:r>
      <w:r>
        <w:rPr>
          <w:rFonts w:ascii="Consolas" w:hAnsi="Consolas"/>
          <w:color w:val="2D2D2D"/>
          <w:sz w:val="19"/>
        </w:rPr>
        <w:t>plantillas/guia_metricas_desbalance.docx</w:t>
      </w:r>
      <w:r>
        <w:rPr>
          <w:color w:val="2D2D2D"/>
        </w:rPr>
        <w:t xml:space="preserve">; el umbral por costo se retoma de la plantilla </w:t>
      </w:r>
      <w:r>
        <w:rPr>
          <w:rFonts w:ascii="Consolas" w:hAnsi="Consolas"/>
          <w:color w:val="2D2D2D"/>
          <w:sz w:val="19"/>
        </w:rPr>
        <w:t>evaluacion_clasificador.md</w:t>
      </w:r>
      <w:r>
        <w:rPr>
          <w:color w:val="2D2D2D"/>
        </w:rPr>
        <w:t xml:space="preserve"> de S09.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declarado para la sesión de réplica del paper (Sección 4 tabla de targets y operativos del venv, Sección 5 procedimiento del benchmark) e la guía de interpretación de resultados (Sección 5 ROC vs. PR-AUC, Sección 6 precision/recall/F1, Sección 7 efecto de SMOTE, Sección 8 log-loss, Sección 9 elección del campeón). Fuentes: Saito &amp; Rehmsmeier (2015), PLoS ONE 10(3):e0118432 (PR más informativa que ROC en desbalance); He &amp; Garcia (2009), IEEE TKDE 21(9) (evaluación en datos desbalanceados); Chawla et al. (2002), JAIR 16 (SMOTE); documentación scikit-learn </w:t>
      </w:r>
      <w:r>
        <w:rPr>
          <w:rFonts w:ascii="Consolas" w:hAnsi="Consolas"/>
          <w:color w:val="2D2D2D"/>
          <w:sz w:val="19"/>
        </w:rPr>
        <w:t>average_precision_score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precision_recall_curve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log_loss</w:t>
      </w:r>
      <w:r>
        <w:rPr>
          <w:color w:val="2D2D2D"/>
        </w:rPr>
        <w:t>. Fisher (1936) ancla la réplica de LDA/QDA sobre Iris.</w:t>
      </w:r>
    </w:p>
    <w:sectPr w:rsidR="00FC693F" w:rsidRPr="0006063C" w:rsidSect="00034616">
      <w:headerReference w:type="default" r:id="rId26"/>
      <w:footerReference w:type="default" r:id="rId27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Benchmark de clasificadores — tabla de métricas, curvas ROC/PR y elección del campeón por PR-AUC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