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Guía: lectura de ACF/PACF para identificar (p,d,q) — cómo se llega al modelo aerolínea `(0,1,1)(0,1,1)₁₂`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Guía de la Sesión S11 — Herramientas para la Ciencia de Datos (UPC). Explica cómo proponer manualmente los órdenes de un modelo ARIMA/SARIMA al leer dos correlogramas: qué mide la </w:t>
      </w:r>
      <w:r>
        <w:rPr>
          <w:b/>
          <w:color w:val="2D2D2D"/>
        </w:rPr>
        <w:t>ACF</w:t>
      </w:r>
      <w:r>
        <w:rPr>
          <w:color w:val="2D2D2D"/>
        </w:rPr>
        <w:t xml:space="preserve"> (autocorrelación) y qué mide la </w:t>
      </w:r>
      <w:r>
        <w:rPr>
          <w:b/>
          <w:color w:val="2D2D2D"/>
        </w:rPr>
        <w:t>PACF</w:t>
      </w:r>
      <w:r>
        <w:rPr>
          <w:color w:val="2D2D2D"/>
        </w:rPr>
        <w:t xml:space="preserve"> (autocorrelación parcial), los patrones típicos (</w:t>
      </w:r>
      <w:r>
        <w:rPr>
          <w:b/>
          <w:color w:val="2D2D2D"/>
        </w:rPr>
        <w:t>AR: PACF corta / MA: ACF corta</w:t>
      </w:r>
      <w:r>
        <w:rPr>
          <w:color w:val="2D2D2D"/>
        </w:rPr>
        <w:t xml:space="preserve">), el efecto de la </w:t>
      </w:r>
      <w:r>
        <w:rPr>
          <w:b/>
          <w:color w:val="2D2D2D"/>
        </w:rPr>
        <w:t>diferenciación</w:t>
      </w:r>
      <w:r>
        <w:rPr>
          <w:color w:val="2D2D2D"/>
        </w:rPr>
        <w:t xml:space="preserve"> regular </w:t>
      </w:r>
      <w:r>
        <w:rPr>
          <w:rFonts w:ascii="Consolas" w:hAnsi="Consolas"/>
          <w:color w:val="2D2D2D"/>
          <w:sz w:val="19"/>
        </w:rPr>
        <w:t>d</w:t>
      </w:r>
      <w:r>
        <w:rPr>
          <w:color w:val="2D2D2D"/>
        </w:rPr>
        <w:t xml:space="preserve"> y estacional </w:t>
      </w:r>
      <w:r>
        <w:rPr>
          <w:rFonts w:ascii="Consolas" w:hAnsi="Consolas"/>
          <w:color w:val="2D2D2D"/>
          <w:sz w:val="19"/>
        </w:rPr>
        <w:t>D</w:t>
      </w:r>
      <w:r>
        <w:rPr>
          <w:color w:val="2D2D2D"/>
        </w:rPr>
        <w:t xml:space="preserve">, cómo esos patrones conducen al </w:t>
      </w:r>
      <w:r>
        <w:rPr>
          <w:b/>
          <w:color w:val="2D2D2D"/>
        </w:rPr>
        <w:t>modelo aerolínea `(0,1,1)(0,1,1)₁₂`</w:t>
      </w:r>
      <w:r>
        <w:rPr>
          <w:color w:val="2D2D2D"/>
        </w:rPr>
        <w:t xml:space="preserve"> de Box &amp; Jenkins sobre AirPassengers, y una tabla-resumen «qué patrón → qué orden». Incluye la </w:t>
      </w:r>
      <w:r>
        <w:rPr>
          <w:b/>
          <w:color w:val="2D2D2D"/>
        </w:rPr>
        <w:t>matriz de decisión ADF/KPSS</w:t>
      </w:r>
      <w:r>
        <w:rPr>
          <w:color w:val="2D2D2D"/>
        </w:rPr>
        <w:t xml:space="preserve"> para fijar la diferenciación. Acompaña al cuaderno </w:t>
      </w:r>
      <w:r>
        <w:rPr>
          <w:rFonts w:ascii="Consolas" w:hAnsi="Consolas"/>
          <w:color w:val="2D2D2D"/>
          <w:sz w:val="19"/>
        </w:rPr>
        <w:t>notebook/S11_series_temporales.ipynb</w:t>
      </w:r>
      <w:r>
        <w:rPr>
          <w:color w:val="2D2D2D"/>
        </w:rPr>
        <w:t xml:space="preserve"> y a la plantilla hermana </w:t>
      </w:r>
      <w:r>
        <w:rPr>
          <w:rFonts w:ascii="Consolas" w:hAnsi="Consolas"/>
          <w:color w:val="2D2D2D"/>
          <w:sz w:val="19"/>
        </w:rPr>
        <w:t>plantillas/plantilla_pronostico_backtesting.docx</w:t>
      </w:r>
      <w:r>
        <w:rPr>
          <w:color w:val="2D2D2D"/>
        </w:rPr>
        <w:t>. Español impersonal. Fechas DD/MM/YYYY, UTF-8. Términos técnicos en inglés (lag, changepoints, seasonal-naive).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El problema: proponer un modelo ARIMA sin adivinar</w:t>
      </w:r>
    </w:p>
    <w:p>
      <w:pPr>
        <w:jc w:val="both"/>
      </w:pPr>
      <w:r>
        <w:t xml:space="preserve">Un modelo </w:t>
      </w:r>
      <w:r>
        <w:rPr>
          <w:b/>
        </w:rPr>
        <w:t>ARIMA(p,d,q)</w:t>
      </w:r>
      <w:r>
        <w:t xml:space="preserve"> tiene tres órdenes: </w:t>
      </w:r>
      <w:r>
        <w:rPr>
          <w:rFonts w:ascii="Consolas" w:hAnsi="Consolas"/>
          <w:color w:val="9B1B30"/>
          <w:sz w:val="19"/>
        </w:rPr>
        <w:t>p</w:t>
      </w:r>
      <w:r>
        <w:t xml:space="preserve"> (parte autorregresiva, AR), </w:t>
      </w:r>
      <w:r>
        <w:rPr>
          <w:rFonts w:ascii="Consolas" w:hAnsi="Consolas"/>
          <w:color w:val="9B1B30"/>
          <w:sz w:val="19"/>
        </w:rPr>
        <w:t>d</w:t>
      </w:r>
      <w:r>
        <w:t xml:space="preserve"> (diferenciaciones para quitar tendencia) y </w:t>
      </w:r>
      <w:r>
        <w:rPr>
          <w:rFonts w:ascii="Consolas" w:hAnsi="Consolas"/>
          <w:color w:val="9B1B30"/>
          <w:sz w:val="19"/>
        </w:rPr>
        <w:t>q</w:t>
      </w:r>
      <w:r>
        <w:t xml:space="preserve"> (parte de media móvil, MA). Con estacionalidad se añade la parte </w:t>
      </w:r>
      <w:r>
        <w:rPr>
          <w:rFonts w:ascii="Consolas" w:hAnsi="Consolas"/>
          <w:color w:val="9B1B30"/>
          <w:sz w:val="19"/>
        </w:rPr>
        <w:t>(P,D,Q)ₘ</w:t>
      </w:r>
      <w:r>
        <w:t xml:space="preserve">, donde </w:t>
      </w:r>
      <w:r>
        <w:rPr>
          <w:rFonts w:ascii="Consolas" w:hAnsi="Consolas"/>
          <w:color w:val="9B1B30"/>
          <w:sz w:val="19"/>
        </w:rPr>
        <w:t>m</w:t>
      </w:r>
      <w:r>
        <w:t xml:space="preserve"> es el periodo (12 en datos mensuales). Elegir estos números al azar es caro; la metodología de Box &amp; Jenkins da un criterio de lectura: primero se hace </w:t>
      </w:r>
      <w:r>
        <w:rPr>
          <w:b/>
        </w:rPr>
        <w:t>estacionaria</w:t>
      </w:r>
      <w:r>
        <w:t xml:space="preserve"> la serie (al fijar </w:t>
      </w:r>
      <w:r>
        <w:rPr>
          <w:rFonts w:ascii="Consolas" w:hAnsi="Consolas"/>
          <w:color w:val="9B1B30"/>
          <w:sz w:val="19"/>
        </w:rPr>
        <w:t>d</w:t>
      </w:r>
      <w:r>
        <w:t xml:space="preserve"> y </w:t>
      </w:r>
      <w:r>
        <w:rPr>
          <w:rFonts w:ascii="Consolas" w:hAnsi="Consolas"/>
          <w:color w:val="9B1B30"/>
          <w:sz w:val="19"/>
        </w:rPr>
        <w:t>D</w:t>
      </w:r>
      <w:r>
        <w:t xml:space="preserve">) y luego se leen dos gráficos —la ACF y la PACF— para proponer </w:t>
      </w:r>
      <w:r>
        <w:rPr>
          <w:rFonts w:ascii="Consolas" w:hAnsi="Consolas"/>
          <w:color w:val="9B1B30"/>
          <w:sz w:val="19"/>
        </w:rPr>
        <w:t>p</w:t>
      </w:r>
      <w:r>
        <w:t xml:space="preserve">, </w:t>
      </w:r>
      <w:r>
        <w:rPr>
          <w:rFonts w:ascii="Consolas" w:hAnsi="Consolas"/>
          <w:color w:val="9B1B30"/>
          <w:sz w:val="19"/>
        </w:rPr>
        <w:t>q</w:t>
      </w:r>
      <w:r>
        <w:t xml:space="preserve">, </w:t>
      </w:r>
      <w:r>
        <w:rPr>
          <w:rFonts w:ascii="Consolas" w:hAnsi="Consolas"/>
          <w:color w:val="9B1B30"/>
          <w:sz w:val="19"/>
        </w:rPr>
        <w:t>P</w:t>
      </w:r>
      <w:r>
        <w:t xml:space="preserve"> y </w:t>
      </w:r>
      <w:r>
        <w:rPr>
          <w:rFonts w:ascii="Consolas" w:hAnsi="Consolas"/>
          <w:color w:val="9B1B30"/>
          <w:sz w:val="19"/>
        </w:rPr>
        <w:t>Q</w:t>
      </w:r>
      <w:r>
        <w:t xml:space="preserve">. Es la fase de </w:t>
      </w:r>
      <w:r>
        <w:rPr>
          <w:b/>
        </w:rPr>
        <w:t>identificación</w:t>
      </w:r>
      <w:r>
        <w:t>, previa a la estimación y al diagnóstico.</w:t>
      </w:r>
    </w:p>
    <w:p>
      <w:pPr>
        <w:jc w:val="both"/>
      </w:pPr>
      <w:r>
        <w:t xml:space="preserve">Formalmente, con el </w:t>
      </w:r>
      <w:r>
        <w:rPr>
          <w:b/>
        </w:rPr>
        <w:t>operador de rezago</w:t>
      </w:r>
      <w:r>
        <w:t xml:space="preserve"> (lag) B —que retrasa la serie un periodo, </w:t>
      </w:r>
      <w:r>
        <w:drawing>
          <wp:inline xmlns:a="http://schemas.openxmlformats.org/drawingml/2006/main" xmlns:pic="http://schemas.openxmlformats.org/drawingml/2006/picture">
            <wp:extent cx="734112" cy="206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2b741c238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4112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>— un ARIMA(p,d,q) es un polinomio AR por la serie diferenciada igualado a un polinomio MA por el ruido; en el caso ARIMA(1,d,1):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70810" cy="3325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1ac1c49d962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0810" cy="3325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donde </w:t>
      </w:r>
      <w:r>
        <w:drawing>
          <wp:inline xmlns:a="http://schemas.openxmlformats.org/drawingml/2006/main" xmlns:pic="http://schemas.openxmlformats.org/drawingml/2006/picture">
            <wp:extent cx="515141" cy="206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2c8d96dd7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141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aplica la diferenciación regular sobre </w:t>
      </w:r>
      <w:r>
        <w:drawing>
          <wp:inline xmlns:a="http://schemas.openxmlformats.org/drawingml/2006/main" xmlns:pic="http://schemas.openxmlformats.org/drawingml/2006/picture">
            <wp:extent cx="196001" cy="206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6452cdbe7c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001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y </w:t>
      </w:r>
      <w:r>
        <w:drawing>
          <wp:inline xmlns:a="http://schemas.openxmlformats.org/drawingml/2006/main" xmlns:pic="http://schemas.openxmlformats.org/drawingml/2006/picture">
            <wp:extent cx="188874" cy="2066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e2c0e98da4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874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es ruido blanco. La versión estacional </w:t>
      </w:r>
      <w:r>
        <w:rPr>
          <w:b/>
        </w:rPr>
        <w:t>SARIMA(p,d,q)(P,D,Q)ₛ</w:t>
      </w:r>
      <w:r>
        <w:t xml:space="preserve"> multiplica los polinomios regulares por sus contrapartes estacionales en </w:t>
      </w:r>
      <w:r>
        <w:drawing>
          <wp:inline xmlns:a="http://schemas.openxmlformats.org/drawingml/2006/main" xmlns:pic="http://schemas.openxmlformats.org/drawingml/2006/picture">
            <wp:extent cx="223917" cy="2066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71679c2918d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917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(periodo </w:t>
      </w:r>
      <w:r>
        <w:rPr>
          <w:rFonts w:ascii="Consolas" w:hAnsi="Consolas"/>
          <w:color w:val="9B1B30"/>
          <w:sz w:val="19"/>
        </w:rPr>
        <w:t>s</w:t>
      </w:r>
      <w: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3442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cbee569947f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44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(2)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Identificar el modelo es fijar los órdenes de (2) al leer la ACF/PACF (para </w:t>
      </w:r>
      <w:r>
        <w:rPr>
          <w:rFonts w:ascii="Consolas" w:hAnsi="Consolas"/>
          <w:color w:val="9B1B30"/>
          <w:sz w:val="19"/>
        </w:rPr>
        <w:t>p</w:t>
      </w:r>
      <w:r>
        <w:t xml:space="preserve">, </w:t>
      </w:r>
      <w:r>
        <w:rPr>
          <w:rFonts w:ascii="Consolas" w:hAnsi="Consolas"/>
          <w:color w:val="9B1B30"/>
          <w:sz w:val="19"/>
        </w:rPr>
        <w:t>q</w:t>
      </w:r>
      <w:r>
        <w:t xml:space="preserve">, </w:t>
      </w:r>
      <w:r>
        <w:rPr>
          <w:rFonts w:ascii="Consolas" w:hAnsi="Consolas"/>
          <w:color w:val="9B1B30"/>
          <w:sz w:val="19"/>
        </w:rPr>
        <w:t>P</w:t>
      </w:r>
      <w:r>
        <w:t xml:space="preserve">, </w:t>
      </w:r>
      <w:r>
        <w:rPr>
          <w:rFonts w:ascii="Consolas" w:hAnsi="Consolas"/>
          <w:color w:val="9B1B30"/>
          <w:sz w:val="19"/>
        </w:rPr>
        <w:t>Q</w:t>
      </w:r>
      <w:r>
        <w:t xml:space="preserve">) </w:t>
      </w:r>
      <w:r>
        <w:rPr>
          <w:b/>
        </w:rPr>
        <w:t>después</w:t>
      </w:r>
      <w:r>
        <w:t xml:space="preserve"> de estacionar la serie con las diferencias </w:t>
      </w:r>
      <w:r>
        <w:rPr>
          <w:rFonts w:ascii="Consolas" w:hAnsi="Consolas"/>
          <w:color w:val="9B1B30"/>
          <w:sz w:val="19"/>
        </w:rPr>
        <w:t>d</w:t>
      </w:r>
      <w:r>
        <w:t xml:space="preserve"> y </w:t>
      </w:r>
      <w:r>
        <w:rPr>
          <w:rFonts w:ascii="Consolas" w:hAnsi="Consolas"/>
          <w:color w:val="9B1B30"/>
          <w:sz w:val="19"/>
        </w:rPr>
        <w:t>D</w:t>
      </w:r>
      <w: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Qué es cada función</w:t>
      </w:r>
    </w:p>
    <w:p>
      <w:pPr>
        <w:pStyle w:val="ListBullet"/>
        <w:spacing w:after="40"/>
      </w:pPr>
      <w:r>
        <w:rPr>
          <w:b/>
        </w:rPr>
        <w:t>ACF (autocorrelation function)</w:t>
      </w:r>
      <w:r>
        <w:t xml:space="preserve">: mide la correlación de la serie con sus propios rezagos (lag 1, lag 2, …). Responde: ¿el valor de hace </w:t>
      </w:r>
      <w:r>
        <w:rPr>
          <w:rFonts w:ascii="Consolas" w:hAnsi="Consolas"/>
          <w:color w:val="9B1B30"/>
          <w:sz w:val="19"/>
        </w:rPr>
        <w:t>k</w:t>
      </w:r>
      <w:r>
        <w:t xml:space="preserve"> periodos se parece al de hoy?</w:t>
      </w:r>
    </w:p>
    <w:p>
      <w:pPr>
        <w:pStyle w:val="ListBullet"/>
        <w:spacing w:after="40"/>
      </w:pPr>
      <w:r>
        <w:rPr>
          <w:b/>
        </w:rPr>
        <w:t>PACF (partial autocorrelation function)</w:t>
      </w:r>
      <w:r>
        <w:t xml:space="preserve">: mide esa misma correlación en el lag </w:t>
      </w:r>
      <w:r>
        <w:rPr>
          <w:rFonts w:ascii="Consolas" w:hAnsi="Consolas"/>
          <w:color w:val="9B1B30"/>
          <w:sz w:val="19"/>
        </w:rPr>
        <w:t>k</w:t>
      </w:r>
      <w:r>
        <w:t xml:space="preserve"> </w:t>
      </w:r>
      <w:r>
        <w:rPr>
          <w:b/>
        </w:rPr>
        <w:t>que elimina el efecto de los rezagos intermedios</w:t>
      </w:r>
      <w:r>
        <w:t xml:space="preserve"> (1, 2, …, k−1). Aísla la contribución </w:t>
      </w:r>
      <w:r>
        <w:rPr>
          <w:b/>
        </w:rPr>
        <w:t>directa</w:t>
      </w:r>
      <w:r>
        <w:t xml:space="preserve"> del lag </w:t>
      </w:r>
      <w:r>
        <w:rPr>
          <w:rFonts w:ascii="Consolas" w:hAnsi="Consolas"/>
          <w:color w:val="9B1B30"/>
          <w:sz w:val="19"/>
        </w:rPr>
        <w:t>k</w:t>
      </w:r>
      <w:r>
        <w:t>.</w:t>
      </w:r>
    </w:p>
    <w:p>
      <w:pPr>
        <w:jc w:val="both"/>
      </w:pPr>
      <w:r>
        <w:t xml:space="preserve">Ambos correlogramas traen </w:t>
      </w:r>
      <w:r>
        <w:rPr>
          <w:b/>
        </w:rPr>
        <w:t>bandas de significancia</w:t>
      </w:r>
      <w:r>
        <w:t xml:space="preserve"> (aprox. ±1,96/√n): las barras que sobresalen de la banda son rezagos significativos; las que quedan dentro son ruido y no deben sobre-interpretarse. En </w:t>
      </w:r>
      <w:r>
        <w:rPr>
          <w:rFonts w:ascii="Consolas" w:hAnsi="Consolas"/>
          <w:color w:val="9B1B30"/>
          <w:sz w:val="19"/>
        </w:rPr>
        <w:t>statsmodels</w:t>
      </w:r>
      <w:r>
        <w:t xml:space="preserve">: </w:t>
      </w:r>
      <w:r>
        <w:rPr>
          <w:rFonts w:ascii="Consolas" w:hAnsi="Consolas"/>
          <w:color w:val="9B1B30"/>
          <w:sz w:val="19"/>
        </w:rPr>
        <w:t>acf</w:t>
      </w:r>
      <w:r>
        <w:t>/</w:t>
      </w:r>
      <w:r>
        <w:rPr>
          <w:rFonts w:ascii="Consolas" w:hAnsi="Consolas"/>
          <w:color w:val="9B1B30"/>
          <w:sz w:val="19"/>
        </w:rPr>
        <w:t>pacf</w:t>
      </w:r>
      <w:r>
        <w:t xml:space="preserve"> y </w:t>
      </w:r>
      <w:r>
        <w:rPr>
          <w:rFonts w:ascii="Consolas" w:hAnsi="Consolas"/>
          <w:color w:val="9B1B30"/>
          <w:sz w:val="19"/>
        </w:rPr>
        <w:t>plot_acf</w:t>
      </w:r>
      <w:r>
        <w:t>/</w:t>
      </w:r>
      <w:r>
        <w:rPr>
          <w:rFonts w:ascii="Consolas" w:hAnsi="Consolas"/>
          <w:color w:val="9B1B30"/>
          <w:sz w:val="19"/>
        </w:rPr>
        <w:t>plot_pacf</w:t>
      </w:r>
      <w: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Los patrones típicos — AR: PACF corta / MA: ACF corta</w:t>
      </w:r>
    </w:p>
    <w:p>
      <w:pPr>
        <w:jc w:val="both"/>
      </w:pPr>
      <w:r>
        <w:t xml:space="preserve">Sobre la serie </w:t>
      </w:r>
      <w:r>
        <w:rPr>
          <w:b/>
        </w:rPr>
        <w:t>ya estacionaria</w:t>
      </w:r>
      <w:r>
        <w:t>, la forma de los dos correlogramas delata la estructura: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ACF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PACF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Regla mnemónica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AR(p)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decae de forma gradual (cola)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corta</w:t>
            </w:r>
            <w:r>
              <w:rPr>
                <w:sz w:val="19"/>
              </w:rPr>
              <w:t xml:space="preserve"> tras el lag </w:t>
            </w:r>
            <w:r>
              <w:rPr>
                <w:rFonts w:ascii="Consolas" w:hAnsi="Consolas"/>
                <w:color w:val="9B1B30"/>
                <w:sz w:val="19"/>
              </w:rPr>
              <w:t>p</w:t>
            </w:r>
            <w:r>
              <w:rPr>
                <w:sz w:val="19"/>
              </w:rPr>
              <w:t xml:space="preserve"> (se anula)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orden </w:t>
            </w:r>
            <w:r>
              <w:rPr>
                <w:rFonts w:ascii="Consolas" w:hAnsi="Consolas"/>
                <w:color w:val="9B1B30"/>
                <w:sz w:val="19"/>
              </w:rPr>
              <w:t>p</w:t>
            </w:r>
            <w:r>
              <w:rPr>
                <w:sz w:val="19"/>
              </w:rPr>
              <w:t xml:space="preserve"> se lee en la </w:t>
            </w:r>
            <w:r>
              <w:rPr>
                <w:b/>
                <w:sz w:val="19"/>
              </w:rPr>
              <w:t>PACF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MA(q)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corta</w:t>
            </w:r>
            <w:r>
              <w:rPr>
                <w:sz w:val="19"/>
              </w:rPr>
              <w:t xml:space="preserve"> tras el lag </w:t>
            </w:r>
            <w:r>
              <w:rPr>
                <w:rFonts w:ascii="Consolas" w:hAnsi="Consolas"/>
                <w:color w:val="9B1B30"/>
                <w:sz w:val="19"/>
              </w:rPr>
              <w:t>q</w:t>
            </w:r>
            <w:r>
              <w:rPr>
                <w:sz w:val="19"/>
              </w:rPr>
              <w:t xml:space="preserve"> (se anula)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decae de forma gradual (cola)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orden </w:t>
            </w:r>
            <w:r>
              <w:rPr>
                <w:rFonts w:ascii="Consolas" w:hAnsi="Consolas"/>
                <w:color w:val="9B1B30"/>
                <w:sz w:val="19"/>
              </w:rPr>
              <w:t>q</w:t>
            </w:r>
            <w:r>
              <w:rPr>
                <w:sz w:val="19"/>
              </w:rPr>
              <w:t xml:space="preserve"> se lee en la </w:t>
            </w:r>
            <w:r>
              <w:rPr>
                <w:b/>
                <w:sz w:val="19"/>
              </w:rPr>
              <w:t>ACF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ARMA(p,q)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decae gradual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decae gradual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ambas con cola → mezcla; apoyarse en AIC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Ruido blanco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sin barras significativas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sin barras significativas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nada que modelar (residuo ideal)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La regla que más se confunde (y que conviene retener): </w:t>
      </w:r>
      <w:r>
        <w:rPr>
          <w:b/>
        </w:rPr>
        <w:t>`p` ↔ PACF, `q` ↔ ACF</w:t>
      </w:r>
      <w:r>
        <w:t xml:space="preserve">. Un corte brusco en la </w:t>
      </w:r>
      <w:r>
        <w:rPr>
          <w:b/>
        </w:rPr>
        <w:t>PACF</w:t>
      </w:r>
      <w:r>
        <w:t xml:space="preserve"> tras el lag </w:t>
      </w:r>
      <w:r>
        <w:rPr>
          <w:rFonts w:ascii="Consolas" w:hAnsi="Consolas"/>
          <w:color w:val="9B1B30"/>
          <w:sz w:val="19"/>
        </w:rPr>
        <w:t>p</w:t>
      </w:r>
      <w:r>
        <w:t xml:space="preserve"> sugiere </w:t>
      </w:r>
      <w:r>
        <w:rPr>
          <w:b/>
        </w:rPr>
        <w:t>AR(p)</w:t>
      </w:r>
      <w:r>
        <w:t xml:space="preserve">; un corte brusco en la </w:t>
      </w:r>
      <w:r>
        <w:rPr>
          <w:b/>
        </w:rPr>
        <w:t>ACF</w:t>
      </w:r>
      <w:r>
        <w:t xml:space="preserve"> tras el lag </w:t>
      </w:r>
      <w:r>
        <w:rPr>
          <w:rFonts w:ascii="Consolas" w:hAnsi="Consolas"/>
          <w:color w:val="9B1B30"/>
          <w:sz w:val="19"/>
        </w:rPr>
        <w:t>q</w:t>
      </w:r>
      <w:r>
        <w:t xml:space="preserve"> sugiere </w:t>
      </w:r>
      <w:r>
        <w:rPr>
          <w:b/>
        </w:rPr>
        <w:t>MA(q)</w:t>
      </w:r>
      <w: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El efecto de la diferenciación — regular `d` y estacional `D`</w:t>
      </w:r>
    </w:p>
    <w:p>
      <w:pPr>
        <w:jc w:val="both"/>
      </w:pPr>
      <w:r>
        <w:t xml:space="preserve">Antes de leer los cortes hay que </w:t>
      </w:r>
      <w:r>
        <w:rPr>
          <w:b/>
        </w:rPr>
        <w:t>estacionarizar</w:t>
      </w:r>
      <w:r>
        <w:t xml:space="preserve">. La palanca es el operador de diferencia: la </w:t>
      </w:r>
      <w:r>
        <w:rPr>
          <w:b/>
        </w:rPr>
        <w:t>regular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721246" cy="2066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d19fb7775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1246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quita tendencia y la </w:t>
      </w:r>
      <w:r>
        <w:rPr>
          <w:b/>
        </w:rPr>
        <w:t>estacional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763777" cy="2066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b99f53a2862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3777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quita el ciclo; el modelo aerolínea aplica </w:t>
      </w:r>
      <w:r>
        <w:rPr>
          <w:b/>
        </w:rPr>
        <w:t>ambas</w:t>
      </w:r>
      <w:r>
        <w:t>, una vez cada una: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30341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586cad5a830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3034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(3)</w:t>
            </w:r>
          </w:p>
        </w:tc>
      </w:tr>
    </w:tbl>
    <w:p>
      <w:pPr>
        <w:spacing w:after="40"/>
      </w:pPr>
    </w:p>
    <w:p>
      <w:pPr>
        <w:jc w:val="both"/>
      </w:pPr>
      <w:r>
        <w:t>La señal de cuánto diferenciar está en la propia ACF:</w:t>
      </w:r>
    </w:p>
    <w:p>
      <w:pPr>
        <w:pStyle w:val="ListBullet"/>
        <w:spacing w:after="40"/>
      </w:pPr>
      <w:r>
        <w:rPr>
          <w:b/>
        </w:rPr>
        <w:t>ACF que decae muy despacio</w:t>
      </w:r>
      <w:r>
        <w:t xml:space="preserve"> (barras altas que bajan lentamente a lo largo de muchos lags) → serie </w:t>
      </w:r>
      <w:r>
        <w:rPr>
          <w:b/>
        </w:rPr>
        <w:t>no estacionaria</w:t>
      </w:r>
      <w:r>
        <w:t xml:space="preserve">: falta </w:t>
      </w:r>
      <w:r>
        <w:rPr>
          <w:b/>
        </w:rPr>
        <w:t>diferenciar</w:t>
      </w:r>
      <w:r>
        <w:t xml:space="preserve"> (</w:t>
      </w:r>
      <w:r>
        <w:rPr>
          <w:rFonts w:ascii="Consolas" w:hAnsi="Consolas"/>
          <w:color w:val="9B1B30"/>
          <w:sz w:val="19"/>
        </w:rPr>
        <w:t>d</w:t>
      </w:r>
      <w:r>
        <w:t xml:space="preserve">). Tras aplicar </w:t>
      </w:r>
      <w:r>
        <w:rPr>
          <w:rFonts w:ascii="Consolas" w:hAnsi="Consolas"/>
          <w:color w:val="9B1B30"/>
          <w:sz w:val="19"/>
        </w:rPr>
        <w:t>Δy_t = y_t − y_{t−1}</w:t>
      </w:r>
      <w:r>
        <w:t xml:space="preserve"> la ACF debe caer rápido.</w:t>
      </w:r>
    </w:p>
    <w:p>
      <w:pPr>
        <w:pStyle w:val="ListBullet"/>
        <w:spacing w:after="40"/>
      </w:pPr>
      <w:r>
        <w:rPr>
          <w:b/>
        </w:rPr>
        <w:t>Picos altos en los lags múltiplos del periodo</w:t>
      </w:r>
      <w:r>
        <w:t xml:space="preserve"> (12, 24, 36 en datos mensuales) que decaen despacio → falta </w:t>
      </w:r>
      <w:r>
        <w:rPr>
          <w:b/>
        </w:rPr>
        <w:t>diferencia estacional</w:t>
      </w:r>
      <w:r>
        <w:t xml:space="preserve"> (</w:t>
      </w:r>
      <w:r>
        <w:rPr>
          <w:rFonts w:ascii="Consolas" w:hAnsi="Consolas"/>
          <w:color w:val="9B1B30"/>
          <w:sz w:val="19"/>
        </w:rPr>
        <w:t>D</w:t>
      </w:r>
      <w:r>
        <w:t xml:space="preserve">): </w:t>
      </w:r>
      <w:r>
        <w:rPr>
          <w:rFonts w:ascii="Consolas" w:hAnsi="Consolas"/>
          <w:color w:val="9B1B30"/>
          <w:sz w:val="19"/>
        </w:rPr>
        <w:t>Δ₁₂y_t = y_t − y_{t−12}</w:t>
      </w:r>
      <w:r>
        <w:t>.</w:t>
      </w:r>
    </w:p>
    <w:p>
      <w:pPr>
        <w:pStyle w:val="ListBullet"/>
        <w:spacing w:after="40"/>
      </w:pPr>
      <w:r>
        <w:t xml:space="preserve">Una </w:t>
      </w:r>
      <w:r>
        <w:rPr>
          <w:b/>
        </w:rPr>
        <w:t>transformación logarítmica previa</w:t>
      </w:r>
      <w:r>
        <w:t xml:space="preserve"> estabiliza la varianza cuando la amplitud estacional </w:t>
      </w:r>
      <w:r>
        <w:rPr>
          <w:b/>
        </w:rPr>
        <w:t>crece con el nivel</w:t>
      </w:r>
      <w:r>
        <w:t xml:space="preserve"> (serie multiplicativa, como AirPassengers); no cambia </w:t>
      </w:r>
      <w:r>
        <w:rPr>
          <w:rFonts w:ascii="Consolas" w:hAnsi="Consolas"/>
          <w:color w:val="9B1B30"/>
          <w:sz w:val="19"/>
        </w:rPr>
        <w:t>d</w:t>
      </w:r>
      <w:r>
        <w:t>/</w:t>
      </w:r>
      <w:r>
        <w:rPr>
          <w:rFonts w:ascii="Consolas" w:hAnsi="Consolas"/>
          <w:color w:val="9B1B30"/>
          <w:sz w:val="19"/>
        </w:rPr>
        <w:t>D</w:t>
      </w:r>
      <w:r>
        <w:t xml:space="preserve"> pero es condición para que el modelo funcione.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Advertencia:</w:t>
      </w:r>
      <w:r>
        <w:rPr>
          <w:color w:val="2D2D2D"/>
        </w:rPr>
        <w:t xml:space="preserve"> sobre-diferenciar introduce ruido artificial y deja una ACF con un </w:t>
      </w:r>
      <w:r>
        <w:rPr>
          <w:b/>
          <w:color w:val="2D2D2D"/>
        </w:rPr>
        <w:t>lag-1 muy negativo</w:t>
      </w:r>
      <w:r>
        <w:rPr>
          <w:color w:val="2D2D2D"/>
        </w:rPr>
        <w:t xml:space="preserve"> (síntoma de exceso de </w:t>
      </w:r>
      <w:r>
        <w:rPr>
          <w:rFonts w:ascii="Consolas" w:hAnsi="Consolas"/>
          <w:color w:val="2D2D2D"/>
          <w:sz w:val="19"/>
        </w:rPr>
        <w:t>d</w:t>
      </w:r>
      <w:r>
        <w:rPr>
          <w:color w:val="2D2D2D"/>
        </w:rPr>
        <w:t>); sub-diferenciar deja tendencia sin capturar (ACF que aún decae despacio). El equilibrio lo fijan las pruebas ADF/KPSS (siguiente sección) y la ACF, no la costumbre de «diferenciar para asegurar».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Matriz de decisión de estacionariedad — ADF y KPSS juntas</w:t>
      </w:r>
    </w:p>
    <w:p>
      <w:pPr>
        <w:jc w:val="both"/>
      </w:pPr>
      <w:r>
        <w:t xml:space="preserve">Las dos pruebas tienen </w:t>
      </w:r>
      <w:r>
        <w:rPr>
          <w:b/>
        </w:rPr>
        <w:t>hipótesis nulas opuestas</w:t>
      </w:r>
      <w:r>
        <w:t xml:space="preserve">, por lo que se confirman entre sí. </w:t>
      </w:r>
      <w:r>
        <w:rPr>
          <w:b/>
        </w:rPr>
        <w:t>ADF</w:t>
      </w:r>
      <w:r>
        <w:t xml:space="preserve"> (Augmented Dickey-Fuller): H0 = la serie tiene raíz unitaria (</w:t>
      </w:r>
      <w:r>
        <w:rPr>
          <w:b/>
        </w:rPr>
        <w:t>no</w:t>
      </w:r>
      <w:r>
        <w:t xml:space="preserve"> estacionaria); un p-valor </w:t>
      </w:r>
      <w:r>
        <w:rPr>
          <w:b/>
        </w:rPr>
        <w:t>pequeño rechaza H0</w:t>
      </w:r>
      <w:r>
        <w:t xml:space="preserve"> → estacionaria. </w:t>
      </w:r>
      <w:r>
        <w:rPr>
          <w:b/>
        </w:rPr>
        <w:t>KPSS</w:t>
      </w:r>
      <w:r>
        <w:t xml:space="preserve">: H0 = la serie </w:t>
      </w:r>
      <w:r>
        <w:rPr>
          <w:b/>
        </w:rPr>
        <w:t>es</w:t>
      </w:r>
      <w:r>
        <w:t xml:space="preserve"> estacionaria; aquí un p-valor </w:t>
      </w:r>
      <w:r>
        <w:rPr>
          <w:b/>
        </w:rPr>
        <w:t>pequeño rechaza la estacionariedad</w:t>
      </w:r>
      <w:r>
        <w:t>. Al combinar ambas: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ADF (H0: raíz unitaria)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KPSS (H0: estacionaria)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Conclusión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 &lt; 0,05 → rechaza (estacionaria)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 &gt; 0,05 → no rechaza (estacionaria)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Estacionaria</w:t>
            </w:r>
            <w:r>
              <w:rPr>
                <w:sz w:val="19"/>
              </w:rPr>
              <w:t xml:space="preserve"> (ambas coinciden) → no diferenciar más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 &gt; 0,05 → no estacionaria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 &lt; 0,05 → rechaza (no estacionaria)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 estacionaria</w:t>
            </w:r>
            <w:r>
              <w:rPr>
                <w:sz w:val="19"/>
              </w:rPr>
              <w:t xml:space="preserve"> → diferenciar (subir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 &lt; 0,05 (estacionaria)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 &lt; 0,05 (no estacionaria)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Contradicción</w:t>
            </w:r>
            <w:r>
              <w:rPr>
                <w:sz w:val="19"/>
              </w:rPr>
              <w:t>: posible estacionariedad en tendencia → quitar tendencia / quizá diferenciar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 &gt; 0,05 (no estacionaria)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 &gt; 0,05 (estacionaria)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Poca información</w:t>
            </w:r>
            <w:r>
              <w:rPr>
                <w:sz w:val="19"/>
              </w:rPr>
              <w:t>: serie corta o poco potente → apoyarse en la ACF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El error de lectura más común:</w:t>
      </w:r>
      <w:r>
        <w:rPr>
          <w:color w:val="2D2D2D"/>
        </w:rPr>
        <w:t xml:space="preserve"> invertir la dirección del KPSS. En KPSS un p-valor </w:t>
      </w:r>
      <w:r>
        <w:rPr>
          <w:b/>
          <w:color w:val="2D2D2D"/>
        </w:rPr>
        <w:t>pequeño rechaza</w:t>
      </w:r>
      <w:r>
        <w:rPr>
          <w:color w:val="2D2D2D"/>
        </w:rPr>
        <w:t xml:space="preserve"> la estacionariedad (al revés que en ADF). Confundirlas lleva a diferenciar de más o de menos. Regla: se diferencia y se repiten </w:t>
      </w:r>
      <w:r>
        <w:rPr>
          <w:b/>
          <w:color w:val="2D2D2D"/>
        </w:rPr>
        <w:t>ambas</w:t>
      </w:r>
      <w:r>
        <w:rPr>
          <w:color w:val="2D2D2D"/>
        </w:rPr>
        <w:t xml:space="preserve"> pruebas sobre la serie diferenciada hasta que coincidan en estacionariedad (típicamente </w:t>
      </w:r>
      <w:r>
        <w:rPr>
          <w:rFonts w:ascii="Consolas" w:hAnsi="Consolas"/>
          <w:color w:val="2D2D2D"/>
          <w:sz w:val="19"/>
        </w:rPr>
        <w:t>d = 1</w:t>
      </w:r>
      <w:r>
        <w:rPr>
          <w:color w:val="2D2D2D"/>
        </w:rPr>
        <w:t xml:space="preserve"> y, con estacionalidad, </w:t>
      </w:r>
      <w:r>
        <w:rPr>
          <w:rFonts w:ascii="Consolas" w:hAnsi="Consolas"/>
          <w:color w:val="2D2D2D"/>
          <w:sz w:val="19"/>
        </w:rPr>
        <w:t>D = 1</w:t>
      </w:r>
      <w:r>
        <w:rPr>
          <w:color w:val="2D2D2D"/>
        </w:rPr>
        <w:t>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Cómo se llega al modelo aerolínea `(0,1,1)(0,1,1)₁₂`</w:t>
      </w:r>
    </w:p>
    <w:p>
      <w:pPr>
        <w:jc w:val="both"/>
      </w:pPr>
      <w:r>
        <w:t xml:space="preserve">El caso canónico de la sesión: la serie </w:t>
      </w:r>
      <w:r>
        <w:rPr>
          <w:b/>
        </w:rPr>
        <w:t>AirPassengers</w:t>
      </w:r>
      <w:r>
        <w:t xml:space="preserve"> (pasajeros mensuales 1949–1960, 144 obs) de Box &amp; Jenkins. El razonamiento paso a paso: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rPr>
          <w:b/>
        </w:rPr>
        <w:t>Descomposición y varianza.</w:t>
      </w:r>
      <w:r>
        <w:t xml:space="preserve"> La amplitud estacional </w:t>
      </w:r>
      <w:r>
        <w:rPr>
          <w:b/>
        </w:rPr>
        <w:t>crece con el nivel</w:t>
      </w:r>
      <w:r>
        <w:t xml:space="preserve"> (serie multiplicativa) → se toma </w:t>
      </w:r>
      <w:r>
        <w:rPr>
          <w:b/>
        </w:rPr>
        <w:t>`log`</w:t>
      </w:r>
      <w:r>
        <w:t xml:space="preserve"> para estabilizar la varianza.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rPr>
          <w:b/>
        </w:rPr>
        <w:t>Tendencia.</w:t>
      </w:r>
      <w:r>
        <w:t xml:space="preserve"> La log-serie tiene tendencia creciente y su ACF decae despacio → una </w:t>
      </w:r>
      <w:r>
        <w:rPr>
          <w:b/>
        </w:rPr>
        <w:t>diferencia regular</w:t>
      </w:r>
      <w:r>
        <w:t xml:space="preserve"> </w:t>
      </w:r>
      <w:r>
        <w:rPr>
          <w:rFonts w:ascii="Consolas" w:hAnsi="Consolas"/>
          <w:color w:val="9B1B30"/>
          <w:sz w:val="19"/>
        </w:rPr>
        <w:t>d = 1</w:t>
      </w:r>
      <w:r>
        <w:t>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rPr>
          <w:b/>
        </w:rPr>
        <w:t>Estacionalidad.</w:t>
      </w:r>
      <w:r>
        <w:t xml:space="preserve"> Persisten picos en los lags 12, 24, 36 → una </w:t>
      </w:r>
      <w:r>
        <w:rPr>
          <w:b/>
        </w:rPr>
        <w:t>diferencia estacional</w:t>
      </w:r>
      <w:r>
        <w:t xml:space="preserve"> </w:t>
      </w:r>
      <w:r>
        <w:rPr>
          <w:rFonts w:ascii="Consolas" w:hAnsi="Consolas"/>
          <w:color w:val="9B1B30"/>
          <w:sz w:val="19"/>
        </w:rPr>
        <w:t>D = 1</w:t>
      </w:r>
      <w:r>
        <w:t xml:space="preserve"> (periodo </w:t>
      </w:r>
      <w:r>
        <w:rPr>
          <w:rFonts w:ascii="Consolas" w:hAnsi="Consolas"/>
          <w:color w:val="9B1B30"/>
          <w:sz w:val="19"/>
        </w:rPr>
        <w:t>m = 12</w:t>
      </w:r>
      <w:r>
        <w:t xml:space="preserve">). Tras </w:t>
      </w:r>
      <w:r>
        <w:rPr>
          <w:rFonts w:ascii="Consolas" w:hAnsi="Consolas"/>
          <w:color w:val="9B1B30"/>
          <w:sz w:val="19"/>
        </w:rPr>
        <w:t>d = 1</w:t>
      </w:r>
      <w:r>
        <w:t xml:space="preserve"> y </w:t>
      </w:r>
      <w:r>
        <w:rPr>
          <w:rFonts w:ascii="Consolas" w:hAnsi="Consolas"/>
          <w:color w:val="9B1B30"/>
          <w:sz w:val="19"/>
        </w:rPr>
        <w:t>D = 1</w:t>
      </w:r>
      <w:r>
        <w:t xml:space="preserve">, ADF confirma estacionariedad (operativo del venv: </w:t>
      </w:r>
      <w:r>
        <w:rPr>
          <w:b/>
        </w:rPr>
        <w:t>ADF p ≈ 0,0002</w:t>
      </w:r>
      <w:r>
        <w:t>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4.  </w:t>
      </w:r>
      <w:r>
        <w:rPr>
          <w:b/>
        </w:rPr>
        <w:t>Lectura de la ACF de la serie doblemente diferenciada.</w:t>
      </w:r>
      <w:r>
        <w:t xml:space="preserve"> Aparece un </w:t>
      </w:r>
      <w:r>
        <w:rPr>
          <w:b/>
        </w:rPr>
        <w:t>pico significativo en el lag 1</w:t>
      </w:r>
      <w:r>
        <w:t xml:space="preserve"> → término </w:t>
      </w:r>
      <w:r>
        <w:rPr>
          <w:b/>
        </w:rPr>
        <w:t>MA(1)</w:t>
      </w:r>
      <w:r>
        <w:t xml:space="preserve"> regular (</w:t>
      </w:r>
      <w:r>
        <w:rPr>
          <w:rFonts w:ascii="Consolas" w:hAnsi="Consolas"/>
          <w:color w:val="9B1B30"/>
          <w:sz w:val="19"/>
        </w:rPr>
        <w:t>q = 1</w:t>
      </w:r>
      <w:r>
        <w:t xml:space="preserve">); y un </w:t>
      </w:r>
      <w:r>
        <w:rPr>
          <w:b/>
        </w:rPr>
        <w:t>pico en el lag 12</w:t>
      </w:r>
      <w:r>
        <w:t xml:space="preserve"> → término </w:t>
      </w:r>
      <w:r>
        <w:rPr>
          <w:b/>
        </w:rPr>
        <w:t>MA(1) estacional</w:t>
      </w:r>
      <w:r>
        <w:t xml:space="preserve"> (</w:t>
      </w:r>
      <w:r>
        <w:rPr>
          <w:rFonts w:ascii="Consolas" w:hAnsi="Consolas"/>
          <w:color w:val="9B1B30"/>
          <w:sz w:val="19"/>
        </w:rPr>
        <w:t>Q = 1</w:t>
      </w:r>
      <w:r>
        <w:t xml:space="preserve">). La PACF no exige parte AR → </w:t>
      </w:r>
      <w:r>
        <w:rPr>
          <w:rFonts w:ascii="Consolas" w:hAnsi="Consolas"/>
          <w:color w:val="9B1B30"/>
          <w:sz w:val="19"/>
        </w:rPr>
        <w:t>p = 0</w:t>
      </w:r>
      <w:r>
        <w:t xml:space="preserve">, </w:t>
      </w:r>
      <w:r>
        <w:rPr>
          <w:rFonts w:ascii="Consolas" w:hAnsi="Consolas"/>
          <w:color w:val="9B1B30"/>
          <w:sz w:val="19"/>
        </w:rPr>
        <w:t>P = 0</w:t>
      </w:r>
      <w:r>
        <w:t>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5.  </w:t>
      </w:r>
      <w:r>
        <w:rPr>
          <w:b/>
        </w:rPr>
        <w:t>Orden resultante:</w:t>
      </w:r>
      <w:r>
        <w:t xml:space="preserve"> </w:t>
      </w:r>
      <w:r>
        <w:rPr>
          <w:b/>
        </w:rPr>
        <w:t>`(0,1,1)(0,1,1)₁₂`</w:t>
      </w:r>
      <w:r>
        <w:t xml:space="preserve"> sobre </w:t>
      </w:r>
      <w:r>
        <w:rPr>
          <w:rFonts w:ascii="Consolas" w:hAnsi="Consolas"/>
          <w:color w:val="9B1B30"/>
          <w:sz w:val="19"/>
        </w:rPr>
        <w:t>log(AirPassengers)</w:t>
      </w:r>
      <w:r>
        <w:t xml:space="preserve"> — el </w:t>
      </w:r>
      <w:r>
        <w:rPr>
          <w:b/>
        </w:rPr>
        <w:t>modelo aerolínea</w:t>
      </w:r>
      <w:r>
        <w:t xml:space="preserve">: solo </w:t>
      </w:r>
      <w:r>
        <w:rPr>
          <w:b/>
        </w:rPr>
        <w:t>dos parámetros</w:t>
      </w:r>
      <w:r>
        <w:t xml:space="preserve"> (θ₁ y Θ₁) que capturan tendencia + estacionalidad multiplicativa. </w:t>
      </w:r>
      <w:r>
        <w:rPr>
          <w:rFonts w:ascii="Consolas" w:hAnsi="Consolas"/>
          <w:color w:val="9B1B30"/>
          <w:sz w:val="19"/>
        </w:rPr>
        <w:t>auto_arima</w:t>
      </w:r>
      <w:r>
        <w:t xml:space="preserve"> recupera un orden cercano, lo que </w:t>
      </w:r>
      <w:r>
        <w:rPr>
          <w:b/>
        </w:rPr>
        <w:t>confirma</w:t>
      </w:r>
      <w:r>
        <w:t xml:space="preserve"> la lectura manual (no la sustituye).</w:t>
      </w:r>
    </w:p>
    <w:p>
      <w:pPr>
        <w:jc w:val="both"/>
      </w:pPr>
      <w:r>
        <w:t xml:space="preserve">En operador de rezago, el modelo aerolínea es (2) con todos los órdenes iguales a 1 salvo </w:t>
      </w:r>
      <w:r>
        <w:rPr>
          <w:rFonts w:ascii="Consolas" w:hAnsi="Consolas"/>
          <w:color w:val="9B1B30"/>
          <w:sz w:val="19"/>
        </w:rPr>
        <w:t>p = P = 0</w:t>
      </w:r>
      <w:r>
        <w:t>, sobre la serie en logaritmos: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17472" cy="3283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a28d92fc381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7472" cy="328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(4)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Quedan </w:t>
      </w:r>
      <w:r>
        <w:rPr>
          <w:b/>
        </w:rPr>
        <w:t>solo dos parámetros</w:t>
      </w:r>
      <w:r>
        <w:t xml:space="preserve"> a estimar, θ (regular) y Θ (estacional). Los coeficientes estimados salen </w:t>
      </w:r>
      <w:r>
        <w:rPr>
          <w:b/>
        </w:rPr>
        <w:t>negativos</w:t>
      </w:r>
      <w:r>
        <w:t xml:space="preserve"> por la convención </w:t>
      </w:r>
      <w:r>
        <w:rPr>
          <w:rFonts w:ascii="Consolas" w:hAnsi="Consolas"/>
          <w:color w:val="9B1B30"/>
          <w:sz w:val="19"/>
        </w:rPr>
        <w:t>(1 + θ·B)</w:t>
      </w:r>
      <w:r>
        <w:t xml:space="preserve"> de statsmodels/R (operativos del venv: </w:t>
      </w:r>
      <w:r>
        <w:rPr>
          <w:rFonts w:ascii="Consolas" w:hAnsi="Consolas"/>
          <w:color w:val="9B1B30"/>
          <w:sz w:val="19"/>
        </w:rPr>
        <w:t>ma.L1 ≈ −0,433</w:t>
      </w:r>
      <w:r>
        <w:t xml:space="preserve">, </w:t>
      </w:r>
      <w:r>
        <w:rPr>
          <w:rFonts w:ascii="Consolas" w:hAnsi="Consolas"/>
          <w:color w:val="9B1B30"/>
          <w:sz w:val="19"/>
        </w:rPr>
        <w:t>ma.S.L12 ≈ −0,548</w:t>
      </w:r>
      <w:r>
        <w:t xml:space="preserve">; </w:t>
      </w:r>
      <w:r>
        <w:rPr>
          <w:rFonts w:ascii="Consolas" w:hAnsi="Consolas"/>
          <w:color w:val="9B1B30"/>
          <w:sz w:val="19"/>
        </w:rPr>
        <w:t>ma.L1</w:t>
      </w:r>
      <w:r>
        <w:t>/</w:t>
      </w:r>
      <w:r>
        <w:rPr>
          <w:rFonts w:ascii="Consolas" w:hAnsi="Consolas"/>
          <w:color w:val="9B1B30"/>
          <w:sz w:val="19"/>
        </w:rPr>
        <w:t>ma.S.L12</w:t>
      </w:r>
      <w:r>
        <w:t xml:space="preserve"> son los </w:t>
      </w:r>
      <w:r>
        <w:rPr>
          <w:b/>
        </w:rPr>
        <w:t>nombres</w:t>
      </w:r>
      <w:r>
        <w:t xml:space="preserve"> de los coeficientes en statsmodels, donde el mismo operador de rezago B se rotula «L»). La parametrización original de Box &amp; Jenkins </w:t>
      </w:r>
      <w:r>
        <w:rPr>
          <w:rFonts w:ascii="Consolas" w:hAnsi="Consolas"/>
          <w:color w:val="9B1B30"/>
          <w:sz w:val="19"/>
        </w:rPr>
        <w:t>(1 − θ·B)</w:t>
      </w:r>
      <w:r>
        <w:t xml:space="preserve"> los reporta </w:t>
      </w:r>
      <w:r>
        <w:rPr>
          <w:b/>
        </w:rPr>
        <w:t>positivos</w:t>
      </w:r>
      <w:r>
        <w:t xml:space="preserve"> (≈ 0,40 y 0,61): es la </w:t>
      </w:r>
      <w:r>
        <w:rPr>
          <w:b/>
        </w:rPr>
        <w:t>misma</w:t>
      </w:r>
      <w:r>
        <w:t xml:space="preserve"> solución con el signo invertido, no un error. El detalle de la estimación y el pronóstico se registra en </w:t>
      </w:r>
      <w:r>
        <w:rPr>
          <w:rFonts w:ascii="Consolas" w:hAnsi="Consolas"/>
          <w:color w:val="9B1B30"/>
          <w:sz w:val="19"/>
        </w:rPr>
        <w:t>plantillas/plantilla_pronostico_backtesting.docx</w:t>
      </w:r>
      <w: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Tabla-resumen — «qué patrón → qué orden»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Lo que se observa en el correlograma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Orden a proponer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ACF decae muy despacio (no estacionaria)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subir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 xml:space="preserve"> (diferencia regular)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Picos altos en lags 12, 24, 36 que decaen despacio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subir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 xml:space="preserve"> (diferencia estacional, </w:t>
            </w:r>
            <w:r>
              <w:rPr>
                <w:rFonts w:ascii="Consolas" w:hAnsi="Consolas"/>
                <w:color w:val="9B1B30"/>
                <w:sz w:val="19"/>
              </w:rPr>
              <w:t>m = 12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Amplitud estacional que crece con el nivel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transformar con </w:t>
            </w:r>
            <w:r>
              <w:rPr>
                <w:rFonts w:ascii="Consolas" w:hAnsi="Consolas"/>
                <w:color w:val="9B1B30"/>
                <w:sz w:val="19"/>
              </w:rPr>
              <w:t>log</w:t>
            </w:r>
            <w:r>
              <w:rPr>
                <w:sz w:val="19"/>
              </w:rPr>
              <w:t xml:space="preserve"> (antes de diferenciar)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PACF corta en el lag </w:t>
            </w:r>
            <w:r>
              <w:rPr>
                <w:rFonts w:ascii="Consolas" w:hAnsi="Consolas"/>
                <w:color w:val="9B1B30"/>
                <w:sz w:val="19"/>
              </w:rPr>
              <w:t>p</w:t>
            </w:r>
            <w:r>
              <w:rPr>
                <w:sz w:val="19"/>
              </w:rPr>
              <w:t>, ACF con cola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AR(</w:t>
            </w:r>
            <w:r>
              <w:rPr>
                <w:rFonts w:ascii="Consolas" w:hAnsi="Consolas"/>
                <w:color w:val="9B1B30"/>
                <w:sz w:val="19"/>
              </w:rPr>
              <w:t>p</w:t>
            </w:r>
            <w:r>
              <w:rPr>
                <w:sz w:val="19"/>
              </w:rPr>
              <w:t xml:space="preserve">) → parte regular </w:t>
            </w:r>
            <w:r>
              <w:rPr>
                <w:rFonts w:ascii="Consolas" w:hAnsi="Consolas"/>
                <w:color w:val="9B1B30"/>
                <w:sz w:val="19"/>
              </w:rPr>
              <w:t>(p,d,0)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ACF corta en el lag </w:t>
            </w:r>
            <w:r>
              <w:rPr>
                <w:rFonts w:ascii="Consolas" w:hAnsi="Consolas"/>
                <w:color w:val="9B1B30"/>
                <w:sz w:val="19"/>
              </w:rPr>
              <w:t>q</w:t>
            </w:r>
            <w:r>
              <w:rPr>
                <w:sz w:val="19"/>
              </w:rPr>
              <w:t>, PACF con cola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MA(</w:t>
            </w:r>
            <w:r>
              <w:rPr>
                <w:rFonts w:ascii="Consolas" w:hAnsi="Consolas"/>
                <w:color w:val="9B1B30"/>
                <w:sz w:val="19"/>
              </w:rPr>
              <w:t>q</w:t>
            </w:r>
            <w:r>
              <w:rPr>
                <w:sz w:val="19"/>
              </w:rPr>
              <w:t xml:space="preserve">) → parte regular </w:t>
            </w:r>
            <w:r>
              <w:rPr>
                <w:rFonts w:ascii="Consolas" w:hAnsi="Consolas"/>
                <w:color w:val="9B1B30"/>
                <w:sz w:val="19"/>
              </w:rPr>
              <w:t>(0,d,q)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Ambas con cola gradual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ARMA → probar </w:t>
            </w:r>
            <w:r>
              <w:rPr>
                <w:rFonts w:ascii="Consolas" w:hAnsi="Consolas"/>
                <w:color w:val="9B1B30"/>
                <w:sz w:val="19"/>
              </w:rPr>
              <w:t>(p,d,q)</w:t>
            </w:r>
            <w:r>
              <w:rPr>
                <w:sz w:val="19"/>
              </w:rPr>
              <w:t xml:space="preserve"> y desempatar por AIC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Pico aislado en el lag </w:t>
            </w:r>
            <w:r>
              <w:rPr>
                <w:rFonts w:ascii="Consolas" w:hAnsi="Consolas"/>
                <w:color w:val="9B1B30"/>
                <w:sz w:val="19"/>
              </w:rPr>
              <w:t>m</w:t>
            </w:r>
            <w:r>
              <w:rPr>
                <w:sz w:val="19"/>
              </w:rPr>
              <w:t xml:space="preserve"> (12) de la ACF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MA estacional </w:t>
            </w:r>
            <w:r>
              <w:rPr>
                <w:rFonts w:ascii="Consolas" w:hAnsi="Consolas"/>
                <w:color w:val="9B1B30"/>
                <w:sz w:val="19"/>
              </w:rPr>
              <w:t>Q = 1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9B1B30"/>
                <w:sz w:val="19"/>
              </w:rPr>
              <w:t>(P,D,Q)ₘ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Pico aislado en el lag </w:t>
            </w:r>
            <w:r>
              <w:rPr>
                <w:rFonts w:ascii="Consolas" w:hAnsi="Consolas"/>
                <w:color w:val="9B1B30"/>
                <w:sz w:val="19"/>
              </w:rPr>
              <w:t>m</w:t>
            </w:r>
            <w:r>
              <w:rPr>
                <w:sz w:val="19"/>
              </w:rPr>
              <w:t xml:space="preserve"> (12) de la PACF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AR estacional </w:t>
            </w:r>
            <w:r>
              <w:rPr>
                <w:rFonts w:ascii="Consolas" w:hAnsi="Consolas"/>
                <w:color w:val="9B1B30"/>
                <w:sz w:val="19"/>
              </w:rPr>
              <w:t>P = 1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Pico en lag 1 (ACF) + pico en lag 12 (ACF), tras </w:t>
            </w:r>
            <w:r>
              <w:rPr>
                <w:rFonts w:ascii="Consolas" w:hAnsi="Consolas"/>
                <w:color w:val="9B1B30"/>
                <w:sz w:val="19"/>
              </w:rPr>
              <w:t>d=1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9B1B30"/>
                <w:sz w:val="19"/>
              </w:rPr>
              <w:t>D=1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modelo aerolínea `(0,1,1)(0,1,1)₁₂`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Sin barras significativas (residuos)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ruido blanco → el modelo ya capturó la estructura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Errores de lectura frecuentes.</w:t>
      </w:r>
      <w:r>
        <w:rPr>
          <w:color w:val="2D2D2D"/>
        </w:rPr>
        <w:t xml:space="preserve"> (1) Confundir ACF con PACF: la regla </w:t>
      </w:r>
      <w:r>
        <w:rPr>
          <w:rFonts w:ascii="Consolas" w:hAnsi="Consolas"/>
          <w:color w:val="2D2D2D"/>
          <w:sz w:val="19"/>
        </w:rPr>
        <w:t>p</w:t>
      </w:r>
      <w:r>
        <w:rPr>
          <w:color w:val="2D2D2D"/>
        </w:rPr>
        <w:t xml:space="preserve"> ↔ PACF, </w:t>
      </w:r>
      <w:r>
        <w:rPr>
          <w:rFonts w:ascii="Consolas" w:hAnsi="Consolas"/>
          <w:color w:val="2D2D2D"/>
          <w:sz w:val="19"/>
        </w:rPr>
        <w:t>q</w:t>
      </w:r>
      <w:r>
        <w:rPr>
          <w:color w:val="2D2D2D"/>
        </w:rPr>
        <w:t xml:space="preserve"> ↔ ACF se invierte con facilidad. (2) Sobre-interpretar barras apenas fuera de la banda (ruido) como estructura. (3) Olvidar mirar los </w:t>
      </w:r>
      <w:r>
        <w:rPr>
          <w:b/>
          <w:color w:val="2D2D2D"/>
        </w:rPr>
        <w:t>lags estacionales</w:t>
      </w:r>
      <w:r>
        <w:rPr>
          <w:color w:val="2D2D2D"/>
        </w:rPr>
        <w:t xml:space="preserve"> (12, 24, 36) y quedarse solo con los primeros. (4) Comparar AIC entre modelos ajustados sobre transformaciones distintas (con y sin log): no son comparables. (5) Invertir la dirección del KPSS respecto al ADF.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decisiones (identificación ARIMA/SARIMA)</w:t>
      </w:r>
    </w:p>
    <w:p>
      <w:pPr>
        <w:jc w:val="both"/>
      </w:pPr>
      <w:r>
        <w:t xml:space="preserve">Leer bien la ACF/PACF es solo una parte: la identificación descansa en una cadena de </w:t>
      </w:r>
      <w:r>
        <w:rPr>
          <w:b/>
        </w:rPr>
        <w:t>supuestos</w:t>
      </w:r>
      <w:r>
        <w:t xml:space="preserve"> del modelo ARIMA/SARIMA que se </w:t>
      </w:r>
      <w:r>
        <w:rPr>
          <w:b/>
        </w:rPr>
        <w:t>reconocen</w:t>
      </w:r>
      <w:r>
        <w:t xml:space="preserve"> por una señal con umbral y se </w:t>
      </w:r>
      <w:r>
        <w:rPr>
          <w:b/>
        </w:rPr>
        <w:t>resuelven</w:t>
      </w:r>
      <w:r>
        <w:t xml:space="preserve"> con un método concreto. El desarrollo completo (qué es, cómo se identifica, cómo se decide, alcance) es la guía de supuestos de la sesión, Parte 2.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Supuesto / decisión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identifica (señal/umbral)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decide / corrige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Cifra ancla (venv)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Fuente (SUPUESTOS_S11.md)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Estacionariedad</w:t>
            </w:r>
            <w:r>
              <w:rPr>
                <w:sz w:val="19"/>
              </w:rPr>
              <w:t xml:space="preserve"> (raíz de ARMA)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ADF (H0: raíz unitaria; p &lt; 0,05 → estacionaria) y KPSS (H0: estacionaria; p &lt; 0,05 → NO); ACF que decae despacio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Diferenciar (ver la ecuación (3)) y/o transformar con log hasta que ADF y KPSS coincidan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ADF p 0,0002 tras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 xml:space="preserve">=1,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>=1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2.1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Estacionalidad aditiva vs. multiplicativa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Panel </w:t>
            </w:r>
            <w:r>
              <w:rPr>
                <w:rFonts w:ascii="Consolas" w:hAnsi="Consolas"/>
                <w:color w:val="9B1B30"/>
                <w:sz w:val="19"/>
              </w:rPr>
              <w:t>seasonal</w:t>
            </w:r>
            <w:r>
              <w:rPr>
                <w:sz w:val="19"/>
              </w:rPr>
              <w:t xml:space="preserve"> de STL: ¿la amplitud crece con el nivel? «efecto embudo»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log</w:t>
            </w:r>
            <w:r>
              <w:rPr>
                <w:sz w:val="19"/>
              </w:rPr>
              <w:t xml:space="preserve">/Box-Cox si es multiplicativa; des-transformar con </w:t>
            </w:r>
            <w:r>
              <w:rPr>
                <w:rFonts w:ascii="Consolas" w:hAnsi="Consolas"/>
                <w:color w:val="9B1B30"/>
                <w:sz w:val="19"/>
              </w:rPr>
              <w:t>exp</w:t>
            </w:r>
            <w:r>
              <w:rPr>
                <w:sz w:val="19"/>
              </w:rPr>
              <w:t xml:space="preserve"> para reportar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log(AirPassengers)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2.2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Diferenciación `d`/`D`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lag-1 muy negativo = sobre-diferencia; picos en 12/24 = falta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Mínima diferenciación que estaciona (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 xml:space="preserve">=1,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 xml:space="preserve">=1); confirmar con </w:t>
            </w:r>
            <w:r>
              <w:rPr>
                <w:rFonts w:ascii="Consolas" w:hAnsi="Consolas"/>
                <w:color w:val="9B1B30"/>
                <w:sz w:val="19"/>
              </w:rPr>
              <w:t>auto_arima</w:t>
            </w:r>
            <w:r>
              <w:rPr>
                <w:sz w:val="19"/>
              </w:rPr>
              <w:t>; preferir MA a una diferencia extra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 xml:space="preserve">=1,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>=1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2.3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Identificación del orden</w:t>
            </w:r>
            <w:r>
              <w:rPr>
                <w:sz w:val="19"/>
              </w:rPr>
              <w:t xml:space="preserve"> (p,d,q)(P,D,Q)ₘ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ACF corta → MA(q); PACF corta → AR(p); picos estacionales → (P,Q); AIC solo sobre la misma serie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Orden parsimonioso por ACF/PACF de (2), refinar por AIC entre vecinos, confirmar con </w:t>
            </w:r>
            <w:r>
              <w:rPr>
                <w:rFonts w:ascii="Consolas" w:hAnsi="Consolas"/>
                <w:color w:val="9B1B30"/>
                <w:sz w:val="19"/>
              </w:rPr>
              <w:t>auto_arima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AIC −435,44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2.4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Residuos = ruido blanco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Ljung-Box (p &gt; 0,05 → ruido blanco); ACF de residuos dentro de banda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Aceptar si son ruido blanco; si no, volver a identificar (AR/MA o diferenciación)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Ljung-Box p 0,754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2.5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La decisión central.</w:t>
      </w:r>
      <w:r>
        <w:rPr>
          <w:color w:val="2D2D2D"/>
        </w:rPr>
        <w:t xml:space="preserve"> El orden se </w:t>
      </w:r>
      <w:r>
        <w:rPr>
          <w:b/>
          <w:color w:val="2D2D2D"/>
        </w:rPr>
        <w:t>lee</w:t>
      </w:r>
      <w:r>
        <w:rPr>
          <w:color w:val="2D2D2D"/>
        </w:rPr>
        <w:t xml:space="preserve"> de la ACF/PACF de la serie ya estacionaria y se </w:t>
      </w:r>
      <w:r>
        <w:rPr>
          <w:b/>
          <w:color w:val="2D2D2D"/>
        </w:rPr>
        <w:t>valida</w:t>
      </w:r>
      <w:r>
        <w:rPr>
          <w:color w:val="2D2D2D"/>
        </w:rPr>
        <w:t xml:space="preserve"> con el diagnóstico de residuos: se elige el modelo de menor </w:t>
      </w:r>
      <w:r>
        <w:rPr>
          <w:b/>
          <w:color w:val="2D2D2D"/>
        </w:rPr>
        <w:t>AIC</w:t>
      </w:r>
      <w:r>
        <w:rPr>
          <w:color w:val="2D2D2D"/>
        </w:rPr>
        <w:t xml:space="preserve"> entre los que pasan </w:t>
      </w:r>
      <w:r>
        <w:rPr>
          <w:b/>
          <w:color w:val="2D2D2D"/>
        </w:rPr>
        <w:t>Ljung-Box</w:t>
      </w:r>
      <w:r>
        <w:rPr>
          <w:color w:val="2D2D2D"/>
        </w:rPr>
        <w:t xml:space="preserve"> (ruido blanco), no el de mejor ajuste dentro de muestra. Desarrollo completo en la guía de supuestos de la sesión, Parte 2; las decisiones de validación temporal (rolling-origin, fuga temporal, métrica) viven en la plantilla hermana </w:t>
      </w:r>
      <w:r>
        <w:rPr>
          <w:rFonts w:ascii="Consolas" w:hAnsi="Consolas"/>
          <w:color w:val="2D2D2D"/>
          <w:sz w:val="19"/>
        </w:rPr>
        <w:t>plantillas/plantilla_pronostico_backtesting.docx</w:t>
      </w:r>
      <w:r>
        <w:rPr>
          <w:color w:val="2D2D2D"/>
        </w:rPr>
        <w:t xml:space="preserve"> y en la Parte 4 de la fuente única.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Checklist de identificación de (p,d,q)</w:t>
      </w:r>
    </w:p>
    <w:p>
      <w:pPr>
        <w:pStyle w:val="ListBullet"/>
        <w:spacing w:after="40"/>
      </w:pPr>
      <w:r>
        <w:t xml:space="preserve">[ ] 1. ¿Se estabilizó la </w:t>
      </w:r>
      <w:r>
        <w:rPr>
          <w:b/>
        </w:rPr>
        <w:t>varianza</w:t>
      </w:r>
      <w:r>
        <w:t xml:space="preserve"> con </w:t>
      </w:r>
      <w:r>
        <w:rPr>
          <w:rFonts w:ascii="Consolas" w:hAnsi="Consolas"/>
          <w:color w:val="9B1B30"/>
          <w:sz w:val="19"/>
        </w:rPr>
        <w:t>log</w:t>
      </w:r>
      <w:r>
        <w:t xml:space="preserve"> si la amplitud estacional crece con el nivel?</w:t>
      </w:r>
    </w:p>
    <w:p>
      <w:pPr>
        <w:pStyle w:val="ListBullet"/>
        <w:spacing w:after="40"/>
      </w:pPr>
      <w:r>
        <w:t xml:space="preserve">[ ] 2. ¿Se fijó </w:t>
      </w:r>
      <w:r>
        <w:rPr>
          <w:rFonts w:ascii="Consolas" w:hAnsi="Consolas"/>
          <w:color w:val="9B1B30"/>
          <w:sz w:val="19"/>
        </w:rPr>
        <w:t>d</w:t>
      </w:r>
      <w:r>
        <w:t xml:space="preserve"> (y </w:t>
      </w:r>
      <w:r>
        <w:rPr>
          <w:rFonts w:ascii="Consolas" w:hAnsi="Consolas"/>
          <w:color w:val="9B1B30"/>
          <w:sz w:val="19"/>
        </w:rPr>
        <w:t>D</w:t>
      </w:r>
      <w:r>
        <w:t xml:space="preserve">) hasta que </w:t>
      </w:r>
      <w:r>
        <w:rPr>
          <w:b/>
        </w:rPr>
        <w:t>ADF y KPSS coinciden</w:t>
      </w:r>
      <w:r>
        <w:t xml:space="preserve"> en estacionariedad?</w:t>
      </w:r>
    </w:p>
    <w:p>
      <w:pPr>
        <w:pStyle w:val="ListBullet"/>
        <w:spacing w:after="40"/>
      </w:pPr>
      <w:r>
        <w:t xml:space="preserve">[ ] 3. ¿Se leyó la </w:t>
      </w:r>
      <w:r>
        <w:rPr>
          <w:b/>
        </w:rPr>
        <w:t>PACF</w:t>
      </w:r>
      <w:r>
        <w:t xml:space="preserve"> para </w:t>
      </w:r>
      <w:r>
        <w:rPr>
          <w:rFonts w:ascii="Consolas" w:hAnsi="Consolas"/>
          <w:color w:val="9B1B30"/>
          <w:sz w:val="19"/>
        </w:rPr>
        <w:t>p</w:t>
      </w:r>
      <w:r>
        <w:t xml:space="preserve"> (corte) y la </w:t>
      </w:r>
      <w:r>
        <w:rPr>
          <w:b/>
        </w:rPr>
        <w:t>ACF</w:t>
      </w:r>
      <w:r>
        <w:t xml:space="preserve"> para </w:t>
      </w:r>
      <w:r>
        <w:rPr>
          <w:rFonts w:ascii="Consolas" w:hAnsi="Consolas"/>
          <w:color w:val="9B1B30"/>
          <w:sz w:val="19"/>
        </w:rPr>
        <w:t>q</w:t>
      </w:r>
      <w:r>
        <w:t xml:space="preserve"> (corte), sin confundirlas?</w:t>
      </w:r>
    </w:p>
    <w:p>
      <w:pPr>
        <w:pStyle w:val="ListBullet"/>
        <w:spacing w:after="40"/>
      </w:pPr>
      <w:r>
        <w:t xml:space="preserve">[ ] 4. ¿Se revisaron los </w:t>
      </w:r>
      <w:r>
        <w:rPr>
          <w:b/>
        </w:rPr>
        <w:t>lags estacionales</w:t>
      </w:r>
      <w:r>
        <w:t xml:space="preserve"> (12, 24, 36) para </w:t>
      </w:r>
      <w:r>
        <w:rPr>
          <w:rFonts w:ascii="Consolas" w:hAnsi="Consolas"/>
          <w:color w:val="9B1B30"/>
          <w:sz w:val="19"/>
        </w:rPr>
        <w:t>P</w:t>
      </w:r>
      <w:r>
        <w:t>/</w:t>
      </w:r>
      <w:r>
        <w:rPr>
          <w:rFonts w:ascii="Consolas" w:hAnsi="Consolas"/>
          <w:color w:val="9B1B30"/>
          <w:sz w:val="19"/>
        </w:rPr>
        <w:t>Q</w:t>
      </w:r>
      <w:r>
        <w:t>?</w:t>
      </w:r>
    </w:p>
    <w:p>
      <w:pPr>
        <w:pStyle w:val="ListBullet"/>
        <w:spacing w:after="40"/>
      </w:pPr>
      <w:r>
        <w:t>[ ] 5. ¿Se ignoraron las barras dentro de la banda de significancia (ruido)?</w:t>
      </w:r>
    </w:p>
    <w:p>
      <w:pPr>
        <w:pStyle w:val="ListBullet"/>
        <w:spacing w:after="40"/>
      </w:pPr>
      <w:r>
        <w:t xml:space="preserve">[ ] 6. ¿Se evitó </w:t>
      </w:r>
      <w:r>
        <w:rPr>
          <w:b/>
        </w:rPr>
        <w:t>sobre-diferenciar</w:t>
      </w:r>
      <w:r>
        <w:t xml:space="preserve"> (síntoma: lag-1 muy negativo en la ACF)?</w:t>
      </w:r>
    </w:p>
    <w:p>
      <w:pPr>
        <w:pStyle w:val="ListBullet"/>
        <w:spacing w:after="40"/>
      </w:pPr>
      <w:r>
        <w:t xml:space="preserve">[ ] 7. ¿Se confirmó el orden con </w:t>
      </w:r>
      <w:r>
        <w:rPr>
          <w:rFonts w:ascii="Consolas" w:hAnsi="Consolas"/>
          <w:color w:val="9B1B30"/>
          <w:sz w:val="19"/>
        </w:rPr>
        <w:t>auto_arima</w:t>
      </w:r>
      <w:r>
        <w:t xml:space="preserve"> y se desempató con AIC entre vecinos?</w:t>
      </w:r>
    </w:p>
    <w:p>
      <w:pPr>
        <w:pStyle w:val="ListBullet"/>
        <w:spacing w:after="40"/>
      </w:pPr>
      <w:r>
        <w:t>[ ] 8. ¿El modelo final pasa el diagnóstico de residuos (Ljung-Box p &gt; 0,05, ruido blanco)?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guía da el marco de lectura para el </w:t>
      </w:r>
      <w:r>
        <w:rPr>
          <w:b/>
          <w:color w:val="2D2D2D"/>
        </w:rPr>
        <w:t>drill 1</w:t>
      </w:r>
      <w:r>
        <w:rPr>
          <w:color w:val="2D2D2D"/>
        </w:rPr>
        <w:t xml:space="preserve"> de S11 (identificar (p,d,q) a partir de la ACF/PACF de una serie) y sustenta el paso de identificación de la plantilla </w:t>
      </w:r>
      <w:r>
        <w:rPr>
          <w:rFonts w:ascii="Consolas" w:hAnsi="Consolas"/>
          <w:color w:val="2D2D2D"/>
          <w:sz w:val="19"/>
        </w:rPr>
        <w:t>plantillas/plantilla_pronostico_backtesting.docx</w:t>
      </w:r>
      <w:r>
        <w:rPr>
          <w:color w:val="2D2D2D"/>
        </w:rPr>
        <w:t xml:space="preserve"> (por qué el orden propuesto es el que es). Se apoya en el cuaderno </w:t>
      </w:r>
      <w:r>
        <w:rPr>
          <w:rFonts w:ascii="Consolas" w:hAnsi="Consolas"/>
          <w:color w:val="2D2D2D"/>
          <w:sz w:val="19"/>
        </w:rPr>
        <w:t>notebook/S11_series_temporales.ipynb</w:t>
      </w:r>
      <w:r>
        <w:rPr>
          <w:color w:val="2D2D2D"/>
        </w:rPr>
        <w:t xml:space="preserve"> (correlogramas y ajuste del modelo aerolínea) y en </w:t>
      </w:r>
      <w:r>
        <w:rPr>
          <w:rFonts w:ascii="Consolas" w:hAnsi="Consolas"/>
          <w:color w:val="2D2D2D"/>
          <w:sz w:val="19"/>
        </w:rPr>
        <w:t>resultados/S11_resultados.xlsx</w:t>
      </w:r>
      <w:r>
        <w:rPr>
          <w:color w:val="2D2D2D"/>
        </w:rPr>
        <w:t xml:space="preserve"> (hoja </w:t>
      </w:r>
      <w:r>
        <w:rPr>
          <w:rFonts w:ascii="Consolas" w:hAnsi="Consolas"/>
          <w:color w:val="2D2D2D"/>
          <w:sz w:val="19"/>
        </w:rPr>
        <w:t>series_airpassengers</w:t>
      </w:r>
      <w:r>
        <w:rPr>
          <w:color w:val="2D2D2D"/>
        </w:rPr>
        <w:t xml:space="preserve">); el paso a paso del laboratorio está en </w:t>
      </w:r>
      <w:r>
        <w:rPr>
          <w:rFonts w:ascii="Consolas" w:hAnsi="Consolas"/>
          <w:color w:val="2D2D2D"/>
          <w:sz w:val="19"/>
        </w:rPr>
        <w:t>laboratorio/GUIA_LABORATORIO_S11.docx</w:t>
      </w:r>
      <w:r>
        <w:rPr>
          <w:color w:val="2D2D2D"/>
        </w:rPr>
        <w:t>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el glosario de la sesión (Sección 6 diferenciación, Sección 7 ACF/PACF, Sección 8 AR/MA/ARMA/ARIMA, Sección 9 SARIMA y modelo aerolínea) e la guía de interpretación de resultados (Sección 2 matriz de decisión ADF/KPSS, Sección 3 ACF/PACF para (p,d,q), Sección 4 salida de SARIMA). Fuentes: Box, G. E. P. &amp; Jenkins, G. M. (1970), </w:t>
      </w:r>
      <w:r>
        <w:rPr>
          <w:i/>
          <w:color w:val="2D2D2D"/>
        </w:rPr>
        <w:t>Time Series Analysis: Forecasting and Control</w:t>
      </w:r>
      <w:r>
        <w:rPr>
          <w:color w:val="2D2D2D"/>
        </w:rPr>
        <w:t xml:space="preserve"> (modelo aerolínea sobre la «Serie G»); Hyndman, R. J. &amp; Athanasopoulos, G., </w:t>
      </w:r>
      <w:r>
        <w:rPr>
          <w:i/>
          <w:color w:val="2D2D2D"/>
        </w:rPr>
        <w:t>Forecasting: Principles and Practice</w:t>
      </w:r>
      <w:r>
        <w:rPr>
          <w:color w:val="2D2D2D"/>
        </w:rPr>
        <w:t xml:space="preserve"> (3.ª ed., FPP3) cap. 9 «ARIMA models» y 9.9 «Seasonal ARIMA models» (https://otexts.com/fpp3/); Dickey &amp; Fuller (1979), JASA 74(366):427-431 (ADF); Kwiatkowski, Phillips, Schmidt &amp; Shin (1992), Journal of Econometrics 54(1-3):159-178 (KPSS); Hyndman &amp; Khandakar (2008), JSS 27(3) (auto.arima).</w:t>
      </w:r>
    </w:p>
    <w:sectPr w:rsidR="00FC693F" w:rsidRPr="0006063C" w:rsidSect="00034616">
      <w:headerReference w:type="default" r:id="rId20"/>
      <w:footerReference w:type="default" r:id="rId21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Guía: lectura de ACF/PACF para identificar (p,d,q) — cómo se llega al modelo aerolínea `(0,1,1)(0,1,1)₁₂`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