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200"/>
        <w:ind w:left="113"/>
        <w:shd w:val="clear" w:color="auto" w:fill="E4002B"/>
        <w:pBdr>
          <w:top w:val="single" w:sz="18" w:space="6" w:color="E4002B"/>
          <w:bottom w:val="single" w:sz="18" w:space="6" w:color="E4002B"/>
          <w:left w:val="single" w:sz="18" w:space="6" w:color="E4002B"/>
          <w:right w:val="single" w:sz="18" w:space="6" w:color="E4002B"/>
        </w:pBdr>
      </w:pPr>
      <w:r>
        <w:rPr>
          <w:b/>
          <w:color w:val="FFFFFF"/>
          <w:sz w:val="40"/>
        </w:rPr>
        <w:t>Plantilla de análisis causal — del contrafactual al DAG, la identificación, la estimación y la decisión</w:t>
      </w:r>
    </w:p>
    <w:p>
      <w:pPr>
        <w:spacing w:before="80" w:after="160" w:line="288" w:lineRule="auto"/>
        <w:ind w:left="85" w:right="85"/>
        <w:shd w:val="clear" w:color="auto" w:fill="F4F4F4"/>
        <w:pBdr>
          <w:left w:val="single" w:sz="24" w:space="10" w:color="E4002B"/>
        </w:pBdr>
      </w:pPr>
      <w:r>
        <w:rPr>
          <w:color w:val="2D2D2D"/>
        </w:rPr>
        <w:t xml:space="preserve">Plantilla de trabajo de la Sesión S12 — Herramientas para la Ciencia de Datos (UPC). Registra, bajo un </w:t>
      </w:r>
      <w:r>
        <w:rPr>
          <w:b/>
          <w:color w:val="2D2D2D"/>
        </w:rPr>
        <w:t>mismo protocolo reproducible</w:t>
      </w:r>
      <w:r>
        <w:rPr>
          <w:color w:val="2D2D2D"/>
        </w:rPr>
        <w:t xml:space="preserve">, un análisis causal completo: (a) la </w:t>
      </w:r>
      <w:r>
        <w:rPr>
          <w:b/>
          <w:color w:val="2D2D2D"/>
        </w:rPr>
        <w:t>pregunta causal</w:t>
      </w:r>
      <w:r>
        <w:rPr>
          <w:color w:val="2D2D2D"/>
        </w:rPr>
        <w:t xml:space="preserve"> y su </w:t>
      </w:r>
      <w:r>
        <w:rPr>
          <w:b/>
          <w:color w:val="2D2D2D"/>
        </w:rPr>
        <w:t>contrafactual</w:t>
      </w:r>
      <w:r>
        <w:rPr>
          <w:color w:val="2D2D2D"/>
        </w:rPr>
        <w:t xml:space="preserve">; (b) el </w:t>
      </w:r>
      <w:r>
        <w:rPr>
          <w:b/>
          <w:color w:val="2D2D2D"/>
        </w:rPr>
        <w:t>DAG</w:t>
      </w:r>
      <w:r>
        <w:rPr>
          <w:color w:val="2D2D2D"/>
        </w:rPr>
        <w:t xml:space="preserve"> con el rol de cada variable (tratamiento / resultado / confounder / mediador / collider); (c) el </w:t>
      </w:r>
      <w:r>
        <w:rPr>
          <w:b/>
          <w:color w:val="2D2D2D"/>
        </w:rPr>
        <w:t>conjunto de identificación</w:t>
      </w:r>
      <w:r>
        <w:rPr>
          <w:color w:val="2D2D2D"/>
        </w:rPr>
        <w:t xml:space="preserve"> por puerta trasera (backdoor) y los </w:t>
      </w:r>
      <w:r>
        <w:rPr>
          <w:b/>
          <w:color w:val="2D2D2D"/>
        </w:rPr>
        <w:t>supuestos</w:t>
      </w:r>
      <w:r>
        <w:rPr>
          <w:color w:val="2D2D2D"/>
        </w:rPr>
        <w:t xml:space="preserve"> del método elegido (ignorabilidad y soporte común, tendencias paralelas, o restricción de exclusión del instrumento); (d) la </w:t>
      </w:r>
      <w:r>
        <w:rPr>
          <w:b/>
          <w:color w:val="2D2D2D"/>
        </w:rPr>
        <w:t>estimación</w:t>
      </w:r>
      <w:r>
        <w:rPr>
          <w:color w:val="2D2D2D"/>
        </w:rPr>
        <w:t xml:space="preserve"> (método, efecto e intervalo de confianza); (e) los </w:t>
      </w:r>
      <w:r>
        <w:rPr>
          <w:b/>
          <w:color w:val="2D2D2D"/>
        </w:rPr>
        <w:t>pruebas de robustez</w:t>
      </w:r>
      <w:r>
        <w:rPr>
          <w:color w:val="2D2D2D"/>
        </w:rPr>
        <w:t xml:space="preserve"> (placebo, random common cause, sensibilidad); y (f) la </w:t>
      </w:r>
      <w:r>
        <w:rPr>
          <w:b/>
          <w:color w:val="2D2D2D"/>
        </w:rPr>
        <w:t>decisión con incertidumbre</w:t>
      </w:r>
      <w:r>
        <w:rPr>
          <w:color w:val="2D2D2D"/>
        </w:rPr>
        <w:t xml:space="preserve">. Se completa con los resultados del cuaderno </w:t>
      </w:r>
      <w:r>
        <w:rPr>
          <w:rFonts w:ascii="Consolas" w:hAnsi="Consolas"/>
          <w:color w:val="2D2D2D"/>
          <w:sz w:val="19"/>
        </w:rPr>
        <w:t>notebook/S12_inferencia_causal.ipynb</w:t>
      </w:r>
      <w:r>
        <w:rPr>
          <w:color w:val="2D2D2D"/>
        </w:rPr>
        <w:t xml:space="preserve"> y del archivo </w:t>
      </w:r>
      <w:r>
        <w:rPr>
          <w:rFonts w:ascii="Consolas" w:hAnsi="Consolas"/>
          <w:color w:val="2D2D2D"/>
          <w:sz w:val="19"/>
        </w:rPr>
        <w:t>resultados/S12_resultados.xlsx</w:t>
      </w:r>
      <w:r>
        <w:rPr>
          <w:color w:val="2D2D2D"/>
        </w:rPr>
        <w:t xml:space="preserve"> (hoja </w:t>
      </w:r>
      <w:r>
        <w:rPr>
          <w:rFonts w:ascii="Consolas" w:hAnsi="Consolas"/>
          <w:color w:val="2D2D2D"/>
          <w:sz w:val="19"/>
        </w:rPr>
        <w:t>causal_did</w:t>
      </w:r>
      <w:r>
        <w:rPr>
          <w:color w:val="2D2D2D"/>
        </w:rPr>
        <w:t xml:space="preserve">). La construcción del DAG y la regla de la puerta trasera se detallan en la guía hermana </w:t>
      </w:r>
      <w:r>
        <w:rPr>
          <w:rFonts w:ascii="Consolas" w:hAnsi="Consolas"/>
          <w:color w:val="2D2D2D"/>
          <w:sz w:val="19"/>
        </w:rPr>
        <w:t>plantillas/guia_dags.docx</w:t>
      </w:r>
      <w:r>
        <w:rPr>
          <w:color w:val="2D2D2D"/>
        </w:rPr>
        <w:t>. Español impersonal. Fechas DD/MM/YYYY, UTF-8. Términos técnicos en inglés (backdoor, confounder, collider, mediator, propensity score, overlap, ATT, ATE, LATE, refuter).</w:t>
      </w:r>
    </w:p>
    <w:p>
      <w:pPr>
        <w:keepNext/>
        <w:spacing w:before="240" w:after="60"/>
        <w:pBdr>
          <w:bottom w:val="single" w:sz="6" w:space="2" w:color="E4002B"/>
        </w:pBdr>
      </w:pPr>
      <w:r>
        <w:rPr>
          <w:b/>
          <w:color w:val="E4002B"/>
          <w:sz w:val="30"/>
        </w:rPr>
        <w:t>Concepto</w:t>
      </w:r>
    </w:p>
    <w:p>
      <w:pPr>
        <w:jc w:val="both"/>
      </w:pPr>
      <w:r>
        <w:t xml:space="preserve">Un efecto causal no se mide al comparar a quienes recibieron un tratamiento con quienes no lo recibieron: se mide contra el </w:t>
      </w:r>
      <w:r>
        <w:rPr>
          <w:b/>
        </w:rPr>
        <w:t>contrafactual</w:t>
      </w:r>
      <w:r>
        <w:t xml:space="preserve"> —lo que le habría pasado a las </w:t>
      </w:r>
      <w:r>
        <w:rPr>
          <w:b/>
        </w:rPr>
        <w:t>mismas</w:t>
      </w:r>
      <w:r>
        <w:t xml:space="preserve"> unidades si su tratamiento hubiera sido el opuesto—. Como el contrafactual nunca se observa (el </w:t>
      </w:r>
      <w:r>
        <w:rPr>
          <w:b/>
        </w:rPr>
        <w:t>problema fundamental</w:t>
      </w:r>
      <w:r>
        <w:t xml:space="preserve"> de la inferencia causal), todo análisis causal es una cadena de decisiones explícitas para </w:t>
      </w:r>
      <w:r>
        <w:rPr>
          <w:b/>
        </w:rPr>
        <w:t>construir un contrafactual creíble</w:t>
      </w:r>
      <w:r>
        <w:t xml:space="preserve">: se dibuja el DAG (qué causa a qué), se deriva del DAG </w:t>
      </w:r>
      <w:r>
        <w:rPr>
          <w:b/>
        </w:rPr>
        <w:t>qué variables controlar y cuáles no</w:t>
      </w:r>
      <w:r>
        <w:t xml:space="preserve">, se elige un método cuyos supuestos de identificación sean defendibles con los datos disponibles, se estima el efecto </w:t>
      </w:r>
      <w:r>
        <w:rPr>
          <w:b/>
        </w:rPr>
        <w:t>con su incertidumbre</w:t>
      </w:r>
      <w:r>
        <w:t xml:space="preserve">, y se </w:t>
      </w:r>
      <w:r>
        <w:rPr>
          <w:b/>
        </w:rPr>
        <w:t>refuta</w:t>
      </w:r>
      <w:r>
        <w:t xml:space="preserve"> la estimación (se intenta invalidarla) antes de llevarla a una decisión. «Reproducible» significa que cualquiera obtiene los mismos números si fija el DGP/semilla del caso de negocio, la especificación del propensity y las versiones. Esta plantilla obliga a documentar cada eslabón: un efecto observacional sin DAG, sin supuestos declarados y sin refutaciones </w:t>
      </w:r>
      <w:r>
        <w:rPr>
          <w:b/>
        </w:rPr>
        <w:t>no</w:t>
      </w:r>
      <w:r>
        <w:t xml:space="preserve"> se comunica como causal.</w:t>
      </w:r>
    </w:p>
    <w:p>
      <w:pPr>
        <w:spacing w:before="40" w:after="40"/>
        <w:pBdr>
          <w:bottom w:val="single" w:sz="6" w:space="1" w:color="D9D9D9"/>
        </w:pBdr>
      </w:pPr>
    </w:p>
    <w:p>
      <w:pPr>
        <w:keepNext/>
        <w:spacing w:before="240" w:after="60"/>
        <w:pBdr>
          <w:bottom w:val="single" w:sz="6" w:space="2" w:color="E4002B"/>
        </w:pBdr>
      </w:pPr>
      <w:r>
        <w:rPr>
          <w:b/>
          <w:color w:val="E4002B"/>
          <w:sz w:val="30"/>
        </w:rPr>
        <w:t>Metadatos del análisis</w:t>
      </w:r>
    </w:p>
    <w:tbl>
      <w:tblPr>
        <w:tblStyle w:val="TableGrid"/>
        <w:tblW w:type="auto" w:w="0"/>
        <w:tblLayout w:type="autofit"/>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Pr>
      <w:tblGrid>
        <w:gridCol w:w="4873"/>
        <w:gridCol w:w="4873"/>
      </w:tblGrid>
      <w:tr>
        <w:tc>
          <w:tcPr>
            <w:tcW w:type="dxa" w:w="4873"/>
            <w:tcMar>
              <w:top w:w="60" w:type="dxa"/>
              <w:bottom w:w="60" w:type="dxa"/>
              <w:start w:w="110" w:type="dxa"/>
              <w:end w:w="110" w:type="dxa"/>
            </w:tcMar>
            <w:vAlign w:val="center"/>
            <w:shd w:val="clear" w:color="auto" w:fill="E4002B"/>
          </w:tcPr>
          <w:p>
            <w:pPr>
              <w:spacing w:after="0"/>
            </w:pPr>
            <w:r/>
            <w:r>
              <w:rPr>
                <w:b/>
                <w:color w:val="FFFFFF"/>
                <w:sz w:val="19"/>
              </w:rPr>
              <w:t>Campo</w:t>
            </w:r>
          </w:p>
        </w:tc>
        <w:tc>
          <w:tcPr>
            <w:tcW w:type="dxa" w:w="4873"/>
            <w:tcMar>
              <w:top w:w="60" w:type="dxa"/>
              <w:bottom w:w="60" w:type="dxa"/>
              <w:start w:w="110" w:type="dxa"/>
              <w:end w:w="110" w:type="dxa"/>
            </w:tcMar>
            <w:vAlign w:val="center"/>
            <w:shd w:val="clear" w:color="auto" w:fill="E4002B"/>
          </w:tcPr>
          <w:p>
            <w:pPr>
              <w:spacing w:after="0"/>
            </w:pPr>
            <w:r/>
            <w:r>
              <w:rPr>
                <w:b/>
                <w:color w:val="FFFFFF"/>
                <w:sz w:val="19"/>
              </w:rPr>
              <w:t>Valor a completar</w:t>
            </w:r>
          </w:p>
        </w:tc>
      </w:tr>
      <w:tr>
        <w:tc>
          <w:tcPr>
            <w:tcW w:type="dxa" w:w="4873"/>
            <w:tcMar>
              <w:top w:w="60" w:type="dxa"/>
              <w:bottom w:w="60" w:type="dxa"/>
              <w:start w:w="110" w:type="dxa"/>
              <w:end w:w="110" w:type="dxa"/>
            </w:tcMar>
            <w:vAlign w:val="center"/>
          </w:tcPr>
          <w:p>
            <w:pPr>
              <w:spacing w:after="0"/>
            </w:pPr>
            <w:r>
              <w:rPr>
                <w:sz w:val="19"/>
              </w:rPr>
            </w:r>
            <w:r>
              <w:rPr>
                <w:sz w:val="19"/>
              </w:rPr>
              <w:t>Analista</w:t>
            </w:r>
          </w:p>
        </w:tc>
        <w:tc>
          <w:tcPr>
            <w:tcW w:type="dxa" w:w="4873"/>
            <w:tcMar>
              <w:top w:w="60" w:type="dxa"/>
              <w:bottom w:w="60" w:type="dxa"/>
              <w:start w:w="110" w:type="dxa"/>
              <w:end w:w="110" w:type="dxa"/>
            </w:tcMar>
            <w:vAlign w:val="center"/>
          </w:tcPr>
          <w:p>
            <w:pPr>
              <w:spacing w:after="0"/>
            </w:pPr>
            <w:r>
              <w:rPr>
                <w:sz w:val="19"/>
              </w:rPr>
            </w:r>
          </w:p>
        </w:tc>
      </w:tr>
      <w:tr>
        <w:tc>
          <w:tcPr>
            <w:tcW w:type="dxa" w:w="4873"/>
            <w:tcMar>
              <w:top w:w="60" w:type="dxa"/>
              <w:bottom w:w="60" w:type="dxa"/>
              <w:start w:w="110" w:type="dxa"/>
              <w:end w:w="110" w:type="dxa"/>
            </w:tcMar>
            <w:vAlign w:val="center"/>
            <w:shd w:val="clear" w:color="auto" w:fill="FCEDEE"/>
          </w:tcPr>
          <w:p>
            <w:pPr>
              <w:spacing w:after="0"/>
            </w:pPr>
            <w:r>
              <w:rPr>
                <w:sz w:val="19"/>
              </w:rPr>
            </w:r>
            <w:r>
              <w:rPr>
                <w:sz w:val="19"/>
              </w:rPr>
              <w:t>Fecha del análisis (DD/MM/YYYY)</w:t>
            </w:r>
          </w:p>
        </w:tc>
        <w:tc>
          <w:tcPr>
            <w:tcW w:type="dxa" w:w="4873"/>
            <w:tcMar>
              <w:top w:w="60" w:type="dxa"/>
              <w:bottom w:w="60" w:type="dxa"/>
              <w:start w:w="110" w:type="dxa"/>
              <w:end w:w="110" w:type="dxa"/>
            </w:tcMar>
            <w:vAlign w:val="center"/>
            <w:shd w:val="clear" w:color="auto" w:fill="FCEDEE"/>
          </w:tcPr>
          <w:p>
            <w:pPr>
              <w:spacing w:after="0"/>
            </w:pPr>
            <w:r>
              <w:rPr>
                <w:sz w:val="19"/>
              </w:rPr>
            </w:r>
          </w:p>
        </w:tc>
      </w:tr>
      <w:tr>
        <w:tc>
          <w:tcPr>
            <w:tcW w:type="dxa" w:w="4873"/>
            <w:tcMar>
              <w:top w:w="60" w:type="dxa"/>
              <w:bottom w:w="60" w:type="dxa"/>
              <w:start w:w="110" w:type="dxa"/>
              <w:end w:w="110" w:type="dxa"/>
            </w:tcMar>
            <w:vAlign w:val="center"/>
          </w:tcPr>
          <w:p>
            <w:pPr>
              <w:spacing w:after="0"/>
            </w:pPr>
            <w:r>
              <w:rPr>
                <w:sz w:val="19"/>
              </w:rPr>
            </w:r>
            <w:r>
              <w:rPr>
                <w:sz w:val="19"/>
              </w:rPr>
              <w:t>Caso / fuente de datos</w:t>
            </w:r>
          </w:p>
        </w:tc>
        <w:tc>
          <w:tcPr>
            <w:tcW w:type="dxa" w:w="4873"/>
            <w:tcMar>
              <w:top w:w="60" w:type="dxa"/>
              <w:bottom w:w="60" w:type="dxa"/>
              <w:start w:w="110" w:type="dxa"/>
              <w:end w:w="110" w:type="dxa"/>
            </w:tcMar>
            <w:vAlign w:val="center"/>
          </w:tcPr>
          <w:p>
            <w:pPr>
              <w:spacing w:after="0"/>
            </w:pPr>
            <w:r>
              <w:rPr>
                <w:sz w:val="19"/>
              </w:rPr>
            </w:r>
          </w:p>
        </w:tc>
      </w:tr>
      <w:tr>
        <w:tc>
          <w:tcPr>
            <w:tcW w:type="dxa" w:w="4873"/>
            <w:tcMar>
              <w:top w:w="60" w:type="dxa"/>
              <w:bottom w:w="60" w:type="dxa"/>
              <w:start w:w="110" w:type="dxa"/>
              <w:end w:w="110" w:type="dxa"/>
            </w:tcMar>
            <w:vAlign w:val="center"/>
            <w:shd w:val="clear" w:color="auto" w:fill="FCEDEE"/>
          </w:tcPr>
          <w:p>
            <w:pPr>
              <w:spacing w:after="0"/>
            </w:pPr>
            <w:r>
              <w:rPr>
                <w:sz w:val="19"/>
              </w:rPr>
            </w:r>
            <w:r>
              <w:rPr>
                <w:sz w:val="19"/>
              </w:rPr>
              <w:t>Origen del contrafactual</w:t>
            </w:r>
          </w:p>
        </w:tc>
        <w:tc>
          <w:tcPr>
            <w:tcW w:type="dxa" w:w="4873"/>
            <w:tcMar>
              <w:top w:w="60" w:type="dxa"/>
              <w:bottom w:w="60" w:type="dxa"/>
              <w:start w:w="110" w:type="dxa"/>
              <w:end w:w="110" w:type="dxa"/>
            </w:tcMar>
            <w:vAlign w:val="center"/>
            <w:shd w:val="clear" w:color="auto" w:fill="FCEDEE"/>
          </w:tcPr>
          <w:p>
            <w:pPr>
              <w:spacing w:after="0"/>
            </w:pPr>
            <w:r>
              <w:rPr>
                <w:sz w:val="19"/>
              </w:rPr>
            </w:r>
            <w:r>
              <w:rPr>
                <w:sz w:val="19"/>
              </w:rPr>
              <w:t>___ (experimento A/B, cuasi-experimento DiD, observacional PSM/regresión, IV)</w:t>
            </w:r>
          </w:p>
        </w:tc>
      </w:tr>
      <w:tr>
        <w:tc>
          <w:tcPr>
            <w:tcW w:type="dxa" w:w="4873"/>
            <w:tcMar>
              <w:top w:w="60" w:type="dxa"/>
              <w:bottom w:w="60" w:type="dxa"/>
              <w:start w:w="110" w:type="dxa"/>
              <w:end w:w="110" w:type="dxa"/>
            </w:tcMar>
            <w:vAlign w:val="center"/>
          </w:tcPr>
          <w:p>
            <w:pPr>
              <w:spacing w:after="0"/>
            </w:pPr>
            <w:r>
              <w:rPr>
                <w:sz w:val="19"/>
              </w:rPr>
            </w:r>
            <w:r>
              <w:rPr>
                <w:sz w:val="19"/>
              </w:rPr>
              <w:t>Nivel de evidencia declarado</w:t>
            </w:r>
          </w:p>
        </w:tc>
        <w:tc>
          <w:tcPr>
            <w:tcW w:type="dxa" w:w="4873"/>
            <w:tcMar>
              <w:top w:w="60" w:type="dxa"/>
              <w:bottom w:w="60" w:type="dxa"/>
              <w:start w:w="110" w:type="dxa"/>
              <w:end w:w="110" w:type="dxa"/>
            </w:tcMar>
            <w:vAlign w:val="center"/>
          </w:tcPr>
          <w:p>
            <w:pPr>
              <w:spacing w:after="0"/>
            </w:pPr>
            <w:r>
              <w:rPr>
                <w:sz w:val="19"/>
              </w:rPr>
            </w:r>
            <w:r>
              <w:rPr>
                <w:sz w:val="19"/>
              </w:rPr>
              <w:t>___ (patrón oro experimental, observacional con supuestos)</w:t>
            </w:r>
          </w:p>
        </w:tc>
      </w:tr>
      <w:tr>
        <w:tc>
          <w:tcPr>
            <w:tcW w:type="dxa" w:w="4873"/>
            <w:tcMar>
              <w:top w:w="60" w:type="dxa"/>
              <w:bottom w:w="60" w:type="dxa"/>
              <w:start w:w="110" w:type="dxa"/>
              <w:end w:w="110" w:type="dxa"/>
            </w:tcMar>
            <w:vAlign w:val="center"/>
            <w:shd w:val="clear" w:color="auto" w:fill="FCEDEE"/>
          </w:tcPr>
          <w:p>
            <w:pPr>
              <w:spacing w:after="0"/>
            </w:pPr>
            <w:r>
              <w:rPr>
                <w:sz w:val="19"/>
              </w:rPr>
            </w:r>
            <w:r>
              <w:rPr>
                <w:sz w:val="19"/>
              </w:rPr>
              <w:t>Tamaño muestral (tratados / controles)</w:t>
            </w:r>
          </w:p>
        </w:tc>
        <w:tc>
          <w:tcPr>
            <w:tcW w:type="dxa" w:w="4873"/>
            <w:tcMar>
              <w:top w:w="60" w:type="dxa"/>
              <w:bottom w:w="60" w:type="dxa"/>
              <w:start w:w="110" w:type="dxa"/>
              <w:end w:w="110" w:type="dxa"/>
            </w:tcMar>
            <w:vAlign w:val="center"/>
            <w:shd w:val="clear" w:color="auto" w:fill="FCEDEE"/>
          </w:tcPr>
          <w:p>
            <w:pPr>
              <w:spacing w:after="0"/>
            </w:pPr>
            <w:r>
              <w:rPr>
                <w:sz w:val="19"/>
              </w:rPr>
            </w:r>
            <w:r>
              <w:rPr>
                <w:sz w:val="19"/>
              </w:rPr>
              <w:t>___ / ___</w:t>
            </w:r>
          </w:p>
        </w:tc>
      </w:tr>
      <w:tr>
        <w:tc>
          <w:tcPr>
            <w:tcW w:type="dxa" w:w="4873"/>
            <w:tcMar>
              <w:top w:w="60" w:type="dxa"/>
              <w:bottom w:w="60" w:type="dxa"/>
              <w:start w:w="110" w:type="dxa"/>
              <w:end w:w="110" w:type="dxa"/>
            </w:tcMar>
            <w:vAlign w:val="center"/>
          </w:tcPr>
          <w:p>
            <w:pPr>
              <w:spacing w:after="0"/>
            </w:pPr>
            <w:r>
              <w:rPr>
                <w:sz w:val="19"/>
              </w:rPr>
            </w:r>
            <w:r>
              <w:rPr>
                <w:sz w:val="19"/>
              </w:rPr>
              <w:t>Herramienta</w:t>
            </w:r>
          </w:p>
        </w:tc>
        <w:tc>
          <w:tcPr>
            <w:tcW w:type="dxa" w:w="4873"/>
            <w:tcMar>
              <w:top w:w="60" w:type="dxa"/>
              <w:bottom w:w="60" w:type="dxa"/>
              <w:start w:w="110" w:type="dxa"/>
              <w:end w:w="110" w:type="dxa"/>
            </w:tcMar>
            <w:vAlign w:val="center"/>
          </w:tcPr>
          <w:p>
            <w:pPr>
              <w:spacing w:after="0"/>
            </w:pPr>
            <w:r>
              <w:rPr>
                <w:sz w:val="19"/>
              </w:rPr>
            </w:r>
            <w:r>
              <w:rPr>
                <w:sz w:val="19"/>
              </w:rPr>
              <w:t>Python del venv (</w:t>
            </w:r>
            <w:r>
              <w:rPr>
                <w:rFonts w:ascii="Consolas" w:hAnsi="Consolas"/>
                <w:color w:val="9B1B30"/>
                <w:sz w:val="19"/>
              </w:rPr>
              <w:t>dowhy</w:t>
            </w:r>
            <w:r>
              <w:rPr>
                <w:sz w:val="19"/>
              </w:rPr>
              <w:t xml:space="preserve">, </w:t>
            </w:r>
            <w:r>
              <w:rPr>
                <w:rFonts w:ascii="Consolas" w:hAnsi="Consolas"/>
                <w:color w:val="9B1B30"/>
                <w:sz w:val="19"/>
              </w:rPr>
              <w:t>econml</w:t>
            </w:r>
            <w:r>
              <w:rPr>
                <w:sz w:val="19"/>
              </w:rPr>
              <w:t xml:space="preserve">, </w:t>
            </w:r>
            <w:r>
              <w:rPr>
                <w:rFonts w:ascii="Consolas" w:hAnsi="Consolas"/>
                <w:color w:val="9B1B30"/>
                <w:sz w:val="19"/>
              </w:rPr>
              <w:t>statsmodels</w:t>
            </w:r>
            <w:r>
              <w:rPr>
                <w:sz w:val="19"/>
              </w:rPr>
              <w:t xml:space="preserve">, </w:t>
            </w:r>
            <w:r>
              <w:rPr>
                <w:rFonts w:ascii="Consolas" w:hAnsi="Consolas"/>
                <w:color w:val="9B1B30"/>
                <w:sz w:val="19"/>
              </w:rPr>
              <w:t>linearmodels</w:t>
            </w:r>
            <w:r>
              <w:rPr>
                <w:sz w:val="19"/>
              </w:rPr>
              <w:t xml:space="preserve">, </w:t>
            </w:r>
            <w:r>
              <w:rPr>
                <w:rFonts w:ascii="Consolas" w:hAnsi="Consolas"/>
                <w:color w:val="9B1B30"/>
                <w:sz w:val="19"/>
              </w:rPr>
              <w:t>causaldata</w:t>
            </w:r>
            <w:r>
              <w:rPr>
                <w:sz w:val="19"/>
              </w:rPr>
              <w:t xml:space="preserve">, </w:t>
            </w:r>
            <w:r>
              <w:rPr>
                <w:rFonts w:ascii="Consolas" w:hAnsi="Consolas"/>
                <w:color w:val="9B1B30"/>
                <w:sz w:val="19"/>
              </w:rPr>
              <w:t>sklearn</w:t>
            </w:r>
            <w:r>
              <w:rPr>
                <w:sz w:val="19"/>
              </w:rPr>
              <w:t xml:space="preserve">) — </w:t>
            </w:r>
            <w:r>
              <w:rPr>
                <w:rFonts w:ascii="Consolas" w:hAnsi="Consolas"/>
                <w:color w:val="9B1B30"/>
                <w:sz w:val="19"/>
              </w:rPr>
              <w:t>notebook/S12_inferencia_causal.ipynb</w:t>
            </w:r>
          </w:p>
        </w:tc>
      </w:tr>
    </w:tbl>
    <w:p>
      <w:pPr>
        <w:spacing w:after="40"/>
      </w:pPr>
    </w:p>
    <w:p>
      <w:pPr>
        <w:keepNext/>
        <w:spacing w:before="240" w:after="60"/>
        <w:pBdr>
          <w:bottom w:val="single" w:sz="6" w:space="2" w:color="E4002B"/>
        </w:pBdr>
      </w:pPr>
      <w:r>
        <w:rPr>
          <w:b/>
          <w:color w:val="E4002B"/>
          <w:sz w:val="30"/>
        </w:rPr>
        <w:t>(a) Pregunta causal y contrafactual</w:t>
      </w:r>
    </w:p>
    <w:p>
      <w:pPr>
        <w:jc w:val="both"/>
      </w:pPr>
      <w:r>
        <w:t xml:space="preserve">Antes de tocar los datos se fija </w:t>
      </w:r>
      <w:r>
        <w:rPr>
          <w:b/>
        </w:rPr>
        <w:t>qué</w:t>
      </w:r>
      <w:r>
        <w:t xml:space="preserve"> se quiere estimar y sobre </w:t>
      </w:r>
      <w:r>
        <w:rPr>
          <w:b/>
        </w:rPr>
        <w:t>quién</w:t>
      </w:r>
      <w:r>
        <w:t xml:space="preserve">. Una pregunta causal bien planteada nombra el tratamiento </w:t>
      </w:r>
      <w:r>
        <w:rPr>
          <w:rFonts w:ascii="Consolas" w:hAnsi="Consolas"/>
          <w:color w:val="9B1B30"/>
          <w:sz w:val="19"/>
        </w:rPr>
        <w:t>T</w:t>
      </w:r>
      <w:r>
        <w:t xml:space="preserve">, el resultado </w:t>
      </w:r>
      <w:r>
        <w:rPr>
          <w:rFonts w:ascii="Consolas" w:hAnsi="Consolas"/>
          <w:color w:val="9B1B30"/>
          <w:sz w:val="19"/>
        </w:rPr>
        <w:t>Y</w:t>
      </w:r>
      <w:r>
        <w:t xml:space="preserve">, la población y el </w:t>
      </w:r>
      <w:r>
        <w:rPr>
          <w:b/>
        </w:rPr>
        <w:t>estimando</w:t>
      </w:r>
      <w:r>
        <w:t xml:space="preserve"> (ATE / ATT / LATE).</w:t>
      </w:r>
    </w:p>
    <w:tbl>
      <w:tblPr>
        <w:tblStyle w:val="TableGrid"/>
        <w:tblW w:type="auto" w:w="0"/>
        <w:tblLayout w:type="autofit"/>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Pr>
      <w:tblGrid>
        <w:gridCol w:w="3249"/>
        <w:gridCol w:w="3249"/>
        <w:gridCol w:w="3249"/>
      </w:tblGrid>
      <w:tr>
        <w:tc>
          <w:tcPr>
            <w:tcW w:type="dxa" w:w="3249"/>
            <w:tcMar>
              <w:top w:w="60" w:type="dxa"/>
              <w:bottom w:w="60" w:type="dxa"/>
              <w:start w:w="110" w:type="dxa"/>
              <w:end w:w="110" w:type="dxa"/>
            </w:tcMar>
            <w:vAlign w:val="center"/>
            <w:shd w:val="clear" w:color="auto" w:fill="E4002B"/>
          </w:tcPr>
          <w:p>
            <w:pPr>
              <w:spacing w:after="0"/>
            </w:pPr>
            <w:r/>
            <w:r>
              <w:rPr>
                <w:b/>
                <w:color w:val="FFFFFF"/>
                <w:sz w:val="19"/>
              </w:rPr>
              <w:t>Elemento</w:t>
            </w:r>
          </w:p>
        </w:tc>
        <w:tc>
          <w:tcPr>
            <w:tcW w:type="dxa" w:w="3249"/>
            <w:tcMar>
              <w:top w:w="60" w:type="dxa"/>
              <w:bottom w:w="60" w:type="dxa"/>
              <w:start w:w="110" w:type="dxa"/>
              <w:end w:w="110" w:type="dxa"/>
            </w:tcMar>
            <w:vAlign w:val="center"/>
            <w:shd w:val="clear" w:color="auto" w:fill="E4002B"/>
          </w:tcPr>
          <w:p>
            <w:pPr>
              <w:spacing w:after="0"/>
            </w:pPr>
            <w:r/>
            <w:r>
              <w:rPr>
                <w:b/>
                <w:color w:val="FFFFFF"/>
                <w:sz w:val="19"/>
              </w:rPr>
              <w:t>Definición</w:t>
            </w:r>
          </w:p>
        </w:tc>
        <w:tc>
          <w:tcPr>
            <w:tcW w:type="dxa" w:w="3249"/>
            <w:tcMar>
              <w:top w:w="60" w:type="dxa"/>
              <w:bottom w:w="60" w:type="dxa"/>
              <w:start w:w="110" w:type="dxa"/>
              <w:end w:w="110" w:type="dxa"/>
            </w:tcMar>
            <w:vAlign w:val="center"/>
            <w:shd w:val="clear" w:color="auto" w:fill="E4002B"/>
          </w:tcPr>
          <w:p>
            <w:pPr>
              <w:spacing w:after="0"/>
            </w:pPr>
            <w:r/>
            <w:r>
              <w:rPr>
                <w:b/>
                <w:color w:val="FFFFFF"/>
                <w:sz w:val="19"/>
              </w:rPr>
              <w:t>Valor del caso</w:t>
            </w:r>
          </w:p>
        </w:tc>
      </w:tr>
      <w:tr>
        <w:tc>
          <w:tcPr>
            <w:tcW w:type="dxa" w:w="3249"/>
            <w:tcMar>
              <w:top w:w="60" w:type="dxa"/>
              <w:bottom w:w="60" w:type="dxa"/>
              <w:start w:w="110" w:type="dxa"/>
              <w:end w:w="110" w:type="dxa"/>
            </w:tcMar>
            <w:vAlign w:val="center"/>
          </w:tcPr>
          <w:p>
            <w:pPr>
              <w:spacing w:after="0"/>
            </w:pPr>
            <w:r>
              <w:rPr>
                <w:sz w:val="19"/>
              </w:rPr>
            </w:r>
            <w:r>
              <w:rPr>
                <w:sz w:val="19"/>
              </w:rPr>
              <w:t>Pregunta causal</w:t>
            </w:r>
          </w:p>
        </w:tc>
        <w:tc>
          <w:tcPr>
            <w:tcW w:type="dxa" w:w="3249"/>
            <w:tcMar>
              <w:top w:w="60" w:type="dxa"/>
              <w:bottom w:w="60" w:type="dxa"/>
              <w:start w:w="110" w:type="dxa"/>
              <w:end w:w="110" w:type="dxa"/>
            </w:tcMar>
            <w:vAlign w:val="center"/>
          </w:tcPr>
          <w:p>
            <w:pPr>
              <w:spacing w:after="0"/>
            </w:pPr>
            <w:r>
              <w:rPr>
                <w:sz w:val="19"/>
              </w:rPr>
            </w:r>
            <w:r>
              <w:rPr>
                <w:sz w:val="19"/>
              </w:rPr>
              <w:t xml:space="preserve">«¿Cuál es el efecto de </w:t>
            </w:r>
            <w:r>
              <w:rPr>
                <w:rFonts w:ascii="Consolas" w:hAnsi="Consolas"/>
                <w:color w:val="9B1B30"/>
                <w:sz w:val="19"/>
              </w:rPr>
              <w:t>T</w:t>
            </w:r>
            <w:r>
              <w:rPr>
                <w:sz w:val="19"/>
              </w:rPr>
              <w:t xml:space="preserve"> sobre </w:t>
            </w:r>
            <w:r>
              <w:rPr>
                <w:rFonts w:ascii="Consolas" w:hAnsi="Consolas"/>
                <w:color w:val="9B1B30"/>
                <w:sz w:val="19"/>
              </w:rPr>
              <w:t>Y</w:t>
            </w:r>
            <w:r>
              <w:rPr>
                <w:sz w:val="19"/>
              </w:rPr>
              <w:t xml:space="preserve"> en [población]?»</w:t>
            </w:r>
          </w:p>
        </w:tc>
        <w:tc>
          <w:tcPr>
            <w:tcW w:type="dxa" w:w="3249"/>
            <w:tcMar>
              <w:top w:w="60" w:type="dxa"/>
              <w:bottom w:w="60" w:type="dxa"/>
              <w:start w:w="110" w:type="dxa"/>
              <w:end w:w="110" w:type="dxa"/>
            </w:tcMar>
            <w:vAlign w:val="center"/>
          </w:tcPr>
          <w:p>
            <w:pPr>
              <w:spacing w:after="0"/>
            </w:pPr>
            <w:r>
              <w:rPr>
                <w:sz w:val="19"/>
              </w:rPr>
            </w:r>
          </w:p>
        </w:tc>
      </w:tr>
      <w:tr>
        <w:tc>
          <w:tcPr>
            <w:tcW w:type="dxa" w:w="3249"/>
            <w:tcMar>
              <w:top w:w="60" w:type="dxa"/>
              <w:bottom w:w="60" w:type="dxa"/>
              <w:start w:w="110" w:type="dxa"/>
              <w:end w:w="110" w:type="dxa"/>
            </w:tcMar>
            <w:vAlign w:val="center"/>
            <w:shd w:val="clear" w:color="auto" w:fill="FCEDEE"/>
          </w:tcPr>
          <w:p>
            <w:pPr>
              <w:spacing w:after="0"/>
            </w:pPr>
            <w:r>
              <w:rPr>
                <w:sz w:val="19"/>
              </w:rPr>
            </w:r>
            <w:r>
              <w:rPr>
                <w:sz w:val="19"/>
              </w:rPr>
              <w:t xml:space="preserve">Tratamiento </w:t>
            </w:r>
            <w:r>
              <w:rPr>
                <w:rFonts w:ascii="Consolas" w:hAnsi="Consolas"/>
                <w:color w:val="9B1B30"/>
                <w:sz w:val="19"/>
              </w:rPr>
              <w:t>T</w:t>
            </w:r>
          </w:p>
        </w:tc>
        <w:tc>
          <w:tcPr>
            <w:tcW w:type="dxa" w:w="3249"/>
            <w:tcMar>
              <w:top w:w="60" w:type="dxa"/>
              <w:bottom w:w="60" w:type="dxa"/>
              <w:start w:w="110" w:type="dxa"/>
              <w:end w:w="110" w:type="dxa"/>
            </w:tcMar>
            <w:vAlign w:val="center"/>
            <w:shd w:val="clear" w:color="auto" w:fill="FCEDEE"/>
          </w:tcPr>
          <w:p>
            <w:pPr>
              <w:spacing w:after="0"/>
            </w:pPr>
            <w:r>
              <w:rPr>
                <w:sz w:val="19"/>
              </w:rPr>
            </w:r>
            <w:r>
              <w:rPr>
                <w:sz w:val="19"/>
              </w:rPr>
              <w:t>acción/intervención (binaria o continua)</w:t>
            </w:r>
          </w:p>
        </w:tc>
        <w:tc>
          <w:tcPr>
            <w:tcW w:type="dxa" w:w="3249"/>
            <w:tcMar>
              <w:top w:w="60" w:type="dxa"/>
              <w:bottom w:w="60" w:type="dxa"/>
              <w:start w:w="110" w:type="dxa"/>
              <w:end w:w="110" w:type="dxa"/>
            </w:tcMar>
            <w:vAlign w:val="center"/>
            <w:shd w:val="clear" w:color="auto" w:fill="FCEDEE"/>
          </w:tcPr>
          <w:p>
            <w:pPr>
              <w:spacing w:after="0"/>
            </w:pPr>
            <w:r>
              <w:rPr>
                <w:sz w:val="19"/>
              </w:rPr>
            </w:r>
          </w:p>
        </w:tc>
      </w:tr>
      <w:tr>
        <w:tc>
          <w:tcPr>
            <w:tcW w:type="dxa" w:w="3249"/>
            <w:tcMar>
              <w:top w:w="60" w:type="dxa"/>
              <w:bottom w:w="60" w:type="dxa"/>
              <w:start w:w="110" w:type="dxa"/>
              <w:end w:w="110" w:type="dxa"/>
            </w:tcMar>
            <w:vAlign w:val="center"/>
          </w:tcPr>
          <w:p>
            <w:pPr>
              <w:spacing w:after="0"/>
            </w:pPr>
            <w:r>
              <w:rPr>
                <w:sz w:val="19"/>
              </w:rPr>
            </w:r>
            <w:r>
              <w:rPr>
                <w:sz w:val="19"/>
              </w:rPr>
              <w:t xml:space="preserve">Resultado </w:t>
            </w:r>
            <w:r>
              <w:rPr>
                <w:rFonts w:ascii="Consolas" w:hAnsi="Consolas"/>
                <w:color w:val="9B1B30"/>
                <w:sz w:val="19"/>
              </w:rPr>
              <w:t>Y</w:t>
            </w:r>
          </w:p>
        </w:tc>
        <w:tc>
          <w:tcPr>
            <w:tcW w:type="dxa" w:w="3249"/>
            <w:tcMar>
              <w:top w:w="60" w:type="dxa"/>
              <w:bottom w:w="60" w:type="dxa"/>
              <w:start w:w="110" w:type="dxa"/>
              <w:end w:w="110" w:type="dxa"/>
            </w:tcMar>
            <w:vAlign w:val="center"/>
          </w:tcPr>
          <w:p>
            <w:pPr>
              <w:spacing w:after="0"/>
            </w:pPr>
            <w:r>
              <w:rPr>
                <w:sz w:val="19"/>
              </w:rPr>
            </w:r>
            <w:r>
              <w:rPr>
                <w:sz w:val="19"/>
              </w:rPr>
              <w:t>métrica de negocio afectada</w:t>
            </w:r>
          </w:p>
        </w:tc>
        <w:tc>
          <w:tcPr>
            <w:tcW w:type="dxa" w:w="3249"/>
            <w:tcMar>
              <w:top w:w="60" w:type="dxa"/>
              <w:bottom w:w="60" w:type="dxa"/>
              <w:start w:w="110" w:type="dxa"/>
              <w:end w:w="110" w:type="dxa"/>
            </w:tcMar>
            <w:vAlign w:val="center"/>
          </w:tcPr>
          <w:p>
            <w:pPr>
              <w:spacing w:after="0"/>
            </w:pPr>
            <w:r>
              <w:rPr>
                <w:sz w:val="19"/>
              </w:rPr>
            </w:r>
          </w:p>
        </w:tc>
      </w:tr>
      <w:tr>
        <w:tc>
          <w:tcPr>
            <w:tcW w:type="dxa" w:w="3249"/>
            <w:tcMar>
              <w:top w:w="60" w:type="dxa"/>
              <w:bottom w:w="60" w:type="dxa"/>
              <w:start w:w="110" w:type="dxa"/>
              <w:end w:w="110" w:type="dxa"/>
            </w:tcMar>
            <w:vAlign w:val="center"/>
            <w:shd w:val="clear" w:color="auto" w:fill="FCEDEE"/>
          </w:tcPr>
          <w:p>
            <w:pPr>
              <w:spacing w:after="0"/>
            </w:pPr>
            <w:r>
              <w:rPr>
                <w:sz w:val="19"/>
              </w:rPr>
            </w:r>
            <w:r>
              <w:rPr>
                <w:sz w:val="19"/>
              </w:rPr>
              <w:t>Unidad de análisis</w:t>
            </w:r>
          </w:p>
        </w:tc>
        <w:tc>
          <w:tcPr>
            <w:tcW w:type="dxa" w:w="3249"/>
            <w:tcMar>
              <w:top w:w="60" w:type="dxa"/>
              <w:bottom w:w="60" w:type="dxa"/>
              <w:start w:w="110" w:type="dxa"/>
              <w:end w:w="110" w:type="dxa"/>
            </w:tcMar>
            <w:vAlign w:val="center"/>
            <w:shd w:val="clear" w:color="auto" w:fill="FCEDEE"/>
          </w:tcPr>
          <w:p>
            <w:pPr>
              <w:spacing w:after="0"/>
            </w:pPr>
            <w:r>
              <w:rPr>
                <w:sz w:val="19"/>
              </w:rPr>
            </w:r>
            <w:r>
              <w:rPr>
                <w:sz w:val="19"/>
              </w:rPr>
              <w:t>cliente / tienda / región / usuario</w:t>
            </w:r>
          </w:p>
        </w:tc>
        <w:tc>
          <w:tcPr>
            <w:tcW w:type="dxa" w:w="3249"/>
            <w:tcMar>
              <w:top w:w="60" w:type="dxa"/>
              <w:bottom w:w="60" w:type="dxa"/>
              <w:start w:w="110" w:type="dxa"/>
              <w:end w:w="110" w:type="dxa"/>
            </w:tcMar>
            <w:vAlign w:val="center"/>
            <w:shd w:val="clear" w:color="auto" w:fill="FCEDEE"/>
          </w:tcPr>
          <w:p>
            <w:pPr>
              <w:spacing w:after="0"/>
            </w:pPr>
            <w:r>
              <w:rPr>
                <w:sz w:val="19"/>
              </w:rPr>
            </w:r>
          </w:p>
        </w:tc>
      </w:tr>
      <w:tr>
        <w:tc>
          <w:tcPr>
            <w:tcW w:type="dxa" w:w="3249"/>
            <w:tcMar>
              <w:top w:w="60" w:type="dxa"/>
              <w:bottom w:w="60" w:type="dxa"/>
              <w:start w:w="110" w:type="dxa"/>
              <w:end w:w="110" w:type="dxa"/>
            </w:tcMar>
            <w:vAlign w:val="center"/>
          </w:tcPr>
          <w:p>
            <w:pPr>
              <w:spacing w:after="0"/>
            </w:pPr>
            <w:r>
              <w:rPr>
                <w:sz w:val="19"/>
              </w:rPr>
            </w:r>
            <w:r>
              <w:rPr>
                <w:sz w:val="19"/>
              </w:rPr>
              <w:t>Contrafactual</w:t>
            </w:r>
          </w:p>
        </w:tc>
        <w:tc>
          <w:tcPr>
            <w:tcW w:type="dxa" w:w="3249"/>
            <w:tcMar>
              <w:top w:w="60" w:type="dxa"/>
              <w:bottom w:w="60" w:type="dxa"/>
              <w:start w:w="110" w:type="dxa"/>
              <w:end w:w="110" w:type="dxa"/>
            </w:tcMar>
            <w:vAlign w:val="center"/>
          </w:tcPr>
          <w:p>
            <w:pPr>
              <w:spacing w:after="0"/>
            </w:pPr>
            <w:r>
              <w:rPr>
                <w:sz w:val="19"/>
              </w:rPr>
            </w:r>
            <w:r>
              <w:rPr>
                <w:sz w:val="19"/>
              </w:rPr>
              <w:t xml:space="preserve">resultado de las mismas unidades </w:t>
            </w:r>
            <w:r>
              <w:rPr>
                <w:b/>
                <w:sz w:val="19"/>
              </w:rPr>
              <w:t>bajo el tratamiento no recibido</w:t>
            </w:r>
            <w:r>
              <w:rPr>
                <w:sz w:val="19"/>
              </w:rPr>
              <w:t xml:space="preserve"> </w:t>
            </w:r>
            <w:r>
              <w:rPr>
                <w:rFonts w:ascii="Consolas" w:hAnsi="Consolas"/>
                <w:color w:val="9B1B30"/>
                <w:sz w:val="19"/>
              </w:rPr>
              <w:t>Y(0)</w:t>
            </w:r>
            <w:r>
              <w:rPr>
                <w:sz w:val="19"/>
              </w:rPr>
              <w:t xml:space="preserve"> vs. </w:t>
            </w:r>
            <w:r>
              <w:rPr>
                <w:rFonts w:ascii="Consolas" w:hAnsi="Consolas"/>
                <w:color w:val="9B1B30"/>
                <w:sz w:val="19"/>
              </w:rPr>
              <w:t>Y(1)</w:t>
            </w:r>
          </w:p>
        </w:tc>
        <w:tc>
          <w:tcPr>
            <w:tcW w:type="dxa" w:w="3249"/>
            <w:tcMar>
              <w:top w:w="60" w:type="dxa"/>
              <w:bottom w:w="60" w:type="dxa"/>
              <w:start w:w="110" w:type="dxa"/>
              <w:end w:w="110" w:type="dxa"/>
            </w:tcMar>
            <w:vAlign w:val="center"/>
          </w:tcPr>
          <w:p>
            <w:pPr>
              <w:spacing w:after="0"/>
            </w:pPr>
            <w:r>
              <w:rPr>
                <w:sz w:val="19"/>
              </w:rPr>
            </w:r>
          </w:p>
        </w:tc>
      </w:tr>
      <w:tr>
        <w:tc>
          <w:tcPr>
            <w:tcW w:type="dxa" w:w="3249"/>
            <w:tcMar>
              <w:top w:w="60" w:type="dxa"/>
              <w:bottom w:w="60" w:type="dxa"/>
              <w:start w:w="110" w:type="dxa"/>
              <w:end w:w="110" w:type="dxa"/>
            </w:tcMar>
            <w:vAlign w:val="center"/>
            <w:shd w:val="clear" w:color="auto" w:fill="FCEDEE"/>
          </w:tcPr>
          <w:p>
            <w:pPr>
              <w:spacing w:after="0"/>
            </w:pPr>
            <w:r>
              <w:rPr>
                <w:sz w:val="19"/>
              </w:rPr>
            </w:r>
            <w:r>
              <w:rPr>
                <w:sz w:val="19"/>
              </w:rPr>
              <w:t>Estimando</w:t>
            </w:r>
          </w:p>
        </w:tc>
        <w:tc>
          <w:tcPr>
            <w:tcW w:type="dxa" w:w="3249"/>
            <w:tcMar>
              <w:top w:w="60" w:type="dxa"/>
              <w:bottom w:w="60" w:type="dxa"/>
              <w:start w:w="110" w:type="dxa"/>
              <w:end w:w="110" w:type="dxa"/>
            </w:tcMar>
            <w:vAlign w:val="center"/>
            <w:shd w:val="clear" w:color="auto" w:fill="FCEDEE"/>
          </w:tcPr>
          <w:p>
            <w:pPr>
              <w:spacing w:after="0"/>
            </w:pPr>
            <w:r>
              <w:rPr>
                <w:sz w:val="19"/>
              </w:rPr>
            </w:r>
            <w:r>
              <w:rPr>
                <w:b/>
                <w:sz w:val="19"/>
              </w:rPr>
              <w:t>ATE</w:t>
            </w:r>
            <w:r>
              <w:rPr>
                <w:sz w:val="19"/>
              </w:rPr>
              <w:t xml:space="preserve"> (1) — </w:t>
            </w:r>
            <w:r>
              <w:rPr>
                <w:b/>
                <w:sz w:val="19"/>
              </w:rPr>
              <w:t>ATT</w:t>
            </w:r>
            <w:r>
              <w:rPr>
                <w:sz w:val="19"/>
              </w:rPr>
              <w:t xml:space="preserve"> (2) — LATE (compliers)</w:t>
            </w:r>
          </w:p>
        </w:tc>
        <w:tc>
          <w:tcPr>
            <w:tcW w:type="dxa" w:w="3249"/>
            <w:tcMar>
              <w:top w:w="60" w:type="dxa"/>
              <w:bottom w:w="60" w:type="dxa"/>
              <w:start w:w="110" w:type="dxa"/>
              <w:end w:w="110" w:type="dxa"/>
            </w:tcMar>
            <w:vAlign w:val="center"/>
            <w:shd w:val="clear" w:color="auto" w:fill="FCEDEE"/>
          </w:tcPr>
          <w:p>
            <w:pPr>
              <w:spacing w:after="0"/>
            </w:pPr>
            <w:r>
              <w:rPr>
                <w:sz w:val="19"/>
              </w:rPr>
            </w:r>
          </w:p>
        </w:tc>
      </w:tr>
      <w:tr>
        <w:tc>
          <w:tcPr>
            <w:tcW w:type="dxa" w:w="3249"/>
            <w:tcMar>
              <w:top w:w="60" w:type="dxa"/>
              <w:bottom w:w="60" w:type="dxa"/>
              <w:start w:w="110" w:type="dxa"/>
              <w:end w:w="110" w:type="dxa"/>
            </w:tcMar>
            <w:vAlign w:val="center"/>
          </w:tcPr>
          <w:p>
            <w:pPr>
              <w:spacing w:after="0"/>
            </w:pPr>
            <w:r>
              <w:rPr>
                <w:sz w:val="19"/>
              </w:rPr>
            </w:r>
            <w:r>
              <w:rPr>
                <w:sz w:val="19"/>
              </w:rPr>
              <w:t>SUTVA</w:t>
            </w:r>
          </w:p>
        </w:tc>
        <w:tc>
          <w:tcPr>
            <w:tcW w:type="dxa" w:w="3249"/>
            <w:tcMar>
              <w:top w:w="60" w:type="dxa"/>
              <w:bottom w:w="60" w:type="dxa"/>
              <w:start w:w="110" w:type="dxa"/>
              <w:end w:w="110" w:type="dxa"/>
            </w:tcMar>
            <w:vAlign w:val="center"/>
          </w:tcPr>
          <w:p>
            <w:pPr>
              <w:spacing w:after="0"/>
            </w:pPr>
            <w:r>
              <w:rPr>
                <w:sz w:val="19"/>
              </w:rPr>
            </w:r>
            <w:r>
              <w:rPr>
                <w:sz w:val="19"/>
              </w:rPr>
              <w:t>¿sin interferencia entre unidades y una sola versión del tratamiento?</w:t>
            </w:r>
          </w:p>
        </w:tc>
        <w:tc>
          <w:tcPr>
            <w:tcW w:type="dxa" w:w="3249"/>
            <w:tcMar>
              <w:top w:w="60" w:type="dxa"/>
              <w:bottom w:w="60" w:type="dxa"/>
              <w:start w:w="110" w:type="dxa"/>
              <w:end w:w="110" w:type="dxa"/>
            </w:tcMar>
            <w:vAlign w:val="center"/>
          </w:tcPr>
          <w:p>
            <w:pPr>
              <w:spacing w:after="0"/>
            </w:pPr>
            <w:r>
              <w:rPr>
                <w:sz w:val="19"/>
              </w:rPr>
            </w:r>
            <w:r>
              <w:rPr>
                <w:sz w:val="19"/>
              </w:rPr>
              <w:t>___ (sí / riesgo: ___)</w:t>
            </w:r>
          </w:p>
        </w:tc>
      </w:tr>
    </w:tbl>
    <w:p>
      <w:pPr>
        <w:spacing w:after="40"/>
      </w:pPr>
    </w:p>
    <w:p>
      <w:pPr>
        <w:jc w:val="both"/>
      </w:pPr>
      <w:r>
        <w:t xml:space="preserve">El estimando se fija de forma explícita. El </w:t>
      </w:r>
      <w:r>
        <w:rPr>
          <w:b/>
        </w:rPr>
        <w:t>ATE</w:t>
      </w:r>
      <w:r>
        <w:t xml:space="preserve"> promedia el efecto sobre toda la población y el </w:t>
      </w:r>
      <w:r>
        <w:rPr>
          <w:b/>
        </w:rPr>
        <w:t>ATT</w:t>
      </w:r>
      <w:r>
        <w:t xml:space="preserve"> solo sobre quienes recibieron el tratamiento:</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907"/>
        <w:gridCol w:w="7597"/>
        <w:gridCol w:w="907"/>
      </w:tblGrid>
      <w:tr>
        <w:tc>
          <w:tcPr>
            <w:tcW w:type="dxa" w:w="907"/>
            <w:tcMar>
              <w:top w:w="30" w:type="dxa"/>
              <w:bottom w:w="30" w:type="dxa"/>
              <w:start w:w="40" w:type="dxa"/>
              <w:end w:w="40" w:type="dxa"/>
            </w:tcMar>
            <w:vAlign w:val="center"/>
          </w:tcPr>
          <w:p/>
        </w:tc>
        <w:tc>
          <w:tcPr>
            <w:tcW w:type="dxa" w:w="7597"/>
            <w:tcMar>
              <w:top w:w="30" w:type="dxa"/>
              <w:bottom w:w="30" w:type="dxa"/>
              <w:start w:w="40" w:type="dxa"/>
              <w:end w:w="40" w:type="dxa"/>
            </w:tcMar>
            <w:vAlign w:val="center"/>
          </w:tcPr>
          <w:p>
            <w:pPr>
              <w:spacing w:after="0"/>
              <w:jc w:val="center"/>
            </w:pPr>
            <w:r>
              <w:drawing>
                <wp:inline xmlns:a="http://schemas.openxmlformats.org/drawingml/2006/main" xmlns:pic="http://schemas.openxmlformats.org/drawingml/2006/picture">
                  <wp:extent cx="2364970" cy="295101"/>
                  <wp:docPr id="1" name="Picture 1"/>
                  <wp:cNvGraphicFramePr>
                    <a:graphicFrameLocks noChangeAspect="1"/>
                  </wp:cNvGraphicFramePr>
                  <a:graphic>
                    <a:graphicData uri="http://schemas.openxmlformats.org/drawingml/2006/picture">
                      <pic:pic>
                        <pic:nvPicPr>
                          <pic:cNvPr id="0" name="eq_ba7997471c13.png"/>
                          <pic:cNvPicPr/>
                        </pic:nvPicPr>
                        <pic:blipFill>
                          <a:blip r:embed="rId9"/>
                          <a:stretch>
                            <a:fillRect/>
                          </a:stretch>
                        </pic:blipFill>
                        <pic:spPr>
                          <a:xfrm>
                            <a:off x="0" y="0"/>
                            <a:ext cx="2364970" cy="295101"/>
                          </a:xfrm>
                          <a:prstGeom prst="rect"/>
                        </pic:spPr>
                      </pic:pic>
                    </a:graphicData>
                  </a:graphic>
                </wp:inline>
              </w:drawing>
            </w:r>
          </w:p>
        </w:tc>
        <w:tc>
          <w:tcPr>
            <w:tcW w:type="dxa" w:w="907"/>
            <w:tcMar>
              <w:top w:w="30" w:type="dxa"/>
              <w:bottom w:w="30" w:type="dxa"/>
              <w:start w:w="40" w:type="dxa"/>
              <w:end w:w="40" w:type="dxa"/>
            </w:tcMar>
            <w:vAlign w:val="center"/>
          </w:tcPr>
          <w:p>
            <w:pPr>
              <w:spacing w:after="0"/>
              <w:jc w:val="right"/>
            </w:pPr>
            <w:r>
              <w:rPr>
                <w:color w:val="2D2D2D"/>
                <w:sz w:val="21"/>
              </w:rPr>
              <w:t>(1)</w:t>
            </w:r>
          </w:p>
        </w:tc>
      </w:tr>
    </w:tbl>
    <w:p>
      <w:pPr>
        <w:spacing w:after="40"/>
      </w:pP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907"/>
        <w:gridCol w:w="7597"/>
        <w:gridCol w:w="907"/>
      </w:tblGrid>
      <w:tr>
        <w:tc>
          <w:tcPr>
            <w:tcW w:type="dxa" w:w="907"/>
            <w:tcMar>
              <w:top w:w="30" w:type="dxa"/>
              <w:bottom w:w="30" w:type="dxa"/>
              <w:start w:w="40" w:type="dxa"/>
              <w:end w:w="40" w:type="dxa"/>
            </w:tcMar>
            <w:vAlign w:val="center"/>
          </w:tcPr>
          <w:p/>
        </w:tc>
        <w:tc>
          <w:tcPr>
            <w:tcW w:type="dxa" w:w="7597"/>
            <w:tcMar>
              <w:top w:w="30" w:type="dxa"/>
              <w:bottom w:w="30" w:type="dxa"/>
              <w:start w:w="40" w:type="dxa"/>
              <w:end w:w="40" w:type="dxa"/>
            </w:tcMar>
            <w:vAlign w:val="center"/>
          </w:tcPr>
          <w:p>
            <w:pPr>
              <w:spacing w:after="0"/>
              <w:jc w:val="center"/>
            </w:pPr>
            <w:r>
              <w:drawing>
                <wp:inline xmlns:a="http://schemas.openxmlformats.org/drawingml/2006/main" xmlns:pic="http://schemas.openxmlformats.org/drawingml/2006/picture">
                  <wp:extent cx="2930236" cy="299258"/>
                  <wp:docPr id="2" name="Picture 2"/>
                  <wp:cNvGraphicFramePr>
                    <a:graphicFrameLocks noChangeAspect="1"/>
                  </wp:cNvGraphicFramePr>
                  <a:graphic>
                    <a:graphicData uri="http://schemas.openxmlformats.org/drawingml/2006/picture">
                      <pic:pic>
                        <pic:nvPicPr>
                          <pic:cNvPr id="0" name="eq_77eeeb1fb45a.png"/>
                          <pic:cNvPicPr/>
                        </pic:nvPicPr>
                        <pic:blipFill>
                          <a:blip r:embed="rId10"/>
                          <a:stretch>
                            <a:fillRect/>
                          </a:stretch>
                        </pic:blipFill>
                        <pic:spPr>
                          <a:xfrm>
                            <a:off x="0" y="0"/>
                            <a:ext cx="2930236" cy="299258"/>
                          </a:xfrm>
                          <a:prstGeom prst="rect"/>
                        </pic:spPr>
                      </pic:pic>
                    </a:graphicData>
                  </a:graphic>
                </wp:inline>
              </w:drawing>
            </w:r>
          </w:p>
        </w:tc>
        <w:tc>
          <w:tcPr>
            <w:tcW w:type="dxa" w:w="907"/>
            <w:tcMar>
              <w:top w:w="30" w:type="dxa"/>
              <w:bottom w:w="30" w:type="dxa"/>
              <w:start w:w="40" w:type="dxa"/>
              <w:end w:w="40" w:type="dxa"/>
            </w:tcMar>
            <w:vAlign w:val="center"/>
          </w:tcPr>
          <w:p>
            <w:pPr>
              <w:spacing w:after="0"/>
              <w:jc w:val="right"/>
            </w:pPr>
            <w:r>
              <w:rPr>
                <w:color w:val="2D2D2D"/>
                <w:sz w:val="21"/>
              </w:rPr>
              <w:t>(2)</w:t>
            </w:r>
          </w:p>
        </w:tc>
      </w:tr>
    </w:tbl>
    <w:p>
      <w:pPr>
        <w:spacing w:after="40"/>
      </w:pPr>
    </w:p>
    <w:p>
      <w:pPr>
        <w:jc w:val="both"/>
      </w:pPr>
      <w:r>
        <w:t xml:space="preserve">Card &amp; Krueger y el PSM de LaLonde estiman el </w:t>
      </w:r>
      <w:r>
        <w:rPr>
          <w:b/>
        </w:rPr>
        <w:t>ATT</w:t>
      </w:r>
      <w:r>
        <w:t xml:space="preserve"> (2); el caso de negocio tiene efecto homogéneo, así que el ATT coincide con el ATE (1). El efecto individual </w:t>
      </w:r>
      <w:r>
        <w:rPr>
          <w:rFonts w:ascii="Consolas" w:hAnsi="Consolas"/>
          <w:color w:val="9B1B30"/>
          <w:sz w:val="19"/>
        </w:rPr>
        <w:t>Y(1)−Y(0)</w:t>
      </w:r>
      <w:r>
        <w:t xml:space="preserve"> nunca se observa (problema fundamental): solo se estiman estos promedios bajo supuestos.</w:t>
      </w:r>
    </w:p>
    <w:p>
      <w:pPr>
        <w:spacing w:before="80" w:after="160" w:line="288" w:lineRule="auto"/>
        <w:ind w:left="85" w:right="85"/>
        <w:shd w:val="clear" w:color="auto" w:fill="F4F4F4"/>
        <w:pBdr>
          <w:left w:val="single" w:sz="24" w:space="10" w:color="E4002B"/>
        </w:pBdr>
      </w:pPr>
      <w:r>
        <w:rPr>
          <w:b/>
          <w:color w:val="2D2D2D"/>
        </w:rPr>
        <w:t>Lectura:</w:t>
      </w:r>
      <w:r>
        <w:rPr>
          <w:color w:val="2D2D2D"/>
        </w:rPr>
        <w:t xml:space="preserve"> la pregunta de negocio «¿valió la pena la campaña </w:t>
      </w:r>
      <w:r>
        <w:rPr>
          <w:b/>
          <w:color w:val="2D2D2D"/>
        </w:rPr>
        <w:t>para los clientes a los que se la enviamos</w:t>
      </w:r>
      <w:r>
        <w:rPr>
          <w:color w:val="2D2D2D"/>
        </w:rPr>
        <w:t xml:space="preserve">?» es el </w:t>
      </w:r>
      <w:r>
        <w:rPr>
          <w:b/>
          <w:color w:val="2D2D2D"/>
        </w:rPr>
        <w:t>ATT</w:t>
      </w:r>
      <w:r>
        <w:rPr>
          <w:color w:val="2D2D2D"/>
        </w:rPr>
        <w:t xml:space="preserve">, no el ATE. Declarar el estimando evita extrapolar el efecto a clientes que nunca se tratarían. El contrafactual se enuncia en palabras («¿qué valor habrían generado </w:t>
      </w:r>
      <w:r>
        <w:rPr>
          <w:b/>
          <w:color w:val="2D2D2D"/>
        </w:rPr>
        <w:t>estos mismos</w:t>
      </w:r>
      <w:r>
        <w:rPr>
          <w:color w:val="2D2D2D"/>
        </w:rPr>
        <w:t xml:space="preserve"> clientes sin campaña?») antes de elegir el método que lo aproxima.</w:t>
      </w:r>
    </w:p>
    <w:p>
      <w:pPr>
        <w:keepNext/>
        <w:spacing w:before="240" w:after="60"/>
        <w:pBdr>
          <w:bottom w:val="single" w:sz="6" w:space="2" w:color="E4002B"/>
        </w:pBdr>
      </w:pPr>
      <w:r>
        <w:rPr>
          <w:b/>
          <w:color w:val="E4002B"/>
          <w:sz w:val="30"/>
        </w:rPr>
        <w:t>(b) DAG — variables, aristas y rol de cada una</w:t>
      </w:r>
    </w:p>
    <w:p>
      <w:pPr>
        <w:jc w:val="both"/>
      </w:pPr>
      <w:r>
        <w:t xml:space="preserve">Se dibuja el grafo acíclico dirigido (DAG) de las hipótesis causales: nodos = variables, flechas = causa → efecto, sin ciclos. El DAG </w:t>
      </w:r>
      <w:r>
        <w:rPr>
          <w:b/>
        </w:rPr>
        <w:t>decide</w:t>
      </w:r>
      <w:r>
        <w:t xml:space="preserve"> qué controlar; su construcción se explica en </w:t>
      </w:r>
      <w:r>
        <w:rPr>
          <w:rFonts w:ascii="Consolas" w:hAnsi="Consolas"/>
          <w:color w:val="9B1B30"/>
          <w:sz w:val="19"/>
        </w:rPr>
        <w:t>plantillas/guia_dags.docx</w:t>
      </w:r>
      <w:r>
        <w:t xml:space="preserve">. Registrar el grafo (texto tipo </w:t>
      </w:r>
      <w:r>
        <w:rPr>
          <w:rFonts w:ascii="Consolas" w:hAnsi="Consolas"/>
          <w:color w:val="9B1B30"/>
          <w:sz w:val="19"/>
        </w:rPr>
        <w:t>digraph</w:t>
      </w:r>
      <w:r>
        <w:t xml:space="preserve"> de DoWhy) y clasificar cada variable por su </w:t>
      </w:r>
      <w:r>
        <w:rPr>
          <w:b/>
        </w:rPr>
        <w:t>rol</w:t>
      </w:r>
      <w:r>
        <w:t>.</w:t>
      </w:r>
    </w:p>
    <w:p>
      <w:pPr>
        <w:spacing w:before="80" w:after="120"/>
        <w:ind w:left="170"/>
        <w:shd w:val="clear" w:color="auto" w:fill="F4F4F4"/>
        <w:pBdr>
          <w:left w:val="single" w:sz="12" w:space="6" w:color="6E6E6E"/>
        </w:pBdr>
      </w:pPr>
      <w:r>
        <w:rPr>
          <w:rFonts w:ascii="Consolas" w:hAnsi="Consolas"/>
          <w:color w:val="2D2D2D"/>
          <w:sz w:val="18"/>
        </w:rPr>
        <w:t>digraph {</w:t>
        <w:br/>
        <w:t xml:space="preserve"> T -&gt; Y; // efecto de interés</w:t>
        <w:br/>
        <w:t xml:space="preserve"> C -&gt; T; C -&gt; Y; // C es confounder (abre puerta trasera)</w:t>
        <w:br/>
        <w:t xml:space="preserve"> T -&gt; M -&gt; Y; // M es mediador (NO controlar para el efecto total)</w:t>
        <w:br/>
        <w:t xml:space="preserve"> T -&gt; K; Y -&gt; K; // K es collider (NO controlar: fabrica sesgo)</w:t>
        <w:br/>
        <w:t xml:space="preserve"> P -&gt; Y; // P es covariable de precisión (opcional)</w:t>
        <w:br/>
        <w:t>}</w:t>
      </w:r>
    </w:p>
    <w:tbl>
      <w:tblPr>
        <w:tblStyle w:val="TableGrid"/>
        <w:tblW w:type="auto" w:w="0"/>
        <w:tblLayout w:type="autofit"/>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Pr>
      <w:tblGrid>
        <w:gridCol w:w="2436"/>
        <w:gridCol w:w="2436"/>
        <w:gridCol w:w="2436"/>
        <w:gridCol w:w="2436"/>
      </w:tblGrid>
      <w:tr>
        <w:tc>
          <w:tcPr>
            <w:tcW w:type="dxa" w:w="2436"/>
            <w:tcMar>
              <w:top w:w="60" w:type="dxa"/>
              <w:bottom w:w="60" w:type="dxa"/>
              <w:start w:w="110" w:type="dxa"/>
              <w:end w:w="110" w:type="dxa"/>
            </w:tcMar>
            <w:vAlign w:val="center"/>
            <w:shd w:val="clear" w:color="auto" w:fill="E4002B"/>
          </w:tcPr>
          <w:p>
            <w:pPr>
              <w:spacing w:after="0"/>
            </w:pPr>
            <w:r/>
            <w:r>
              <w:rPr>
                <w:b/>
                <w:color w:val="FFFFFF"/>
                <w:sz w:val="19"/>
              </w:rPr>
              <w:t>Variable</w:t>
            </w:r>
          </w:p>
        </w:tc>
        <w:tc>
          <w:tcPr>
            <w:tcW w:type="dxa" w:w="2436"/>
            <w:tcMar>
              <w:top w:w="60" w:type="dxa"/>
              <w:bottom w:w="60" w:type="dxa"/>
              <w:start w:w="110" w:type="dxa"/>
              <w:end w:w="110" w:type="dxa"/>
            </w:tcMar>
            <w:vAlign w:val="center"/>
            <w:shd w:val="clear" w:color="auto" w:fill="E4002B"/>
          </w:tcPr>
          <w:p>
            <w:pPr>
              <w:spacing w:after="0"/>
            </w:pPr>
            <w:r/>
            <w:r>
              <w:rPr>
                <w:b/>
                <w:color w:val="FFFFFF"/>
                <w:sz w:val="19"/>
              </w:rPr>
              <w:t>Rol</w:t>
            </w:r>
          </w:p>
        </w:tc>
        <w:tc>
          <w:tcPr>
            <w:tcW w:type="dxa" w:w="2436"/>
            <w:tcMar>
              <w:top w:w="60" w:type="dxa"/>
              <w:bottom w:w="60" w:type="dxa"/>
              <w:start w:w="110" w:type="dxa"/>
              <w:end w:w="110" w:type="dxa"/>
            </w:tcMar>
            <w:vAlign w:val="center"/>
            <w:shd w:val="clear" w:color="auto" w:fill="E4002B"/>
          </w:tcPr>
          <w:p>
            <w:pPr>
              <w:spacing w:after="0"/>
            </w:pPr>
            <w:r/>
            <w:r>
              <w:rPr>
                <w:b/>
                <w:color w:val="FFFFFF"/>
                <w:sz w:val="19"/>
              </w:rPr>
              <w:t>Justificación (qué causa a qué)</w:t>
            </w:r>
          </w:p>
        </w:tc>
        <w:tc>
          <w:tcPr>
            <w:tcW w:type="dxa" w:w="2436"/>
            <w:tcMar>
              <w:top w:w="60" w:type="dxa"/>
              <w:bottom w:w="60" w:type="dxa"/>
              <w:start w:w="110" w:type="dxa"/>
              <w:end w:w="110" w:type="dxa"/>
            </w:tcMar>
            <w:vAlign w:val="center"/>
            <w:shd w:val="clear" w:color="auto" w:fill="E4002B"/>
          </w:tcPr>
          <w:p>
            <w:pPr>
              <w:spacing w:after="0"/>
            </w:pPr>
            <w:r/>
            <w:r>
              <w:rPr>
                <w:b/>
                <w:color w:val="FFFFFF"/>
                <w:sz w:val="19"/>
              </w:rPr>
              <w:t>¿Se controla?</w:t>
            </w:r>
          </w:p>
        </w:tc>
      </w:tr>
      <w:tr>
        <w:tc>
          <w:tcPr>
            <w:tcW w:type="dxa" w:w="2436"/>
            <w:tcMar>
              <w:top w:w="60" w:type="dxa"/>
              <w:bottom w:w="60" w:type="dxa"/>
              <w:start w:w="110" w:type="dxa"/>
              <w:end w:w="110" w:type="dxa"/>
            </w:tcMar>
            <w:vAlign w:val="center"/>
          </w:tcPr>
          <w:p>
            <w:pPr>
              <w:spacing w:after="0"/>
            </w:pPr>
            <w:r>
              <w:rPr>
                <w:sz w:val="19"/>
              </w:rPr>
            </w:r>
            <w:r>
              <w:rPr>
                <w:rFonts w:ascii="Consolas" w:hAnsi="Consolas"/>
                <w:color w:val="9B1B30"/>
                <w:sz w:val="19"/>
              </w:rPr>
              <w:t>T</w:t>
            </w:r>
          </w:p>
        </w:tc>
        <w:tc>
          <w:tcPr>
            <w:tcW w:type="dxa" w:w="2436"/>
            <w:tcMar>
              <w:top w:w="60" w:type="dxa"/>
              <w:bottom w:w="60" w:type="dxa"/>
              <w:start w:w="110" w:type="dxa"/>
              <w:end w:w="110" w:type="dxa"/>
            </w:tcMar>
            <w:vAlign w:val="center"/>
          </w:tcPr>
          <w:p>
            <w:pPr>
              <w:spacing w:after="0"/>
            </w:pPr>
            <w:r>
              <w:rPr>
                <w:sz w:val="19"/>
              </w:rPr>
            </w:r>
            <w:r>
              <w:rPr>
                <w:sz w:val="19"/>
              </w:rPr>
              <w:t>tratamiento</w:t>
            </w:r>
          </w:p>
        </w:tc>
        <w:tc>
          <w:tcPr>
            <w:tcW w:type="dxa" w:w="2436"/>
            <w:tcMar>
              <w:top w:w="60" w:type="dxa"/>
              <w:bottom w:w="60" w:type="dxa"/>
              <w:start w:w="110" w:type="dxa"/>
              <w:end w:w="110" w:type="dxa"/>
            </w:tcMar>
            <w:vAlign w:val="center"/>
          </w:tcPr>
          <w:p>
            <w:pPr>
              <w:spacing w:after="0"/>
            </w:pPr>
            <w:r>
              <w:rPr>
                <w:sz w:val="19"/>
              </w:rPr>
            </w:r>
            <w:r>
              <w:rPr>
                <w:sz w:val="19"/>
              </w:rPr>
              <w:t>acción evaluada</w:t>
            </w:r>
          </w:p>
        </w:tc>
        <w:tc>
          <w:tcPr>
            <w:tcW w:type="dxa" w:w="2436"/>
            <w:tcMar>
              <w:top w:w="60" w:type="dxa"/>
              <w:bottom w:w="60" w:type="dxa"/>
              <w:start w:w="110" w:type="dxa"/>
              <w:end w:w="110" w:type="dxa"/>
            </w:tcMar>
            <w:vAlign w:val="center"/>
          </w:tcPr>
          <w:p>
            <w:pPr>
              <w:spacing w:after="0"/>
            </w:pPr>
            <w:r>
              <w:rPr>
                <w:sz w:val="19"/>
              </w:rPr>
            </w:r>
            <w:r>
              <w:rPr>
                <w:sz w:val="19"/>
              </w:rPr>
              <w:t>—</w:t>
            </w:r>
          </w:p>
        </w:tc>
      </w:tr>
      <w:tr>
        <w:tc>
          <w:tcPr>
            <w:tcW w:type="dxa" w:w="2436"/>
            <w:tcMar>
              <w:top w:w="60" w:type="dxa"/>
              <w:bottom w:w="60" w:type="dxa"/>
              <w:start w:w="110" w:type="dxa"/>
              <w:end w:w="110" w:type="dxa"/>
            </w:tcMar>
            <w:vAlign w:val="center"/>
            <w:shd w:val="clear" w:color="auto" w:fill="FCEDEE"/>
          </w:tcPr>
          <w:p>
            <w:pPr>
              <w:spacing w:after="0"/>
            </w:pPr>
            <w:r>
              <w:rPr>
                <w:sz w:val="19"/>
              </w:rPr>
            </w:r>
            <w:r>
              <w:rPr>
                <w:rFonts w:ascii="Consolas" w:hAnsi="Consolas"/>
                <w:color w:val="9B1B30"/>
                <w:sz w:val="19"/>
              </w:rPr>
              <w:t>Y</w:t>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resultado</w:t>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métrica objetivo</w:t>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w:t>
            </w:r>
          </w:p>
        </w:tc>
      </w:tr>
      <w:tr>
        <w:tc>
          <w:tcPr>
            <w:tcW w:type="dxa" w:w="2436"/>
            <w:tcMar>
              <w:top w:w="60" w:type="dxa"/>
              <w:bottom w:w="60" w:type="dxa"/>
              <w:start w:w="110" w:type="dxa"/>
              <w:end w:w="110" w:type="dxa"/>
            </w:tcMar>
            <w:vAlign w:val="center"/>
          </w:tcPr>
          <w:p>
            <w:pPr>
              <w:spacing w:after="0"/>
            </w:pPr>
            <w:r>
              <w:rPr>
                <w:sz w:val="19"/>
              </w:rPr>
            </w:r>
          </w:p>
        </w:tc>
        <w:tc>
          <w:tcPr>
            <w:tcW w:type="dxa" w:w="2436"/>
            <w:tcMar>
              <w:top w:w="60" w:type="dxa"/>
              <w:bottom w:w="60" w:type="dxa"/>
              <w:start w:w="110" w:type="dxa"/>
              <w:end w:w="110" w:type="dxa"/>
            </w:tcMar>
            <w:vAlign w:val="center"/>
          </w:tcPr>
          <w:p>
            <w:pPr>
              <w:spacing w:after="0"/>
            </w:pPr>
            <w:r>
              <w:rPr>
                <w:sz w:val="19"/>
              </w:rPr>
            </w:r>
            <w:r>
              <w:rPr>
                <w:b/>
                <w:sz w:val="19"/>
              </w:rPr>
              <w:t>confounder</w:t>
            </w:r>
          </w:p>
        </w:tc>
        <w:tc>
          <w:tcPr>
            <w:tcW w:type="dxa" w:w="2436"/>
            <w:tcMar>
              <w:top w:w="60" w:type="dxa"/>
              <w:bottom w:w="60" w:type="dxa"/>
              <w:start w:w="110" w:type="dxa"/>
              <w:end w:w="110" w:type="dxa"/>
            </w:tcMar>
            <w:vAlign w:val="center"/>
          </w:tcPr>
          <w:p>
            <w:pPr>
              <w:spacing w:after="0"/>
            </w:pPr>
            <w:r>
              <w:rPr>
                <w:sz w:val="19"/>
              </w:rPr>
            </w:r>
            <w:r>
              <w:rPr>
                <w:sz w:val="19"/>
              </w:rPr>
              <w:t xml:space="preserve">causa </w:t>
            </w:r>
            <w:r>
              <w:rPr>
                <w:rFonts w:ascii="Consolas" w:hAnsi="Consolas"/>
                <w:color w:val="9B1B30"/>
                <w:sz w:val="19"/>
              </w:rPr>
              <w:t>T</w:t>
            </w:r>
            <w:r>
              <w:rPr>
                <w:sz w:val="19"/>
              </w:rPr>
              <w:t xml:space="preserve"> </w:t>
            </w:r>
            <w:r>
              <w:rPr>
                <w:b/>
                <w:sz w:val="19"/>
              </w:rPr>
              <w:t>y</w:t>
            </w:r>
            <w:r>
              <w:rPr>
                <w:sz w:val="19"/>
              </w:rPr>
              <w:t xml:space="preserve"> </w:t>
            </w:r>
            <w:r>
              <w:rPr>
                <w:rFonts w:ascii="Consolas" w:hAnsi="Consolas"/>
                <w:color w:val="9B1B30"/>
                <w:sz w:val="19"/>
              </w:rPr>
              <w:t>Y</w:t>
            </w:r>
            <w:r>
              <w:rPr>
                <w:sz w:val="19"/>
              </w:rPr>
              <w:t xml:space="preserve"> → puerta trasera abierta</w:t>
            </w:r>
          </w:p>
        </w:tc>
        <w:tc>
          <w:tcPr>
            <w:tcW w:type="dxa" w:w="2436"/>
            <w:tcMar>
              <w:top w:w="60" w:type="dxa"/>
              <w:bottom w:w="60" w:type="dxa"/>
              <w:start w:w="110" w:type="dxa"/>
              <w:end w:w="110" w:type="dxa"/>
            </w:tcMar>
            <w:vAlign w:val="center"/>
          </w:tcPr>
          <w:p>
            <w:pPr>
              <w:spacing w:after="0"/>
            </w:pPr>
            <w:r>
              <w:rPr>
                <w:sz w:val="19"/>
              </w:rPr>
            </w:r>
            <w:r>
              <w:rPr>
                <w:b/>
                <w:sz w:val="19"/>
              </w:rPr>
              <w:t>Sí</w:t>
            </w:r>
            <w:r>
              <w:rPr>
                <w:sz w:val="19"/>
              </w:rPr>
              <w:t xml:space="preserve"> (cierra backdoor)</w:t>
            </w:r>
          </w:p>
        </w:tc>
      </w:tr>
      <w:tr>
        <w:tc>
          <w:tcPr>
            <w:tcW w:type="dxa" w:w="2436"/>
            <w:tcMar>
              <w:top w:w="60" w:type="dxa"/>
              <w:bottom w:w="60" w:type="dxa"/>
              <w:start w:w="110" w:type="dxa"/>
              <w:end w:w="110" w:type="dxa"/>
            </w:tcMar>
            <w:vAlign w:val="center"/>
            <w:shd w:val="clear" w:color="auto" w:fill="FCEDEE"/>
          </w:tcPr>
          <w:p>
            <w:pPr>
              <w:spacing w:after="0"/>
            </w:pPr>
            <w:r>
              <w:rPr>
                <w:sz w:val="19"/>
              </w:rPr>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mediador</w:t>
            </w:r>
          </w:p>
        </w:tc>
        <w:tc>
          <w:tcPr>
            <w:tcW w:type="dxa" w:w="2436"/>
            <w:tcMar>
              <w:top w:w="60" w:type="dxa"/>
              <w:bottom w:w="60" w:type="dxa"/>
              <w:start w:w="110" w:type="dxa"/>
              <w:end w:w="110" w:type="dxa"/>
            </w:tcMar>
            <w:vAlign w:val="center"/>
            <w:shd w:val="clear" w:color="auto" w:fill="FCEDEE"/>
          </w:tcPr>
          <w:p>
            <w:pPr>
              <w:spacing w:after="0"/>
            </w:pPr>
            <w:r>
              <w:rPr>
                <w:sz w:val="19"/>
              </w:rPr>
            </w:r>
            <w:r>
              <w:rPr>
                <w:rFonts w:ascii="Consolas" w:hAnsi="Consolas"/>
                <w:color w:val="9B1B30"/>
                <w:sz w:val="19"/>
              </w:rPr>
              <w:t>T → M → Y</w:t>
            </w:r>
            <w:r>
              <w:rPr>
                <w:sz w:val="19"/>
              </w:rPr>
              <w:t xml:space="preserve"> (canal del efecto)</w:t>
            </w:r>
          </w:p>
        </w:tc>
        <w:tc>
          <w:tcPr>
            <w:tcW w:type="dxa" w:w="2436"/>
            <w:tcMar>
              <w:top w:w="60" w:type="dxa"/>
              <w:bottom w:w="60" w:type="dxa"/>
              <w:start w:w="110" w:type="dxa"/>
              <w:end w:w="110" w:type="dxa"/>
            </w:tcMar>
            <w:vAlign w:val="center"/>
            <w:shd w:val="clear" w:color="auto" w:fill="FCEDEE"/>
          </w:tcPr>
          <w:p>
            <w:pPr>
              <w:spacing w:after="0"/>
            </w:pPr>
            <w:r>
              <w:rPr>
                <w:sz w:val="19"/>
              </w:rPr>
            </w:r>
            <w:r>
              <w:rPr>
                <w:b/>
                <w:sz w:val="19"/>
              </w:rPr>
              <w:t>No</w:t>
            </w:r>
            <w:r>
              <w:rPr>
                <w:sz w:val="19"/>
              </w:rPr>
              <w:t xml:space="preserve"> (para el efecto total)</w:t>
            </w:r>
          </w:p>
        </w:tc>
      </w:tr>
      <w:tr>
        <w:tc>
          <w:tcPr>
            <w:tcW w:type="dxa" w:w="2436"/>
            <w:tcMar>
              <w:top w:w="60" w:type="dxa"/>
              <w:bottom w:w="60" w:type="dxa"/>
              <w:start w:w="110" w:type="dxa"/>
              <w:end w:w="110" w:type="dxa"/>
            </w:tcMar>
            <w:vAlign w:val="center"/>
          </w:tcPr>
          <w:p>
            <w:pPr>
              <w:spacing w:after="0"/>
            </w:pPr>
            <w:r>
              <w:rPr>
                <w:sz w:val="19"/>
              </w:rPr>
            </w:r>
          </w:p>
        </w:tc>
        <w:tc>
          <w:tcPr>
            <w:tcW w:type="dxa" w:w="2436"/>
            <w:tcMar>
              <w:top w:w="60" w:type="dxa"/>
              <w:bottom w:w="60" w:type="dxa"/>
              <w:start w:w="110" w:type="dxa"/>
              <w:end w:w="110" w:type="dxa"/>
            </w:tcMar>
            <w:vAlign w:val="center"/>
          </w:tcPr>
          <w:p>
            <w:pPr>
              <w:spacing w:after="0"/>
            </w:pPr>
            <w:r>
              <w:rPr>
                <w:sz w:val="19"/>
              </w:rPr>
            </w:r>
            <w:r>
              <w:rPr>
                <w:sz w:val="19"/>
              </w:rPr>
              <w:t>collider</w:t>
            </w:r>
          </w:p>
        </w:tc>
        <w:tc>
          <w:tcPr>
            <w:tcW w:type="dxa" w:w="2436"/>
            <w:tcMar>
              <w:top w:w="60" w:type="dxa"/>
              <w:bottom w:w="60" w:type="dxa"/>
              <w:start w:w="110" w:type="dxa"/>
              <w:end w:w="110" w:type="dxa"/>
            </w:tcMar>
            <w:vAlign w:val="center"/>
          </w:tcPr>
          <w:p>
            <w:pPr>
              <w:spacing w:after="0"/>
            </w:pPr>
            <w:r>
              <w:rPr>
                <w:sz w:val="19"/>
              </w:rPr>
            </w:r>
            <w:r>
              <w:rPr>
                <w:rFonts w:ascii="Consolas" w:hAnsi="Consolas"/>
                <w:color w:val="9B1B30"/>
                <w:sz w:val="19"/>
              </w:rPr>
              <w:t>T → K ← Y</w:t>
            </w:r>
            <w:r>
              <w:rPr>
                <w:sz w:val="19"/>
              </w:rPr>
              <w:t xml:space="preserve"> (efecto común)</w:t>
            </w:r>
          </w:p>
        </w:tc>
        <w:tc>
          <w:tcPr>
            <w:tcW w:type="dxa" w:w="2436"/>
            <w:tcMar>
              <w:top w:w="60" w:type="dxa"/>
              <w:bottom w:w="60" w:type="dxa"/>
              <w:start w:w="110" w:type="dxa"/>
              <w:end w:w="110" w:type="dxa"/>
            </w:tcMar>
            <w:vAlign w:val="center"/>
          </w:tcPr>
          <w:p>
            <w:pPr>
              <w:spacing w:after="0"/>
            </w:pPr>
            <w:r>
              <w:rPr>
                <w:sz w:val="19"/>
              </w:rPr>
            </w:r>
            <w:r>
              <w:rPr>
                <w:b/>
                <w:sz w:val="19"/>
              </w:rPr>
              <w:t>No</w:t>
            </w:r>
            <w:r>
              <w:rPr>
                <w:sz w:val="19"/>
              </w:rPr>
              <w:t xml:space="preserve"> (controlarlo abre sesgo)</w:t>
            </w:r>
          </w:p>
        </w:tc>
      </w:tr>
      <w:tr>
        <w:tc>
          <w:tcPr>
            <w:tcW w:type="dxa" w:w="2436"/>
            <w:tcMar>
              <w:top w:w="60" w:type="dxa"/>
              <w:bottom w:w="60" w:type="dxa"/>
              <w:start w:w="110" w:type="dxa"/>
              <w:end w:w="110" w:type="dxa"/>
            </w:tcMar>
            <w:vAlign w:val="center"/>
            <w:shd w:val="clear" w:color="auto" w:fill="FCEDEE"/>
          </w:tcPr>
          <w:p>
            <w:pPr>
              <w:spacing w:after="0"/>
            </w:pPr>
            <w:r>
              <w:rPr>
                <w:sz w:val="19"/>
              </w:rPr>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precisión</w:t>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 xml:space="preserve">causa </w:t>
            </w:r>
            <w:r>
              <w:rPr>
                <w:rFonts w:ascii="Consolas" w:hAnsi="Consolas"/>
                <w:color w:val="9B1B30"/>
                <w:sz w:val="19"/>
              </w:rPr>
              <w:t>Y</w:t>
            </w:r>
            <w:r>
              <w:rPr>
                <w:sz w:val="19"/>
              </w:rPr>
              <w:t xml:space="preserve">, no </w:t>
            </w:r>
            <w:r>
              <w:rPr>
                <w:rFonts w:ascii="Consolas" w:hAnsi="Consolas"/>
                <w:color w:val="9B1B30"/>
                <w:sz w:val="19"/>
              </w:rPr>
              <w:t>T</w:t>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Opcional (mejora IC)</w:t>
            </w:r>
          </w:p>
        </w:tc>
      </w:tr>
    </w:tbl>
    <w:p>
      <w:pPr>
        <w:spacing w:after="40"/>
      </w:pPr>
    </w:p>
    <w:p>
      <w:pPr>
        <w:spacing w:before="80" w:after="160" w:line="288" w:lineRule="auto"/>
        <w:ind w:left="85" w:right="85"/>
        <w:shd w:val="clear" w:color="auto" w:fill="F4F4F4"/>
        <w:pBdr>
          <w:left w:val="single" w:sz="24" w:space="10" w:color="E4002B"/>
        </w:pBdr>
      </w:pPr>
      <w:r>
        <w:rPr>
          <w:b/>
          <w:color w:val="2D2D2D"/>
        </w:rPr>
        <w:t>Regla operativa:</w:t>
      </w:r>
      <w:r>
        <w:rPr>
          <w:color w:val="2D2D2D"/>
        </w:rPr>
        <w:t xml:space="preserve"> se controla </w:t>
      </w:r>
      <w:r>
        <w:rPr>
          <w:b/>
          <w:color w:val="2D2D2D"/>
        </w:rPr>
        <w:t>solo</w:t>
      </w:r>
      <w:r>
        <w:rPr>
          <w:color w:val="2D2D2D"/>
        </w:rPr>
        <w:t xml:space="preserve"> el conjunto que cierra las puertas traseras (los confounders). Incluir «todas las variables» en el modelo es el error nº 1: un </w:t>
      </w:r>
      <w:r>
        <w:rPr>
          <w:b/>
          <w:color w:val="2D2D2D"/>
        </w:rPr>
        <w:t>mediador</w:t>
      </w:r>
      <w:r>
        <w:rPr>
          <w:color w:val="2D2D2D"/>
        </w:rPr>
        <w:t xml:space="preserve"> controlado esconde el efecto total, y un </w:t>
      </w:r>
      <w:r>
        <w:rPr>
          <w:b/>
          <w:color w:val="2D2D2D"/>
        </w:rPr>
        <w:t>collider</w:t>
      </w:r>
      <w:r>
        <w:rPr>
          <w:color w:val="2D2D2D"/>
        </w:rPr>
        <w:t xml:space="preserve"> controlado </w:t>
      </w:r>
      <w:r>
        <w:rPr>
          <w:b/>
          <w:color w:val="2D2D2D"/>
        </w:rPr>
        <w:t>fabrica</w:t>
      </w:r>
      <w:r>
        <w:rPr>
          <w:color w:val="2D2D2D"/>
        </w:rPr>
        <w:t xml:space="preserve"> un sesgo que no existía. El detalle está en </w:t>
      </w:r>
      <w:r>
        <w:rPr>
          <w:rFonts w:ascii="Consolas" w:hAnsi="Consolas"/>
          <w:color w:val="2D2D2D"/>
          <w:sz w:val="19"/>
        </w:rPr>
        <w:t>plantillas/guia_dags.docx</w:t>
      </w:r>
      <w:r>
        <w:rPr>
          <w:color w:val="2D2D2D"/>
        </w:rPr>
        <w:t>.</w:t>
      </w:r>
    </w:p>
    <w:p>
      <w:pPr>
        <w:keepNext/>
        <w:spacing w:before="240" w:after="60"/>
        <w:pBdr>
          <w:bottom w:val="single" w:sz="6" w:space="2" w:color="E4002B"/>
        </w:pBdr>
      </w:pPr>
      <w:r>
        <w:rPr>
          <w:b/>
          <w:color w:val="E4002B"/>
          <w:sz w:val="30"/>
        </w:rPr>
        <w:t>(c) Conjunto de identificación (puerta trasera) y supuestos</w:t>
      </w:r>
    </w:p>
    <w:p>
      <w:pPr>
        <w:jc w:val="both"/>
      </w:pPr>
      <w:r>
        <w:t xml:space="preserve">Del DAG se deriva el </w:t>
      </w:r>
      <w:r>
        <w:rPr>
          <w:b/>
        </w:rPr>
        <w:t>conjunto de ajuste</w:t>
      </w:r>
      <w:r>
        <w:t xml:space="preserve"> </w:t>
      </w:r>
      <w:r>
        <w:rPr>
          <w:rFonts w:ascii="Consolas" w:hAnsi="Consolas"/>
          <w:color w:val="9B1B30"/>
          <w:sz w:val="19"/>
        </w:rPr>
        <w:t>Z</w:t>
      </w:r>
      <w:r>
        <w:t xml:space="preserve"> (adjustment set): el conjunto que </w:t>
      </w:r>
      <w:r>
        <w:rPr>
          <w:b/>
        </w:rPr>
        <w:t>bloquea todos los caminos de puerta trasera</w:t>
      </w:r>
      <w:r>
        <w:t xml:space="preserve"> entre </w:t>
      </w:r>
      <w:r>
        <w:rPr>
          <w:rFonts w:ascii="Consolas" w:hAnsi="Consolas"/>
          <w:color w:val="9B1B30"/>
          <w:sz w:val="19"/>
        </w:rPr>
        <w:t>T</w:t>
      </w:r>
      <w:r>
        <w:t xml:space="preserve"> e </w:t>
      </w:r>
      <w:r>
        <w:rPr>
          <w:rFonts w:ascii="Consolas" w:hAnsi="Consolas"/>
          <w:color w:val="9B1B30"/>
          <w:sz w:val="19"/>
        </w:rPr>
        <w:t>Y</w:t>
      </w:r>
      <w:r>
        <w:t xml:space="preserve"> y </w:t>
      </w:r>
      <w:r>
        <w:rPr>
          <w:b/>
        </w:rPr>
        <w:t>no contiene descendientes de `T`</w:t>
      </w:r>
      <w:r>
        <w:t xml:space="preserve"> (criterio de puerta trasera de Pearl). Luego se declara el método y </w:t>
      </w:r>
      <w:r>
        <w:rPr>
          <w:b/>
        </w:rPr>
        <w:t>su</w:t>
      </w:r>
      <w:r>
        <w:t xml:space="preserve"> supuesto de identificación, con el procedimiento para verificarlo.</w:t>
      </w:r>
    </w:p>
    <w:p>
      <w:pPr>
        <w:jc w:val="both"/>
      </w:pPr>
      <w:r>
        <w:t xml:space="preserve">Tres cantidades gobiernan la identificación observacional y su verificación. El </w:t>
      </w:r>
      <w:r>
        <w:rPr>
          <w:b/>
        </w:rPr>
        <w:t>propensity score</w:t>
      </w:r>
      <w:r>
        <w:t xml:space="preserve"> es la probabilidad de recibir el tratamiento dadas las covariables; el </w:t>
      </w:r>
      <w:r>
        <w:rPr>
          <w:b/>
        </w:rPr>
        <w:t>soporte común / positividad</w:t>
      </w:r>
      <w:r>
        <w:t xml:space="preserve"> exige 0 &lt; e(X) &lt; 1; el </w:t>
      </w:r>
      <w:r>
        <w:rPr>
          <w:b/>
        </w:rPr>
        <w:t>balance</w:t>
      </w:r>
      <w:r>
        <w:t xml:space="preserve"> tras emparejar se mide con la diferencia estandarizada de medias (SMD) por covariable, con umbral |SMD| &lt; 0,1; y el </w:t>
      </w:r>
      <w:r>
        <w:rPr>
          <w:b/>
        </w:rPr>
        <w:t>DiD</w:t>
      </w:r>
      <w:r>
        <w:t xml:space="preserve"> estima el efecto como la doble diferencia (tratado − control, después − antes):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907"/>
        <w:gridCol w:w="7597"/>
        <w:gridCol w:w="907"/>
      </w:tblGrid>
      <w:tr>
        <w:tc>
          <w:tcPr>
            <w:tcW w:type="dxa" w:w="907"/>
            <w:tcMar>
              <w:top w:w="30" w:type="dxa"/>
              <w:bottom w:w="30" w:type="dxa"/>
              <w:start w:w="40" w:type="dxa"/>
              <w:end w:w="40" w:type="dxa"/>
            </w:tcMar>
            <w:vAlign w:val="center"/>
          </w:tcPr>
          <w:p/>
        </w:tc>
        <w:tc>
          <w:tcPr>
            <w:tcW w:type="dxa" w:w="7597"/>
            <w:tcMar>
              <w:top w:w="30" w:type="dxa"/>
              <w:bottom w:w="30" w:type="dxa"/>
              <w:start w:w="40" w:type="dxa"/>
              <w:end w:w="40" w:type="dxa"/>
            </w:tcMar>
            <w:vAlign w:val="center"/>
          </w:tcPr>
          <w:p>
            <w:pPr>
              <w:spacing w:after="0"/>
              <w:jc w:val="center"/>
            </w:pPr>
            <w:r>
              <w:drawing>
                <wp:inline xmlns:a="http://schemas.openxmlformats.org/drawingml/2006/main" xmlns:pic="http://schemas.openxmlformats.org/drawingml/2006/picture">
                  <wp:extent cx="2044930" cy="299258"/>
                  <wp:docPr id="3" name="Picture 3"/>
                  <wp:cNvGraphicFramePr>
                    <a:graphicFrameLocks noChangeAspect="1"/>
                  </wp:cNvGraphicFramePr>
                  <a:graphic>
                    <a:graphicData uri="http://schemas.openxmlformats.org/drawingml/2006/picture">
                      <pic:pic>
                        <pic:nvPicPr>
                          <pic:cNvPr id="0" name="eq_c505a1eb4f22.png"/>
                          <pic:cNvPicPr/>
                        </pic:nvPicPr>
                        <pic:blipFill>
                          <a:blip r:embed="rId11"/>
                          <a:stretch>
                            <a:fillRect/>
                          </a:stretch>
                        </pic:blipFill>
                        <pic:spPr>
                          <a:xfrm>
                            <a:off x="0" y="0"/>
                            <a:ext cx="2044930" cy="299258"/>
                          </a:xfrm>
                          <a:prstGeom prst="rect"/>
                        </pic:spPr>
                      </pic:pic>
                    </a:graphicData>
                  </a:graphic>
                </wp:inline>
              </w:drawing>
            </w:r>
          </w:p>
        </w:tc>
        <w:tc>
          <w:tcPr>
            <w:tcW w:type="dxa" w:w="907"/>
            <w:tcMar>
              <w:top w:w="30" w:type="dxa"/>
              <w:bottom w:w="30" w:type="dxa"/>
              <w:start w:w="40" w:type="dxa"/>
              <w:end w:w="40" w:type="dxa"/>
            </w:tcMar>
            <w:vAlign w:val="center"/>
          </w:tcPr>
          <w:p>
            <w:pPr>
              <w:spacing w:after="0"/>
              <w:jc w:val="right"/>
            </w:pPr>
            <w:r>
              <w:rPr>
                <w:color w:val="2D2D2D"/>
                <w:sz w:val="21"/>
              </w:rPr>
              <w:t>(3)</w:t>
            </w:r>
          </w:p>
        </w:tc>
      </w:tr>
    </w:tbl>
    <w:p>
      <w:pPr>
        <w:spacing w:after="40"/>
      </w:pP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907"/>
        <w:gridCol w:w="7597"/>
        <w:gridCol w:w="907"/>
      </w:tblGrid>
      <w:tr>
        <w:tc>
          <w:tcPr>
            <w:tcW w:type="dxa" w:w="907"/>
            <w:tcMar>
              <w:top w:w="30" w:type="dxa"/>
              <w:bottom w:w="30" w:type="dxa"/>
              <w:start w:w="40" w:type="dxa"/>
              <w:end w:w="40" w:type="dxa"/>
            </w:tcMar>
            <w:vAlign w:val="center"/>
          </w:tcPr>
          <w:p/>
        </w:tc>
        <w:tc>
          <w:tcPr>
            <w:tcW w:type="dxa" w:w="7597"/>
            <w:tcMar>
              <w:top w:w="30" w:type="dxa"/>
              <w:bottom w:w="30" w:type="dxa"/>
              <w:start w:w="40" w:type="dxa"/>
              <w:end w:w="40" w:type="dxa"/>
            </w:tcMar>
            <w:vAlign w:val="center"/>
          </w:tcPr>
          <w:p>
            <w:pPr>
              <w:spacing w:after="0"/>
              <w:jc w:val="center"/>
            </w:pPr>
            <w:r>
              <w:drawing>
                <wp:inline xmlns:a="http://schemas.openxmlformats.org/drawingml/2006/main" xmlns:pic="http://schemas.openxmlformats.org/drawingml/2006/picture">
                  <wp:extent cx="1704109" cy="386541"/>
                  <wp:docPr id="4" name="Picture 4"/>
                  <wp:cNvGraphicFramePr>
                    <a:graphicFrameLocks noChangeAspect="1"/>
                  </wp:cNvGraphicFramePr>
                  <a:graphic>
                    <a:graphicData uri="http://schemas.openxmlformats.org/drawingml/2006/picture">
                      <pic:pic>
                        <pic:nvPicPr>
                          <pic:cNvPr id="0" name="eq_1d975f038fc7.png"/>
                          <pic:cNvPicPr/>
                        </pic:nvPicPr>
                        <pic:blipFill>
                          <a:blip r:embed="rId12"/>
                          <a:stretch>
                            <a:fillRect/>
                          </a:stretch>
                        </pic:blipFill>
                        <pic:spPr>
                          <a:xfrm>
                            <a:off x="0" y="0"/>
                            <a:ext cx="1704109" cy="386541"/>
                          </a:xfrm>
                          <a:prstGeom prst="rect"/>
                        </pic:spPr>
                      </pic:pic>
                    </a:graphicData>
                  </a:graphic>
                </wp:inline>
              </w:drawing>
            </w:r>
          </w:p>
        </w:tc>
        <w:tc>
          <w:tcPr>
            <w:tcW w:type="dxa" w:w="907"/>
            <w:tcMar>
              <w:top w:w="30" w:type="dxa"/>
              <w:bottom w:w="30" w:type="dxa"/>
              <w:start w:w="40" w:type="dxa"/>
              <w:end w:w="40" w:type="dxa"/>
            </w:tcMar>
            <w:vAlign w:val="center"/>
          </w:tcPr>
          <w:p>
            <w:pPr>
              <w:spacing w:after="0"/>
              <w:jc w:val="right"/>
            </w:pPr>
            <w:r>
              <w:rPr>
                <w:color w:val="2D2D2D"/>
                <w:sz w:val="21"/>
              </w:rPr>
              <w:t>(4)</w:t>
            </w:r>
          </w:p>
        </w:tc>
      </w:tr>
    </w:tbl>
    <w:p>
      <w:pPr>
        <w:spacing w:after="40"/>
      </w:pP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907"/>
        <w:gridCol w:w="7597"/>
        <w:gridCol w:w="907"/>
      </w:tblGrid>
      <w:tr>
        <w:tc>
          <w:tcPr>
            <w:tcW w:type="dxa" w:w="907"/>
            <w:tcMar>
              <w:top w:w="30" w:type="dxa"/>
              <w:bottom w:w="30" w:type="dxa"/>
              <w:start w:w="40" w:type="dxa"/>
              <w:end w:w="40" w:type="dxa"/>
            </w:tcMar>
            <w:vAlign w:val="center"/>
          </w:tcPr>
          <w:p/>
        </w:tc>
        <w:tc>
          <w:tcPr>
            <w:tcW w:type="dxa" w:w="7597"/>
            <w:tcMar>
              <w:top w:w="30" w:type="dxa"/>
              <w:bottom w:w="30" w:type="dxa"/>
              <w:start w:w="40" w:type="dxa"/>
              <w:end w:w="40" w:type="dxa"/>
            </w:tcMar>
            <w:vAlign w:val="center"/>
          </w:tcPr>
          <w:p>
            <w:pPr>
              <w:spacing w:after="0"/>
              <w:jc w:val="center"/>
            </w:pPr>
            <w:r>
              <w:drawing>
                <wp:inline xmlns:a="http://schemas.openxmlformats.org/drawingml/2006/main" xmlns:pic="http://schemas.openxmlformats.org/drawingml/2006/picture">
                  <wp:extent cx="3682538" cy="428105"/>
                  <wp:docPr id="5" name="Picture 5"/>
                  <wp:cNvGraphicFramePr>
                    <a:graphicFrameLocks noChangeAspect="1"/>
                  </wp:cNvGraphicFramePr>
                  <a:graphic>
                    <a:graphicData uri="http://schemas.openxmlformats.org/drawingml/2006/picture">
                      <pic:pic>
                        <pic:nvPicPr>
                          <pic:cNvPr id="0" name="eq_d737ad73c122.png"/>
                          <pic:cNvPicPr/>
                        </pic:nvPicPr>
                        <pic:blipFill>
                          <a:blip r:embed="rId13"/>
                          <a:stretch>
                            <a:fillRect/>
                          </a:stretch>
                        </pic:blipFill>
                        <pic:spPr>
                          <a:xfrm>
                            <a:off x="0" y="0"/>
                            <a:ext cx="3682538" cy="428105"/>
                          </a:xfrm>
                          <a:prstGeom prst="rect"/>
                        </pic:spPr>
                      </pic:pic>
                    </a:graphicData>
                  </a:graphic>
                </wp:inline>
              </w:drawing>
            </w:r>
          </w:p>
        </w:tc>
        <w:tc>
          <w:tcPr>
            <w:tcW w:type="dxa" w:w="907"/>
            <w:tcMar>
              <w:top w:w="30" w:type="dxa"/>
              <w:bottom w:w="30" w:type="dxa"/>
              <w:start w:w="40" w:type="dxa"/>
              <w:end w:w="40" w:type="dxa"/>
            </w:tcMar>
            <w:vAlign w:val="center"/>
          </w:tcPr>
          <w:p>
            <w:pPr>
              <w:spacing w:after="0"/>
              <w:jc w:val="right"/>
            </w:pPr>
            <w:r>
              <w:rPr>
                <w:color w:val="2D2D2D"/>
                <w:sz w:val="21"/>
              </w:rPr>
              <w:t>(5)</w:t>
            </w:r>
          </w:p>
        </w:tc>
      </w:tr>
    </w:tbl>
    <w:p>
      <w:pPr>
        <w:spacing w:after="40"/>
      </w:pPr>
    </w:p>
    <w:tbl>
      <w:tblPr>
        <w:tblStyle w:val="TableGrid"/>
        <w:tblW w:type="auto" w:w="0"/>
        <w:tblLayout w:type="autofit"/>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Pr>
      <w:tblGrid>
        <w:gridCol w:w="4873"/>
        <w:gridCol w:w="4873"/>
      </w:tblGrid>
      <w:tr>
        <w:tc>
          <w:tcPr>
            <w:tcW w:type="dxa" w:w="4873"/>
            <w:tcMar>
              <w:top w:w="60" w:type="dxa"/>
              <w:bottom w:w="60" w:type="dxa"/>
              <w:start w:w="110" w:type="dxa"/>
              <w:end w:w="110" w:type="dxa"/>
            </w:tcMar>
            <w:vAlign w:val="center"/>
            <w:shd w:val="clear" w:color="auto" w:fill="E4002B"/>
          </w:tcPr>
          <w:p>
            <w:pPr>
              <w:spacing w:after="0"/>
            </w:pPr>
            <w:r/>
            <w:r>
              <w:rPr>
                <w:b/>
                <w:color w:val="FFFFFF"/>
                <w:sz w:val="19"/>
              </w:rPr>
              <w:t>Elemento</w:t>
            </w:r>
          </w:p>
        </w:tc>
        <w:tc>
          <w:tcPr>
            <w:tcW w:type="dxa" w:w="4873"/>
            <w:tcMar>
              <w:top w:w="60" w:type="dxa"/>
              <w:bottom w:w="60" w:type="dxa"/>
              <w:start w:w="110" w:type="dxa"/>
              <w:end w:w="110" w:type="dxa"/>
            </w:tcMar>
            <w:vAlign w:val="center"/>
            <w:shd w:val="clear" w:color="auto" w:fill="E4002B"/>
          </w:tcPr>
          <w:p>
            <w:pPr>
              <w:spacing w:after="0"/>
            </w:pPr>
            <w:r/>
            <w:r>
              <w:rPr>
                <w:b/>
                <w:color w:val="FFFFFF"/>
                <w:sz w:val="19"/>
              </w:rPr>
              <w:t>Valor del caso</w:t>
            </w:r>
          </w:p>
        </w:tc>
      </w:tr>
      <w:tr>
        <w:tc>
          <w:tcPr>
            <w:tcW w:type="dxa" w:w="4873"/>
            <w:tcMar>
              <w:top w:w="60" w:type="dxa"/>
              <w:bottom w:w="60" w:type="dxa"/>
              <w:start w:w="110" w:type="dxa"/>
              <w:end w:w="110" w:type="dxa"/>
            </w:tcMar>
            <w:vAlign w:val="center"/>
          </w:tcPr>
          <w:p>
            <w:pPr>
              <w:spacing w:after="0"/>
            </w:pPr>
            <w:r>
              <w:rPr>
                <w:sz w:val="19"/>
              </w:rPr>
            </w:r>
            <w:r>
              <w:rPr>
                <w:sz w:val="19"/>
              </w:rPr>
              <w:t xml:space="preserve">Caminos de puerta trasera entre </w:t>
            </w:r>
            <w:r>
              <w:rPr>
                <w:rFonts w:ascii="Consolas" w:hAnsi="Consolas"/>
                <w:color w:val="9B1B30"/>
                <w:sz w:val="19"/>
              </w:rPr>
              <w:t>T</w:t>
            </w:r>
            <w:r>
              <w:rPr>
                <w:sz w:val="19"/>
              </w:rPr>
              <w:t xml:space="preserve"> e </w:t>
            </w:r>
            <w:r>
              <w:rPr>
                <w:rFonts w:ascii="Consolas" w:hAnsi="Consolas"/>
                <w:color w:val="9B1B30"/>
                <w:sz w:val="19"/>
              </w:rPr>
              <w:t>Y</w:t>
            </w:r>
          </w:p>
        </w:tc>
        <w:tc>
          <w:tcPr>
            <w:tcW w:type="dxa" w:w="4873"/>
            <w:tcMar>
              <w:top w:w="60" w:type="dxa"/>
              <w:bottom w:w="60" w:type="dxa"/>
              <w:start w:w="110" w:type="dxa"/>
              <w:end w:w="110" w:type="dxa"/>
            </w:tcMar>
            <w:vAlign w:val="center"/>
          </w:tcPr>
          <w:p>
            <w:pPr>
              <w:spacing w:after="0"/>
            </w:pPr>
            <w:r>
              <w:rPr>
                <w:sz w:val="19"/>
              </w:rPr>
            </w:r>
          </w:p>
        </w:tc>
      </w:tr>
      <w:tr>
        <w:tc>
          <w:tcPr>
            <w:tcW w:type="dxa" w:w="4873"/>
            <w:tcMar>
              <w:top w:w="60" w:type="dxa"/>
              <w:bottom w:w="60" w:type="dxa"/>
              <w:start w:w="110" w:type="dxa"/>
              <w:end w:w="110" w:type="dxa"/>
            </w:tcMar>
            <w:vAlign w:val="center"/>
            <w:shd w:val="clear" w:color="auto" w:fill="FCEDEE"/>
          </w:tcPr>
          <w:p>
            <w:pPr>
              <w:spacing w:after="0"/>
            </w:pPr>
            <w:r>
              <w:rPr>
                <w:sz w:val="19"/>
              </w:rPr>
            </w:r>
            <w:r>
              <w:rPr>
                <w:sz w:val="19"/>
              </w:rPr>
              <w:t xml:space="preserve">Conjunto de ajuste </w:t>
            </w:r>
            <w:r>
              <w:rPr>
                <w:rFonts w:ascii="Consolas" w:hAnsi="Consolas"/>
                <w:color w:val="9B1B30"/>
                <w:sz w:val="19"/>
              </w:rPr>
              <w:t>Z</w:t>
            </w:r>
            <w:r>
              <w:rPr>
                <w:sz w:val="19"/>
              </w:rPr>
              <w:t xml:space="preserve"> (backdoor set)</w:t>
            </w:r>
          </w:p>
        </w:tc>
        <w:tc>
          <w:tcPr>
            <w:tcW w:type="dxa" w:w="4873"/>
            <w:tcMar>
              <w:top w:w="60" w:type="dxa"/>
              <w:bottom w:w="60" w:type="dxa"/>
              <w:start w:w="110" w:type="dxa"/>
              <w:end w:w="110" w:type="dxa"/>
            </w:tcMar>
            <w:vAlign w:val="center"/>
            <w:shd w:val="clear" w:color="auto" w:fill="FCEDEE"/>
          </w:tcPr>
          <w:p>
            <w:pPr>
              <w:spacing w:after="0"/>
            </w:pPr>
            <w:r>
              <w:rPr>
                <w:sz w:val="19"/>
              </w:rPr>
            </w:r>
          </w:p>
        </w:tc>
      </w:tr>
      <w:tr>
        <w:tc>
          <w:tcPr>
            <w:tcW w:type="dxa" w:w="4873"/>
            <w:tcMar>
              <w:top w:w="60" w:type="dxa"/>
              <w:bottom w:w="60" w:type="dxa"/>
              <w:start w:w="110" w:type="dxa"/>
              <w:end w:w="110" w:type="dxa"/>
            </w:tcMar>
            <w:vAlign w:val="center"/>
          </w:tcPr>
          <w:p>
            <w:pPr>
              <w:spacing w:after="0"/>
            </w:pPr>
            <w:r>
              <w:rPr>
                <w:sz w:val="19"/>
              </w:rPr>
            </w:r>
            <w:r>
              <w:rPr>
                <w:sz w:val="19"/>
              </w:rPr>
              <w:t>¿</w:t>
            </w:r>
            <w:r>
              <w:rPr>
                <w:rFonts w:ascii="Consolas" w:hAnsi="Consolas"/>
                <w:color w:val="9B1B30"/>
                <w:sz w:val="19"/>
              </w:rPr>
              <w:t>Z</w:t>
            </w:r>
            <w:r>
              <w:rPr>
                <w:sz w:val="19"/>
              </w:rPr>
              <w:t xml:space="preserve"> observable y medido?</w:t>
            </w:r>
          </w:p>
        </w:tc>
        <w:tc>
          <w:tcPr>
            <w:tcW w:type="dxa" w:w="4873"/>
            <w:tcMar>
              <w:top w:w="60" w:type="dxa"/>
              <w:bottom w:w="60" w:type="dxa"/>
              <w:start w:w="110" w:type="dxa"/>
              <w:end w:w="110" w:type="dxa"/>
            </w:tcMar>
            <w:vAlign w:val="center"/>
          </w:tcPr>
          <w:p>
            <w:pPr>
              <w:spacing w:after="0"/>
            </w:pPr>
            <w:r>
              <w:rPr>
                <w:sz w:val="19"/>
              </w:rPr>
            </w:r>
            <w:r>
              <w:rPr>
                <w:sz w:val="19"/>
              </w:rPr>
              <w:t>___ (sí / hay confounder no observado: ___)</w:t>
            </w:r>
          </w:p>
        </w:tc>
      </w:tr>
    </w:tbl>
    <w:p>
      <w:pPr>
        <w:spacing w:after="40"/>
      </w:pPr>
    </w:p>
    <w:p>
      <w:pPr>
        <w:jc w:val="both"/>
      </w:pPr>
      <w:r>
        <w:rPr>
          <w:b/>
        </w:rPr>
        <w:t>Supuesto de identificación según el método</w:t>
      </w:r>
      <w:r>
        <w:t xml:space="preserve"> (marcar el aplicable):</w:t>
      </w:r>
    </w:p>
    <w:tbl>
      <w:tblPr>
        <w:tblStyle w:val="TableGrid"/>
        <w:tblW w:type="auto" w:w="0"/>
        <w:tblLayout w:type="autofit"/>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Pr>
      <w:tblGrid>
        <w:gridCol w:w="3249"/>
        <w:gridCol w:w="3249"/>
        <w:gridCol w:w="3249"/>
      </w:tblGrid>
      <w:tr>
        <w:tc>
          <w:tcPr>
            <w:tcW w:type="dxa" w:w="3249"/>
            <w:tcMar>
              <w:top w:w="60" w:type="dxa"/>
              <w:bottom w:w="60" w:type="dxa"/>
              <w:start w:w="110" w:type="dxa"/>
              <w:end w:w="110" w:type="dxa"/>
            </w:tcMar>
            <w:vAlign w:val="center"/>
            <w:shd w:val="clear" w:color="auto" w:fill="E4002B"/>
          </w:tcPr>
          <w:p>
            <w:pPr>
              <w:spacing w:after="0"/>
            </w:pPr>
            <w:r/>
            <w:r>
              <w:rPr>
                <w:b/>
                <w:color w:val="FFFFFF"/>
                <w:sz w:val="19"/>
              </w:rPr>
              <w:t>Método</w:t>
            </w:r>
          </w:p>
        </w:tc>
        <w:tc>
          <w:tcPr>
            <w:tcW w:type="dxa" w:w="3249"/>
            <w:tcMar>
              <w:top w:w="60" w:type="dxa"/>
              <w:bottom w:w="60" w:type="dxa"/>
              <w:start w:w="110" w:type="dxa"/>
              <w:end w:w="110" w:type="dxa"/>
            </w:tcMar>
            <w:vAlign w:val="center"/>
            <w:shd w:val="clear" w:color="auto" w:fill="E4002B"/>
          </w:tcPr>
          <w:p>
            <w:pPr>
              <w:spacing w:after="0"/>
            </w:pPr>
            <w:r/>
            <w:r>
              <w:rPr>
                <w:b/>
                <w:color w:val="FFFFFF"/>
                <w:sz w:val="19"/>
              </w:rPr>
              <w:t>Supuesto clave</w:t>
            </w:r>
          </w:p>
        </w:tc>
        <w:tc>
          <w:tcPr>
            <w:tcW w:type="dxa" w:w="3249"/>
            <w:tcMar>
              <w:top w:w="60" w:type="dxa"/>
              <w:bottom w:w="60" w:type="dxa"/>
              <w:start w:w="110" w:type="dxa"/>
              <w:end w:w="110" w:type="dxa"/>
            </w:tcMar>
            <w:vAlign w:val="center"/>
            <w:shd w:val="clear" w:color="auto" w:fill="E4002B"/>
          </w:tcPr>
          <w:p>
            <w:pPr>
              <w:spacing w:after="0"/>
            </w:pPr>
            <w:r/>
            <w:r>
              <w:rPr>
                <w:b/>
                <w:color w:val="FFFFFF"/>
                <w:sz w:val="19"/>
              </w:rPr>
              <w:t>Cómo se verifica</w:t>
            </w:r>
          </w:p>
        </w:tc>
      </w:tr>
      <w:tr>
        <w:tc>
          <w:tcPr>
            <w:tcW w:type="dxa" w:w="3249"/>
            <w:tcMar>
              <w:top w:w="60" w:type="dxa"/>
              <w:bottom w:w="60" w:type="dxa"/>
              <w:start w:w="110" w:type="dxa"/>
              <w:end w:w="110" w:type="dxa"/>
            </w:tcMar>
            <w:vAlign w:val="center"/>
          </w:tcPr>
          <w:p>
            <w:pPr>
              <w:spacing w:after="0"/>
            </w:pPr>
            <w:r>
              <w:rPr>
                <w:sz w:val="19"/>
              </w:rPr>
            </w:r>
            <w:r>
              <w:rPr>
                <w:sz w:val="19"/>
              </w:rPr>
              <w:t>Regresión / PSM / IPW (backdoor)</w:t>
            </w:r>
          </w:p>
        </w:tc>
        <w:tc>
          <w:tcPr>
            <w:tcW w:type="dxa" w:w="3249"/>
            <w:tcMar>
              <w:top w:w="60" w:type="dxa"/>
              <w:bottom w:w="60" w:type="dxa"/>
              <w:start w:w="110" w:type="dxa"/>
              <w:end w:w="110" w:type="dxa"/>
            </w:tcMar>
            <w:vAlign w:val="center"/>
          </w:tcPr>
          <w:p>
            <w:pPr>
              <w:spacing w:after="0"/>
            </w:pPr>
            <w:r>
              <w:rPr>
                <w:sz w:val="19"/>
              </w:rPr>
            </w:r>
            <w:r>
              <w:rPr>
                <w:b/>
                <w:sz w:val="19"/>
              </w:rPr>
              <w:t>ignorabilidad</w:t>
            </w:r>
            <w:r>
              <w:rPr>
                <w:sz w:val="19"/>
              </w:rPr>
              <w:t xml:space="preserve"> </w:t>
            </w:r>
            <w:r>
              <w:rPr>
                <w:sz w:val="19"/>
              </w:rPr>
              <w:drawing>
                <wp:inline xmlns:a="http://schemas.openxmlformats.org/drawingml/2006/main" xmlns:pic="http://schemas.openxmlformats.org/drawingml/2006/picture">
                  <wp:extent cx="1095471" cy="206692"/>
                  <wp:docPr id="6" name="Picture 6"/>
                  <wp:cNvGraphicFramePr>
                    <a:graphicFrameLocks noChangeAspect="1"/>
                  </wp:cNvGraphicFramePr>
                  <a:graphic>
                    <a:graphicData uri="http://schemas.openxmlformats.org/drawingml/2006/picture">
                      <pic:pic>
                        <pic:nvPicPr>
                          <pic:cNvPr id="0" name="eq_00a479b94b01.png"/>
                          <pic:cNvPicPr/>
                        </pic:nvPicPr>
                        <pic:blipFill>
                          <a:blip r:embed="rId14"/>
                          <a:stretch>
                            <a:fillRect/>
                          </a:stretch>
                        </pic:blipFill>
                        <pic:spPr>
                          <a:xfrm>
                            <a:off x="0" y="0"/>
                            <a:ext cx="1095471" cy="206692"/>
                          </a:xfrm>
                          <a:prstGeom prst="rect"/>
                        </pic:spPr>
                      </pic:pic>
                    </a:graphicData>
                  </a:graphic>
                </wp:inline>
              </w:drawing>
            </w:r>
            <w:r>
              <w:rPr>
                <w:sz w:val="19"/>
              </w:rPr>
              <w:t xml:space="preserve"> + </w:t>
            </w:r>
            <w:r>
              <w:rPr>
                <w:b/>
                <w:sz w:val="19"/>
              </w:rPr>
              <w:t>soporte común / positividad</w:t>
            </w:r>
            <w:r>
              <w:rPr>
                <w:sz w:val="19"/>
              </w:rPr>
              <w:t xml:space="preserve"> 0 &lt; e(X) &lt; 1</w:t>
            </w:r>
          </w:p>
        </w:tc>
        <w:tc>
          <w:tcPr>
            <w:tcW w:type="dxa" w:w="3249"/>
            <w:tcMar>
              <w:top w:w="60" w:type="dxa"/>
              <w:bottom w:w="60" w:type="dxa"/>
              <w:start w:w="110" w:type="dxa"/>
              <w:end w:w="110" w:type="dxa"/>
            </w:tcMar>
            <w:vAlign w:val="center"/>
          </w:tcPr>
          <w:p>
            <w:pPr>
              <w:spacing w:after="0"/>
            </w:pPr>
            <w:r>
              <w:rPr>
                <w:sz w:val="19"/>
              </w:rPr>
            </w:r>
            <w:r>
              <w:rPr>
                <w:sz w:val="19"/>
              </w:rPr>
              <w:t>balance de covariables (SMD &lt; 0,1, ecuación (4)) tras ajustar; histograma del propensity (3) superpuesto (zona de solape); trimming al soporte común</w:t>
            </w:r>
          </w:p>
        </w:tc>
      </w:tr>
      <w:tr>
        <w:tc>
          <w:tcPr>
            <w:tcW w:type="dxa" w:w="3249"/>
            <w:tcMar>
              <w:top w:w="60" w:type="dxa"/>
              <w:bottom w:w="60" w:type="dxa"/>
              <w:start w:w="110" w:type="dxa"/>
              <w:end w:w="110" w:type="dxa"/>
            </w:tcMar>
            <w:vAlign w:val="center"/>
            <w:shd w:val="clear" w:color="auto" w:fill="FCEDEE"/>
          </w:tcPr>
          <w:p>
            <w:pPr>
              <w:spacing w:after="0"/>
            </w:pPr>
            <w:r>
              <w:rPr>
                <w:sz w:val="19"/>
              </w:rPr>
            </w:r>
            <w:r>
              <w:rPr>
                <w:b/>
                <w:sz w:val="19"/>
              </w:rPr>
              <w:t>DiD</w:t>
            </w:r>
            <w:r>
              <w:rPr>
                <w:sz w:val="19"/>
              </w:rPr>
              <w:t xml:space="preserve"> (diferencias en diferencias)</w:t>
            </w:r>
          </w:p>
        </w:tc>
        <w:tc>
          <w:tcPr>
            <w:tcW w:type="dxa" w:w="3249"/>
            <w:tcMar>
              <w:top w:w="60" w:type="dxa"/>
              <w:bottom w:w="60" w:type="dxa"/>
              <w:start w:w="110" w:type="dxa"/>
              <w:end w:w="110" w:type="dxa"/>
            </w:tcMar>
            <w:vAlign w:val="center"/>
            <w:shd w:val="clear" w:color="auto" w:fill="FCEDEE"/>
          </w:tcPr>
          <w:p>
            <w:pPr>
              <w:spacing w:after="0"/>
            </w:pPr>
            <w:r>
              <w:rPr>
                <w:sz w:val="19"/>
              </w:rPr>
            </w:r>
            <w:r>
              <w:rPr>
                <w:b/>
                <w:sz w:val="19"/>
              </w:rPr>
              <w:t>tendencias paralelas</w:t>
            </w:r>
            <w:r>
              <w:rPr>
                <w:sz w:val="19"/>
              </w:rPr>
              <w:t>: sin tratamiento, ambos grupos habrían evolucionado igual (efecto = doble diferencia (5))</w:t>
            </w:r>
          </w:p>
        </w:tc>
        <w:tc>
          <w:tcPr>
            <w:tcW w:type="dxa" w:w="3249"/>
            <w:tcMar>
              <w:top w:w="60" w:type="dxa"/>
              <w:bottom w:w="60" w:type="dxa"/>
              <w:start w:w="110" w:type="dxa"/>
              <w:end w:w="110" w:type="dxa"/>
            </w:tcMar>
            <w:vAlign w:val="center"/>
            <w:shd w:val="clear" w:color="auto" w:fill="FCEDEE"/>
          </w:tcPr>
          <w:p>
            <w:pPr>
              <w:spacing w:after="0"/>
            </w:pPr>
            <w:r>
              <w:rPr>
                <w:sz w:val="19"/>
              </w:rPr>
            </w:r>
            <w:r>
              <w:rPr>
                <w:sz w:val="19"/>
              </w:rPr>
              <w:t xml:space="preserve">gráfico de pre-tendencias (varios periodos previos); con solo 2 olas, apoyar en comparabilidad de los grupos y </w:t>
            </w:r>
            <w:r>
              <w:rPr>
                <w:b/>
                <w:sz w:val="19"/>
              </w:rPr>
              <w:t>declarar la limitación</w:t>
            </w:r>
          </w:p>
        </w:tc>
      </w:tr>
      <w:tr>
        <w:tc>
          <w:tcPr>
            <w:tcW w:type="dxa" w:w="3249"/>
            <w:tcMar>
              <w:top w:w="60" w:type="dxa"/>
              <w:bottom w:w="60" w:type="dxa"/>
              <w:start w:w="110" w:type="dxa"/>
              <w:end w:w="110" w:type="dxa"/>
            </w:tcMar>
            <w:vAlign w:val="center"/>
          </w:tcPr>
          <w:p>
            <w:pPr>
              <w:spacing w:after="0"/>
            </w:pPr>
            <w:r>
              <w:rPr>
                <w:sz w:val="19"/>
              </w:rPr>
            </w:r>
            <w:r>
              <w:rPr>
                <w:b/>
                <w:sz w:val="19"/>
              </w:rPr>
              <w:t>Variables instrumentales (IV)</w:t>
            </w:r>
          </w:p>
        </w:tc>
        <w:tc>
          <w:tcPr>
            <w:tcW w:type="dxa" w:w="3249"/>
            <w:tcMar>
              <w:top w:w="60" w:type="dxa"/>
              <w:bottom w:w="60" w:type="dxa"/>
              <w:start w:w="110" w:type="dxa"/>
              <w:end w:w="110" w:type="dxa"/>
            </w:tcMar>
            <w:vAlign w:val="center"/>
          </w:tcPr>
          <w:p>
            <w:pPr>
              <w:spacing w:after="0"/>
            </w:pPr>
            <w:r>
              <w:rPr>
                <w:sz w:val="19"/>
              </w:rPr>
            </w:r>
            <w:r>
              <w:rPr>
                <w:b/>
                <w:sz w:val="19"/>
              </w:rPr>
              <w:t>relevancia</w:t>
            </w:r>
            <w:r>
              <w:rPr>
                <w:sz w:val="19"/>
              </w:rPr>
              <w:t xml:space="preserve"> (</w:t>
            </w:r>
            <w:r>
              <w:rPr>
                <w:rFonts w:ascii="Consolas" w:hAnsi="Consolas"/>
                <w:color w:val="9B1B30"/>
                <w:sz w:val="19"/>
              </w:rPr>
              <w:t>Z → T</w:t>
            </w:r>
            <w:r>
              <w:rPr>
                <w:sz w:val="19"/>
              </w:rPr>
              <w:t xml:space="preserve"> fuerte), </w:t>
            </w:r>
            <w:r>
              <w:rPr>
                <w:b/>
                <w:sz w:val="19"/>
              </w:rPr>
              <w:t>restricción de exclusión</w:t>
            </w:r>
            <w:r>
              <w:rPr>
                <w:sz w:val="19"/>
              </w:rPr>
              <w:t xml:space="preserve"> (</w:t>
            </w:r>
            <w:r>
              <w:rPr>
                <w:rFonts w:ascii="Consolas" w:hAnsi="Consolas"/>
                <w:color w:val="9B1B30"/>
                <w:sz w:val="19"/>
              </w:rPr>
              <w:t>Z</w:t>
            </w:r>
            <w:r>
              <w:rPr>
                <w:sz w:val="19"/>
              </w:rPr>
              <w:t xml:space="preserve"> afecta a </w:t>
            </w:r>
            <w:r>
              <w:rPr>
                <w:rFonts w:ascii="Consolas" w:hAnsi="Consolas"/>
                <w:color w:val="9B1B30"/>
                <w:sz w:val="19"/>
              </w:rPr>
              <w:t>Y</w:t>
            </w:r>
            <w:r>
              <w:rPr>
                <w:sz w:val="19"/>
              </w:rPr>
              <w:t xml:space="preserve"> solo vía </w:t>
            </w:r>
            <w:r>
              <w:rPr>
                <w:rFonts w:ascii="Consolas" w:hAnsi="Consolas"/>
                <w:color w:val="9B1B30"/>
                <w:sz w:val="19"/>
              </w:rPr>
              <w:t>T</w:t>
            </w:r>
            <w:r>
              <w:rPr>
                <w:sz w:val="19"/>
              </w:rPr>
              <w:t xml:space="preserve">) y </w:t>
            </w:r>
            <w:r>
              <w:rPr>
                <w:b/>
                <w:sz w:val="19"/>
              </w:rPr>
              <w:t>exogeneidad</w:t>
            </w:r>
          </w:p>
        </w:tc>
        <w:tc>
          <w:tcPr>
            <w:tcW w:type="dxa" w:w="3249"/>
            <w:tcMar>
              <w:top w:w="60" w:type="dxa"/>
              <w:bottom w:w="60" w:type="dxa"/>
              <w:start w:w="110" w:type="dxa"/>
              <w:end w:w="110" w:type="dxa"/>
            </w:tcMar>
            <w:vAlign w:val="center"/>
          </w:tcPr>
          <w:p>
            <w:pPr>
              <w:spacing w:after="0"/>
            </w:pPr>
            <w:r>
              <w:rPr>
                <w:sz w:val="19"/>
              </w:rPr>
            </w:r>
            <w:r>
              <w:rPr>
                <w:sz w:val="19"/>
              </w:rPr>
              <w:t xml:space="preserve">fuerza del instrumento (primera etapa, F); la exclusión </w:t>
            </w:r>
            <w:r>
              <w:rPr>
                <w:b/>
                <w:sz w:val="19"/>
              </w:rPr>
              <w:t>no es testeable</w:t>
            </w:r>
            <w:r>
              <w:rPr>
                <w:sz w:val="19"/>
              </w:rPr>
              <w:t xml:space="preserve"> → argumentar por diseño</w:t>
            </w:r>
          </w:p>
        </w:tc>
      </w:tr>
      <w:tr>
        <w:tc>
          <w:tcPr>
            <w:tcW w:type="dxa" w:w="3249"/>
            <w:tcMar>
              <w:top w:w="60" w:type="dxa"/>
              <w:bottom w:w="60" w:type="dxa"/>
              <w:start w:w="110" w:type="dxa"/>
              <w:end w:w="110" w:type="dxa"/>
            </w:tcMar>
            <w:vAlign w:val="center"/>
            <w:shd w:val="clear" w:color="auto" w:fill="FCEDEE"/>
          </w:tcPr>
          <w:p>
            <w:pPr>
              <w:spacing w:after="0"/>
            </w:pPr>
            <w:r>
              <w:rPr>
                <w:sz w:val="19"/>
              </w:rPr>
            </w:r>
            <w:r>
              <w:rPr>
                <w:b/>
                <w:sz w:val="19"/>
              </w:rPr>
              <w:t>A/B / RCT</w:t>
            </w:r>
            <w:r>
              <w:rPr>
                <w:sz w:val="19"/>
              </w:rPr>
              <w:t xml:space="preserve"> (patrón oro)</w:t>
            </w:r>
          </w:p>
        </w:tc>
        <w:tc>
          <w:tcPr>
            <w:tcW w:type="dxa" w:w="3249"/>
            <w:tcMar>
              <w:top w:w="60" w:type="dxa"/>
              <w:bottom w:w="60" w:type="dxa"/>
              <w:start w:w="110" w:type="dxa"/>
              <w:end w:w="110" w:type="dxa"/>
            </w:tcMar>
            <w:vAlign w:val="center"/>
            <w:shd w:val="clear" w:color="auto" w:fill="FCEDEE"/>
          </w:tcPr>
          <w:p>
            <w:pPr>
              <w:spacing w:after="0"/>
            </w:pPr>
            <w:r>
              <w:rPr>
                <w:sz w:val="19"/>
              </w:rPr>
            </w:r>
            <w:r>
              <w:rPr>
                <w:sz w:val="19"/>
              </w:rPr>
              <w:t xml:space="preserve">ignorabilidad </w:t>
            </w:r>
            <w:r>
              <w:rPr>
                <w:b/>
                <w:sz w:val="19"/>
              </w:rPr>
              <w:t>por diseño</w:t>
            </w:r>
            <w:r>
              <w:rPr>
                <w:sz w:val="19"/>
              </w:rPr>
              <w:t xml:space="preserve"> (aleatorización)</w:t>
            </w:r>
          </w:p>
        </w:tc>
        <w:tc>
          <w:tcPr>
            <w:tcW w:type="dxa" w:w="3249"/>
            <w:tcMar>
              <w:top w:w="60" w:type="dxa"/>
              <w:bottom w:w="60" w:type="dxa"/>
              <w:start w:w="110" w:type="dxa"/>
              <w:end w:w="110" w:type="dxa"/>
            </w:tcMar>
            <w:vAlign w:val="center"/>
            <w:shd w:val="clear" w:color="auto" w:fill="FCEDEE"/>
          </w:tcPr>
          <w:p>
            <w:pPr>
              <w:spacing w:after="0"/>
            </w:pPr>
            <w:r>
              <w:rPr>
                <w:sz w:val="19"/>
              </w:rPr>
            </w:r>
            <w:r>
              <w:rPr>
                <w:sz w:val="19"/>
              </w:rPr>
              <w:t>verificación del balance basal entre brazos; poder / MDE (enlace S02)</w:t>
            </w:r>
          </w:p>
        </w:tc>
      </w:tr>
    </w:tbl>
    <w:p>
      <w:pPr>
        <w:spacing w:after="40"/>
      </w:pPr>
    </w:p>
    <w:p>
      <w:pPr>
        <w:spacing w:before="80" w:after="160" w:line="288" w:lineRule="auto"/>
        <w:ind w:left="85" w:right="85"/>
        <w:shd w:val="clear" w:color="auto" w:fill="F4F4F4"/>
        <w:pBdr>
          <w:left w:val="single" w:sz="24" w:space="10" w:color="E4002B"/>
        </w:pBdr>
      </w:pPr>
      <w:r>
        <w:rPr>
          <w:b/>
          <w:color w:val="2D2D2D"/>
        </w:rPr>
        <w:t>Lectura:</w:t>
      </w:r>
      <w:r>
        <w:rPr>
          <w:color w:val="2D2D2D"/>
        </w:rPr>
        <w:t xml:space="preserve"> la ignorabilidad </w:t>
      </w:r>
      <w:r>
        <w:rPr>
          <w:b/>
          <w:color w:val="2D2D2D"/>
        </w:rPr>
        <w:t>falla en silencio</w:t>
      </w:r>
      <w:r>
        <w:rPr>
          <w:color w:val="2D2D2D"/>
        </w:rPr>
        <w:t xml:space="preserve"> si existe un confounder </w:t>
      </w:r>
      <w:r>
        <w:rPr>
          <w:b/>
          <w:color w:val="2D2D2D"/>
        </w:rPr>
        <w:t>no medido</w:t>
      </w:r>
      <w:r>
        <w:rPr>
          <w:color w:val="2D2D2D"/>
        </w:rPr>
        <w:t xml:space="preserve"> (p. ej. la «intención de irse» del cliente): ninguna regresión ni matching lo corrige. Por eso el supuesto se declara, se estresa con las refutaciones (paso e) y, cuando es dudoso, se recomienda un experimento confirmatorio (paso f). El soporte común es la condición tangible: si un tipo de cliente </w:t>
      </w:r>
      <w:r>
        <w:rPr>
          <w:b/>
          <w:color w:val="2D2D2D"/>
        </w:rPr>
        <w:t>siempre</w:t>
      </w:r>
      <w:r>
        <w:rPr>
          <w:color w:val="2D2D2D"/>
        </w:rPr>
        <w:t xml:space="preserve"> recibe el tratamiento (</w:t>
      </w:r>
      <w:r>
        <w:rPr>
          <w:rFonts w:ascii="Consolas" w:hAnsi="Consolas"/>
          <w:color w:val="2D2D2D"/>
          <w:sz w:val="19"/>
        </w:rPr>
        <w:t>e(X)≈1</w:t>
      </w:r>
      <w:r>
        <w:rPr>
          <w:color w:val="2D2D2D"/>
        </w:rPr>
        <w:t xml:space="preserve">), su efecto </w:t>
      </w:r>
      <w:r>
        <w:rPr>
          <w:b/>
          <w:color w:val="2D2D2D"/>
        </w:rPr>
        <w:t>no es estimable</w:t>
      </w:r>
      <w:r>
        <w:rPr>
          <w:color w:val="2D2D2D"/>
        </w:rPr>
        <w:t>.</w:t>
      </w:r>
    </w:p>
    <w:p>
      <w:pPr>
        <w:keepNext/>
        <w:spacing w:before="240" w:after="60"/>
        <w:pBdr>
          <w:bottom w:val="single" w:sz="6" w:space="2" w:color="E4002B"/>
        </w:pBdr>
      </w:pPr>
      <w:r>
        <w:rPr>
          <w:b/>
          <w:color w:val="E4002B"/>
          <w:sz w:val="30"/>
        </w:rPr>
        <w:t>(d) Estimación — método, efecto e intervalo de confianza</w:t>
      </w:r>
    </w:p>
    <w:p>
      <w:pPr>
        <w:jc w:val="both"/>
      </w:pPr>
      <w:r>
        <w:t xml:space="preserve">Se estima el efecto </w:t>
      </w:r>
      <w:r>
        <w:rPr>
          <w:b/>
        </w:rPr>
        <w:t>siempre</w:t>
      </w:r>
      <w:r>
        <w:t xml:space="preserve"> con su medida de incertidumbre. En datos observacionales se reporta </w:t>
      </w:r>
      <w:r>
        <w:rPr>
          <w:b/>
        </w:rPr>
        <w:t>también el estimador naive</w:t>
      </w:r>
      <w:r>
        <w:t xml:space="preserve"> (diferencia de medias sin ajuste) como contraste de cuánto corrige el ajuste.</w:t>
      </w:r>
    </w:p>
    <w:tbl>
      <w:tblPr>
        <w:tblStyle w:val="TableGrid"/>
        <w:tblW w:type="auto" w:w="0"/>
        <w:tblLayout w:type="autofit"/>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Pr>
      <w:tblGrid>
        <w:gridCol w:w="1949"/>
        <w:gridCol w:w="1949"/>
        <w:gridCol w:w="1949"/>
        <w:gridCol w:w="1949"/>
        <w:gridCol w:w="1949"/>
      </w:tblGrid>
      <w:tr>
        <w:tc>
          <w:tcPr>
            <w:tcW w:type="dxa" w:w="1949"/>
            <w:tcMar>
              <w:top w:w="60" w:type="dxa"/>
              <w:bottom w:w="60" w:type="dxa"/>
              <w:start w:w="110" w:type="dxa"/>
              <w:end w:w="110" w:type="dxa"/>
            </w:tcMar>
            <w:vAlign w:val="center"/>
            <w:shd w:val="clear" w:color="auto" w:fill="E4002B"/>
          </w:tcPr>
          <w:p>
            <w:pPr>
              <w:spacing w:after="0"/>
            </w:pPr>
            <w:r/>
            <w:r>
              <w:rPr>
                <w:b/>
                <w:color w:val="FFFFFF"/>
                <w:sz w:val="19"/>
              </w:rPr>
              <w:t>Estimación</w:t>
            </w:r>
          </w:p>
        </w:tc>
        <w:tc>
          <w:tcPr>
            <w:tcW w:type="dxa" w:w="1949"/>
            <w:tcMar>
              <w:top w:w="60" w:type="dxa"/>
              <w:bottom w:w="60" w:type="dxa"/>
              <w:start w:w="110" w:type="dxa"/>
              <w:end w:w="110" w:type="dxa"/>
            </w:tcMar>
            <w:vAlign w:val="center"/>
            <w:shd w:val="clear" w:color="auto" w:fill="E4002B"/>
          </w:tcPr>
          <w:p>
            <w:pPr>
              <w:spacing w:after="0"/>
            </w:pPr>
            <w:r/>
            <w:r>
              <w:rPr>
                <w:b/>
                <w:color w:val="FFFFFF"/>
                <w:sz w:val="19"/>
              </w:rPr>
              <w:t>Método</w:t>
            </w:r>
          </w:p>
        </w:tc>
        <w:tc>
          <w:tcPr>
            <w:tcW w:type="dxa" w:w="1949"/>
            <w:tcMar>
              <w:top w:w="60" w:type="dxa"/>
              <w:bottom w:w="60" w:type="dxa"/>
              <w:start w:w="110" w:type="dxa"/>
              <w:end w:w="110" w:type="dxa"/>
            </w:tcMar>
            <w:vAlign w:val="center"/>
            <w:shd w:val="clear" w:color="auto" w:fill="E4002B"/>
          </w:tcPr>
          <w:p>
            <w:pPr>
              <w:spacing w:after="0"/>
            </w:pPr>
            <w:r/>
            <w:r>
              <w:rPr>
                <w:b/>
                <w:color w:val="FFFFFF"/>
                <w:sz w:val="19"/>
              </w:rPr>
              <w:t>Punto estimado</w:t>
            </w:r>
          </w:p>
        </w:tc>
        <w:tc>
          <w:tcPr>
            <w:tcW w:type="dxa" w:w="1949"/>
            <w:tcMar>
              <w:top w:w="60" w:type="dxa"/>
              <w:bottom w:w="60" w:type="dxa"/>
              <w:start w:w="110" w:type="dxa"/>
              <w:end w:w="110" w:type="dxa"/>
            </w:tcMar>
            <w:vAlign w:val="center"/>
            <w:shd w:val="clear" w:color="auto" w:fill="E4002B"/>
          </w:tcPr>
          <w:p>
            <w:pPr>
              <w:spacing w:after="0"/>
            </w:pPr>
            <w:r/>
            <w:r>
              <w:rPr>
                <w:b/>
                <w:color w:val="FFFFFF"/>
                <w:sz w:val="19"/>
              </w:rPr>
              <w:t>IC 95 %</w:t>
            </w:r>
          </w:p>
        </w:tc>
        <w:tc>
          <w:tcPr>
            <w:tcW w:type="dxa" w:w="1949"/>
            <w:tcMar>
              <w:top w:w="60" w:type="dxa"/>
              <w:bottom w:w="60" w:type="dxa"/>
              <w:start w:w="110" w:type="dxa"/>
              <w:end w:w="110" w:type="dxa"/>
            </w:tcMar>
            <w:vAlign w:val="center"/>
            <w:shd w:val="clear" w:color="auto" w:fill="E4002B"/>
          </w:tcPr>
          <w:p>
            <w:pPr>
              <w:spacing w:after="0"/>
            </w:pPr>
            <w:r/>
            <w:r>
              <w:rPr>
                <w:b/>
                <w:color w:val="FFFFFF"/>
                <w:sz w:val="19"/>
              </w:rPr>
              <w:t>Nota</w:t>
            </w:r>
          </w:p>
        </w:tc>
      </w:tr>
      <w:tr>
        <w:tc>
          <w:tcPr>
            <w:tcW w:type="dxa" w:w="1949"/>
            <w:tcMar>
              <w:top w:w="60" w:type="dxa"/>
              <w:bottom w:w="60" w:type="dxa"/>
              <w:start w:w="110" w:type="dxa"/>
              <w:end w:w="110" w:type="dxa"/>
            </w:tcMar>
            <w:vAlign w:val="center"/>
          </w:tcPr>
          <w:p>
            <w:pPr>
              <w:spacing w:after="0"/>
            </w:pPr>
            <w:r>
              <w:rPr>
                <w:sz w:val="19"/>
              </w:rPr>
            </w:r>
            <w:r>
              <w:rPr>
                <w:sz w:val="19"/>
              </w:rPr>
              <w:t>Naive (referencia)</w:t>
            </w:r>
          </w:p>
        </w:tc>
        <w:tc>
          <w:tcPr>
            <w:tcW w:type="dxa" w:w="1949"/>
            <w:tcMar>
              <w:top w:w="60" w:type="dxa"/>
              <w:bottom w:w="60" w:type="dxa"/>
              <w:start w:w="110" w:type="dxa"/>
              <w:end w:w="110" w:type="dxa"/>
            </w:tcMar>
            <w:vAlign w:val="center"/>
          </w:tcPr>
          <w:p>
            <w:pPr>
              <w:spacing w:after="0"/>
            </w:pPr>
            <w:r>
              <w:rPr>
                <w:sz w:val="19"/>
              </w:rPr>
            </w:r>
            <w:r>
              <w:rPr>
                <w:sz w:val="19"/>
              </w:rPr>
              <w:t>diferencia de medias sin ajuste</w:t>
            </w:r>
          </w:p>
        </w:tc>
        <w:tc>
          <w:tcPr>
            <w:tcW w:type="dxa" w:w="1949"/>
            <w:tcMar>
              <w:top w:w="60" w:type="dxa"/>
              <w:bottom w:w="60" w:type="dxa"/>
              <w:start w:w="110" w:type="dxa"/>
              <w:end w:w="110" w:type="dxa"/>
            </w:tcMar>
            <w:vAlign w:val="center"/>
          </w:tcPr>
          <w:p>
            <w:pPr>
              <w:spacing w:after="0"/>
            </w:pPr>
            <w:r>
              <w:rPr>
                <w:sz w:val="19"/>
              </w:rPr>
            </w:r>
          </w:p>
        </w:tc>
        <w:tc>
          <w:tcPr>
            <w:tcW w:type="dxa" w:w="1949"/>
            <w:tcMar>
              <w:top w:w="60" w:type="dxa"/>
              <w:bottom w:w="60" w:type="dxa"/>
              <w:start w:w="110" w:type="dxa"/>
              <w:end w:w="110" w:type="dxa"/>
            </w:tcMar>
            <w:vAlign w:val="center"/>
          </w:tcPr>
          <w:p>
            <w:pPr>
              <w:spacing w:after="0"/>
            </w:pPr>
            <w:r>
              <w:rPr>
                <w:sz w:val="19"/>
              </w:rPr>
            </w:r>
          </w:p>
        </w:tc>
        <w:tc>
          <w:tcPr>
            <w:tcW w:type="dxa" w:w="1949"/>
            <w:tcMar>
              <w:top w:w="60" w:type="dxa"/>
              <w:bottom w:w="60" w:type="dxa"/>
              <w:start w:w="110" w:type="dxa"/>
              <w:end w:w="110" w:type="dxa"/>
            </w:tcMar>
            <w:vAlign w:val="center"/>
          </w:tcPr>
          <w:p>
            <w:pPr>
              <w:spacing w:after="0"/>
            </w:pPr>
            <w:r>
              <w:rPr>
                <w:sz w:val="19"/>
              </w:rPr>
            </w:r>
            <w:r>
              <w:rPr>
                <w:sz w:val="19"/>
              </w:rPr>
              <w:t xml:space="preserve">insesgado </w:t>
            </w:r>
            <w:r>
              <w:rPr>
                <w:b/>
                <w:sz w:val="19"/>
              </w:rPr>
              <w:t>solo</w:t>
            </w:r>
            <w:r>
              <w:rPr>
                <w:sz w:val="19"/>
              </w:rPr>
              <w:t xml:space="preserve"> si hubo aleatorización</w:t>
            </w:r>
          </w:p>
        </w:tc>
      </w:tr>
      <w:tr>
        <w:tc>
          <w:tcPr>
            <w:tcW w:type="dxa" w:w="1949"/>
            <w:tcMar>
              <w:top w:w="60" w:type="dxa"/>
              <w:bottom w:w="60" w:type="dxa"/>
              <w:start w:w="110" w:type="dxa"/>
              <w:end w:w="110" w:type="dxa"/>
            </w:tcMar>
            <w:vAlign w:val="center"/>
            <w:shd w:val="clear" w:color="auto" w:fill="FCEDEE"/>
          </w:tcPr>
          <w:p>
            <w:pPr>
              <w:spacing w:after="0"/>
            </w:pPr>
            <w:r>
              <w:rPr>
                <w:sz w:val="19"/>
              </w:rPr>
            </w:r>
            <w:r>
              <w:rPr>
                <w:sz w:val="19"/>
              </w:rPr>
              <w:t>Ajustado (efecto causal)</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___ (regresión backdoor, PSM 1-NN, IPW, DoWhy, DiD, IV)</w:t>
            </w:r>
          </w:p>
        </w:tc>
        <w:tc>
          <w:tcPr>
            <w:tcW w:type="dxa" w:w="1949"/>
            <w:tcMar>
              <w:top w:w="60" w:type="dxa"/>
              <w:bottom w:w="60" w:type="dxa"/>
              <w:start w:w="110" w:type="dxa"/>
              <w:end w:w="110" w:type="dxa"/>
            </w:tcMar>
            <w:vAlign w:val="center"/>
            <w:shd w:val="clear" w:color="auto" w:fill="FCEDEE"/>
          </w:tcPr>
          <w:p>
            <w:pPr>
              <w:spacing w:after="0"/>
            </w:pPr>
            <w:r>
              <w:rPr>
                <w:sz w:val="19"/>
              </w:rPr>
            </w:r>
          </w:p>
        </w:tc>
        <w:tc>
          <w:tcPr>
            <w:tcW w:type="dxa" w:w="1949"/>
            <w:tcMar>
              <w:top w:w="60" w:type="dxa"/>
              <w:bottom w:w="60" w:type="dxa"/>
              <w:start w:w="110" w:type="dxa"/>
              <w:end w:w="110" w:type="dxa"/>
            </w:tcMar>
            <w:vAlign w:val="center"/>
            <w:shd w:val="clear" w:color="auto" w:fill="FCEDEE"/>
          </w:tcPr>
          <w:p>
            <w:pPr>
              <w:spacing w:after="0"/>
            </w:pPr>
            <w:r>
              <w:rPr>
                <w:sz w:val="19"/>
              </w:rPr>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el número que va a la decisión</w:t>
            </w:r>
          </w:p>
        </w:tc>
      </w:tr>
      <w:tr>
        <w:tc>
          <w:tcPr>
            <w:tcW w:type="dxa" w:w="1949"/>
            <w:tcMar>
              <w:top w:w="60" w:type="dxa"/>
              <w:bottom w:w="60" w:type="dxa"/>
              <w:start w:w="110" w:type="dxa"/>
              <w:end w:w="110" w:type="dxa"/>
            </w:tcMar>
            <w:vAlign w:val="center"/>
          </w:tcPr>
          <w:p>
            <w:pPr>
              <w:spacing w:after="0"/>
            </w:pPr>
            <w:r>
              <w:rPr>
                <w:sz w:val="19"/>
              </w:rPr>
            </w:r>
            <w:r>
              <w:rPr>
                <w:sz w:val="19"/>
              </w:rPr>
              <w:t>Benchmark publicado (si aplica)</w:t>
            </w:r>
          </w:p>
        </w:tc>
        <w:tc>
          <w:tcPr>
            <w:tcW w:type="dxa" w:w="1949"/>
            <w:tcMar>
              <w:top w:w="60" w:type="dxa"/>
              <w:bottom w:w="60" w:type="dxa"/>
              <w:start w:w="110" w:type="dxa"/>
              <w:end w:w="110" w:type="dxa"/>
            </w:tcMar>
            <w:vAlign w:val="center"/>
          </w:tcPr>
          <w:p>
            <w:pPr>
              <w:spacing w:after="0"/>
            </w:pPr>
            <w:r>
              <w:rPr>
                <w:sz w:val="19"/>
              </w:rPr>
            </w:r>
            <w:r>
              <w:rPr>
                <w:sz w:val="19"/>
              </w:rPr>
              <w:t>___ (paper / otro pipeline)</w:t>
            </w:r>
          </w:p>
        </w:tc>
        <w:tc>
          <w:tcPr>
            <w:tcW w:type="dxa" w:w="1949"/>
            <w:tcMar>
              <w:top w:w="60" w:type="dxa"/>
              <w:bottom w:w="60" w:type="dxa"/>
              <w:start w:w="110" w:type="dxa"/>
              <w:end w:w="110" w:type="dxa"/>
            </w:tcMar>
            <w:vAlign w:val="center"/>
          </w:tcPr>
          <w:p>
            <w:pPr>
              <w:spacing w:after="0"/>
            </w:pPr>
            <w:r>
              <w:rPr>
                <w:sz w:val="19"/>
              </w:rPr>
            </w:r>
          </w:p>
        </w:tc>
        <w:tc>
          <w:tcPr>
            <w:tcW w:type="dxa" w:w="1949"/>
            <w:tcMar>
              <w:top w:w="60" w:type="dxa"/>
              <w:bottom w:w="60" w:type="dxa"/>
              <w:start w:w="110" w:type="dxa"/>
              <w:end w:w="110" w:type="dxa"/>
            </w:tcMar>
            <w:vAlign w:val="center"/>
          </w:tcPr>
          <w:p>
            <w:pPr>
              <w:spacing w:after="0"/>
            </w:pPr>
            <w:r>
              <w:rPr>
                <w:sz w:val="19"/>
              </w:rPr>
            </w:r>
          </w:p>
        </w:tc>
        <w:tc>
          <w:tcPr>
            <w:tcW w:type="dxa" w:w="1949"/>
            <w:tcMar>
              <w:top w:w="60" w:type="dxa"/>
              <w:bottom w:w="60" w:type="dxa"/>
              <w:start w:w="110" w:type="dxa"/>
              <w:end w:w="110" w:type="dxa"/>
            </w:tcMar>
            <w:vAlign w:val="center"/>
          </w:tcPr>
          <w:p>
            <w:pPr>
              <w:spacing w:after="0"/>
            </w:pPr>
            <w:r>
              <w:rPr>
                <w:sz w:val="19"/>
              </w:rPr>
            </w:r>
            <w:r>
              <w:rPr>
                <w:b/>
                <w:sz w:val="19"/>
              </w:rPr>
              <w:t>etiquetado</w:t>
            </w:r>
            <w:r>
              <w:rPr>
                <w:sz w:val="19"/>
              </w:rPr>
              <w:t>, nunca mezclado como propio</w:t>
            </w:r>
          </w:p>
        </w:tc>
      </w:tr>
    </w:tbl>
    <w:p>
      <w:pPr>
        <w:spacing w:after="40"/>
      </w:pPr>
    </w:p>
    <w:p>
      <w:pPr>
        <w:spacing w:before="80" w:after="160" w:line="288" w:lineRule="auto"/>
        <w:ind w:left="85" w:right="85"/>
        <w:shd w:val="clear" w:color="auto" w:fill="F4F4F4"/>
        <w:pBdr>
          <w:left w:val="single" w:sz="24" w:space="10" w:color="E4002B"/>
        </w:pBdr>
      </w:pPr>
      <w:r>
        <w:rPr>
          <w:b/>
          <w:color w:val="2D2D2D"/>
        </w:rPr>
        <w:t>Lectura:</w:t>
      </w:r>
      <w:r>
        <w:rPr>
          <w:color w:val="2D2D2D"/>
        </w:rPr>
        <w:t xml:space="preserve"> un naive muy alejado del ajustado es </w:t>
      </w:r>
      <w:r>
        <w:rPr>
          <w:b/>
          <w:color w:val="2D2D2D"/>
        </w:rPr>
        <w:t>señal de confusión fuerte</w:t>
      </w:r>
      <w:r>
        <w:rPr>
          <w:color w:val="2D2D2D"/>
        </w:rPr>
        <w:t xml:space="preserve">, no de que el tratamiento sea malo (LaLonde: naive −$8.498 vs. experimental +$1.794 — cambio de signo por sesgo de selección). Más datos </w:t>
      </w:r>
      <w:r>
        <w:rPr>
          <w:b/>
          <w:color w:val="2D2D2D"/>
        </w:rPr>
        <w:t>no</w:t>
      </w:r>
      <w:r>
        <w:rPr>
          <w:color w:val="2D2D2D"/>
        </w:rPr>
        <w:t xml:space="preserve"> corrigen el sesgo: solo estrechan el IC alrededor del número equivocado. El punto estimado </w:t>
      </w:r>
      <w:r>
        <w:rPr>
          <w:b/>
          <w:color w:val="2D2D2D"/>
        </w:rPr>
        <w:t>nunca</w:t>
      </w:r>
      <w:r>
        <w:rPr>
          <w:color w:val="2D2D2D"/>
        </w:rPr>
        <w:t xml:space="preserve"> se comunica sin su IC. Toda cifra propia se marca </w:t>
      </w:r>
      <w:r>
        <w:rPr>
          <w:i/>
          <w:color w:val="2D2D2D"/>
        </w:rPr>
        <w:t>operativo = venv</w:t>
      </w:r>
      <w:r>
        <w:rPr>
          <w:color w:val="2D2D2D"/>
        </w:rPr>
        <w:t xml:space="preserve">; toda cifra de un paper u otro pipeline se marca como </w:t>
      </w:r>
      <w:r>
        <w:rPr>
          <w:i/>
          <w:color w:val="2D2D2D"/>
        </w:rPr>
        <w:t>benchmark publicado (fuente)</w:t>
      </w:r>
      <w:r>
        <w:rPr>
          <w:color w:val="2D2D2D"/>
        </w:rPr>
        <w:t>.</w:t>
      </w:r>
    </w:p>
    <w:p>
      <w:pPr>
        <w:keepNext/>
        <w:spacing w:before="240" w:after="60"/>
        <w:pBdr>
          <w:bottom w:val="single" w:sz="6" w:space="2" w:color="E4002B"/>
        </w:pBdr>
      </w:pPr>
      <w:r>
        <w:rPr>
          <w:b/>
          <w:color w:val="E4002B"/>
          <w:sz w:val="30"/>
        </w:rPr>
        <w:t>(e) Pruebas de robustez (refutación)</w:t>
      </w:r>
    </w:p>
    <w:p>
      <w:pPr>
        <w:jc w:val="both"/>
      </w:pPr>
      <w:r>
        <w:t xml:space="preserve">Como un efecto causal observacional </w:t>
      </w:r>
      <w:r>
        <w:rPr>
          <w:b/>
        </w:rPr>
        <w:t>no puede probarse</w:t>
      </w:r>
      <w:r>
        <w:t xml:space="preserve">, se </w:t>
      </w:r>
      <w:r>
        <w:rPr>
          <w:b/>
        </w:rPr>
        <w:t>refuta</w:t>
      </w:r>
      <w:r>
        <w:t xml:space="preserve">: se somete la estimación a pruebas que </w:t>
      </w:r>
      <w:r>
        <w:rPr>
          <w:b/>
        </w:rPr>
        <w:t>debería pasar</w:t>
      </w:r>
      <w:r>
        <w:t xml:space="preserve"> si es válida. Pasar las refutaciones </w:t>
      </w:r>
      <w:r>
        <w:rPr>
          <w:b/>
        </w:rPr>
        <w:t>sube la confianza</w:t>
      </w:r>
      <w:r>
        <w:t xml:space="preserve">, no demuestra causalidad; </w:t>
      </w:r>
      <w:r>
        <w:rPr>
          <w:b/>
        </w:rPr>
        <w:t>fallar cualquiera</w:t>
      </w:r>
      <w:r>
        <w:t xml:space="preserve"> invalida el análisis (revisar DAG / covariables / positividad).</w:t>
      </w:r>
    </w:p>
    <w:tbl>
      <w:tblPr>
        <w:tblStyle w:val="TableGrid"/>
        <w:tblW w:type="auto" w:w="0"/>
        <w:tblLayout w:type="autofit"/>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Pr>
      <w:tblGrid>
        <w:gridCol w:w="2436"/>
        <w:gridCol w:w="2436"/>
        <w:gridCol w:w="2436"/>
        <w:gridCol w:w="2436"/>
      </w:tblGrid>
      <w:tr>
        <w:tc>
          <w:tcPr>
            <w:tcW w:type="dxa" w:w="2436"/>
            <w:tcMar>
              <w:top w:w="60" w:type="dxa"/>
              <w:bottom w:w="60" w:type="dxa"/>
              <w:start w:w="110" w:type="dxa"/>
              <w:end w:w="110" w:type="dxa"/>
            </w:tcMar>
            <w:vAlign w:val="center"/>
            <w:shd w:val="clear" w:color="auto" w:fill="E4002B"/>
          </w:tcPr>
          <w:p>
            <w:pPr>
              <w:spacing w:after="0"/>
            </w:pPr>
            <w:r/>
            <w:r>
              <w:rPr>
                <w:b/>
                <w:color w:val="FFFFFF"/>
                <w:sz w:val="19"/>
              </w:rPr>
              <w:t>Refutación (DoWhy)</w:t>
            </w:r>
          </w:p>
        </w:tc>
        <w:tc>
          <w:tcPr>
            <w:tcW w:type="dxa" w:w="2436"/>
            <w:tcMar>
              <w:top w:w="60" w:type="dxa"/>
              <w:bottom w:w="60" w:type="dxa"/>
              <w:start w:w="110" w:type="dxa"/>
              <w:end w:w="110" w:type="dxa"/>
            </w:tcMar>
            <w:vAlign w:val="center"/>
            <w:shd w:val="clear" w:color="auto" w:fill="E4002B"/>
          </w:tcPr>
          <w:p>
            <w:pPr>
              <w:spacing w:after="0"/>
            </w:pPr>
            <w:r/>
            <w:r>
              <w:rPr>
                <w:b/>
                <w:color w:val="FFFFFF"/>
                <w:sz w:val="19"/>
              </w:rPr>
              <w:t>Qué hace</w:t>
            </w:r>
          </w:p>
        </w:tc>
        <w:tc>
          <w:tcPr>
            <w:tcW w:type="dxa" w:w="2436"/>
            <w:tcMar>
              <w:top w:w="60" w:type="dxa"/>
              <w:bottom w:w="60" w:type="dxa"/>
              <w:start w:w="110" w:type="dxa"/>
              <w:end w:w="110" w:type="dxa"/>
            </w:tcMar>
            <w:vAlign w:val="center"/>
            <w:shd w:val="clear" w:color="auto" w:fill="E4002B"/>
          </w:tcPr>
          <w:p>
            <w:pPr>
              <w:spacing w:after="0"/>
            </w:pPr>
            <w:r/>
            <w:r>
              <w:rPr>
                <w:b/>
                <w:color w:val="FFFFFF"/>
                <w:sz w:val="19"/>
              </w:rPr>
              <w:t>Qué debe salir</w:t>
            </w:r>
          </w:p>
        </w:tc>
        <w:tc>
          <w:tcPr>
            <w:tcW w:type="dxa" w:w="2436"/>
            <w:tcMar>
              <w:top w:w="60" w:type="dxa"/>
              <w:bottom w:w="60" w:type="dxa"/>
              <w:start w:w="110" w:type="dxa"/>
              <w:end w:w="110" w:type="dxa"/>
            </w:tcMar>
            <w:vAlign w:val="center"/>
            <w:shd w:val="clear" w:color="auto" w:fill="E4002B"/>
          </w:tcPr>
          <w:p>
            <w:pPr>
              <w:spacing w:after="0"/>
            </w:pPr>
            <w:r/>
            <w:r>
              <w:rPr>
                <w:b/>
                <w:color w:val="FFFFFF"/>
                <w:sz w:val="19"/>
              </w:rPr>
              <w:t>Resultado del caso</w:t>
            </w:r>
          </w:p>
        </w:tc>
      </w:tr>
      <w:tr>
        <w:tc>
          <w:tcPr>
            <w:tcW w:type="dxa" w:w="2436"/>
            <w:tcMar>
              <w:top w:w="60" w:type="dxa"/>
              <w:bottom w:w="60" w:type="dxa"/>
              <w:start w:w="110" w:type="dxa"/>
              <w:end w:w="110" w:type="dxa"/>
            </w:tcMar>
            <w:vAlign w:val="center"/>
          </w:tcPr>
          <w:p>
            <w:pPr>
              <w:spacing w:after="0"/>
            </w:pPr>
            <w:r>
              <w:rPr>
                <w:sz w:val="19"/>
              </w:rPr>
            </w:r>
            <w:r>
              <w:rPr>
                <w:b/>
                <w:sz w:val="19"/>
              </w:rPr>
              <w:t>Placebo treatment</w:t>
            </w:r>
          </w:p>
        </w:tc>
        <w:tc>
          <w:tcPr>
            <w:tcW w:type="dxa" w:w="2436"/>
            <w:tcMar>
              <w:top w:w="60" w:type="dxa"/>
              <w:bottom w:w="60" w:type="dxa"/>
              <w:start w:w="110" w:type="dxa"/>
              <w:end w:w="110" w:type="dxa"/>
            </w:tcMar>
            <w:vAlign w:val="center"/>
          </w:tcPr>
          <w:p>
            <w:pPr>
              <w:spacing w:after="0"/>
            </w:pPr>
            <w:r>
              <w:rPr>
                <w:sz w:val="19"/>
              </w:rPr>
            </w:r>
            <w:r>
              <w:rPr>
                <w:sz w:val="19"/>
              </w:rPr>
              <w:t xml:space="preserve">reemplaza </w:t>
            </w:r>
            <w:r>
              <w:rPr>
                <w:rFonts w:ascii="Consolas" w:hAnsi="Consolas"/>
                <w:color w:val="9B1B30"/>
                <w:sz w:val="19"/>
              </w:rPr>
              <w:t>T</w:t>
            </w:r>
            <w:r>
              <w:rPr>
                <w:sz w:val="19"/>
              </w:rPr>
              <w:t xml:space="preserve"> por uno falso (permutado)</w:t>
            </w:r>
          </w:p>
        </w:tc>
        <w:tc>
          <w:tcPr>
            <w:tcW w:type="dxa" w:w="2436"/>
            <w:tcMar>
              <w:top w:w="60" w:type="dxa"/>
              <w:bottom w:w="60" w:type="dxa"/>
              <w:start w:w="110" w:type="dxa"/>
              <w:end w:w="110" w:type="dxa"/>
            </w:tcMar>
            <w:vAlign w:val="center"/>
          </w:tcPr>
          <w:p>
            <w:pPr>
              <w:spacing w:after="0"/>
            </w:pPr>
            <w:r>
              <w:rPr>
                <w:sz w:val="19"/>
              </w:rPr>
            </w:r>
            <w:r>
              <w:rPr>
                <w:sz w:val="19"/>
              </w:rPr>
              <w:t xml:space="preserve">nuevo efecto </w:t>
            </w:r>
            <w:r>
              <w:rPr>
                <w:b/>
                <w:sz w:val="19"/>
              </w:rPr>
              <w:t>≈ 0</w:t>
            </w:r>
          </w:p>
        </w:tc>
        <w:tc>
          <w:tcPr>
            <w:tcW w:type="dxa" w:w="2436"/>
            <w:tcMar>
              <w:top w:w="60" w:type="dxa"/>
              <w:bottom w:w="60" w:type="dxa"/>
              <w:start w:w="110" w:type="dxa"/>
              <w:end w:w="110" w:type="dxa"/>
            </w:tcMar>
            <w:vAlign w:val="center"/>
          </w:tcPr>
          <w:p>
            <w:pPr>
              <w:spacing w:after="0"/>
            </w:pPr>
            <w:r>
              <w:rPr>
                <w:sz w:val="19"/>
              </w:rPr>
            </w:r>
          </w:p>
        </w:tc>
      </w:tr>
      <w:tr>
        <w:tc>
          <w:tcPr>
            <w:tcW w:type="dxa" w:w="2436"/>
            <w:tcMar>
              <w:top w:w="60" w:type="dxa"/>
              <w:bottom w:w="60" w:type="dxa"/>
              <w:start w:w="110" w:type="dxa"/>
              <w:end w:w="110" w:type="dxa"/>
            </w:tcMar>
            <w:vAlign w:val="center"/>
            <w:shd w:val="clear" w:color="auto" w:fill="FCEDEE"/>
          </w:tcPr>
          <w:p>
            <w:pPr>
              <w:spacing w:after="0"/>
            </w:pPr>
            <w:r>
              <w:rPr>
                <w:sz w:val="19"/>
              </w:rPr>
            </w:r>
            <w:r>
              <w:rPr>
                <w:b/>
                <w:sz w:val="19"/>
              </w:rPr>
              <w:t>Random common cause</w:t>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añade un confounder aleatorio</w:t>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 xml:space="preserve">nuevo efecto </w:t>
            </w:r>
            <w:r>
              <w:rPr>
                <w:b/>
                <w:sz w:val="19"/>
              </w:rPr>
              <w:t>≈ inalterado</w:t>
            </w:r>
          </w:p>
        </w:tc>
        <w:tc>
          <w:tcPr>
            <w:tcW w:type="dxa" w:w="2436"/>
            <w:tcMar>
              <w:top w:w="60" w:type="dxa"/>
              <w:bottom w:w="60" w:type="dxa"/>
              <w:start w:w="110" w:type="dxa"/>
              <w:end w:w="110" w:type="dxa"/>
            </w:tcMar>
            <w:vAlign w:val="center"/>
            <w:shd w:val="clear" w:color="auto" w:fill="FCEDEE"/>
          </w:tcPr>
          <w:p>
            <w:pPr>
              <w:spacing w:after="0"/>
            </w:pPr>
            <w:r>
              <w:rPr>
                <w:sz w:val="19"/>
              </w:rPr>
            </w:r>
          </w:p>
        </w:tc>
      </w:tr>
      <w:tr>
        <w:tc>
          <w:tcPr>
            <w:tcW w:type="dxa" w:w="2436"/>
            <w:tcMar>
              <w:top w:w="60" w:type="dxa"/>
              <w:bottom w:w="60" w:type="dxa"/>
              <w:start w:w="110" w:type="dxa"/>
              <w:end w:w="110" w:type="dxa"/>
            </w:tcMar>
            <w:vAlign w:val="center"/>
          </w:tcPr>
          <w:p>
            <w:pPr>
              <w:spacing w:after="0"/>
            </w:pPr>
            <w:r>
              <w:rPr>
                <w:sz w:val="19"/>
              </w:rPr>
            </w:r>
            <w:r>
              <w:rPr>
                <w:b/>
                <w:sz w:val="19"/>
              </w:rPr>
              <w:t>Data subset refuter</w:t>
            </w:r>
          </w:p>
        </w:tc>
        <w:tc>
          <w:tcPr>
            <w:tcW w:type="dxa" w:w="2436"/>
            <w:tcMar>
              <w:top w:w="60" w:type="dxa"/>
              <w:bottom w:w="60" w:type="dxa"/>
              <w:start w:w="110" w:type="dxa"/>
              <w:end w:w="110" w:type="dxa"/>
            </w:tcMar>
            <w:vAlign w:val="center"/>
          </w:tcPr>
          <w:p>
            <w:pPr>
              <w:spacing w:after="0"/>
            </w:pPr>
            <w:r>
              <w:rPr>
                <w:sz w:val="19"/>
              </w:rPr>
            </w:r>
            <w:r>
              <w:rPr>
                <w:sz w:val="19"/>
              </w:rPr>
              <w:t>re-estima en submuestras</w:t>
            </w:r>
          </w:p>
        </w:tc>
        <w:tc>
          <w:tcPr>
            <w:tcW w:type="dxa" w:w="2436"/>
            <w:tcMar>
              <w:top w:w="60" w:type="dxa"/>
              <w:bottom w:w="60" w:type="dxa"/>
              <w:start w:w="110" w:type="dxa"/>
              <w:end w:w="110" w:type="dxa"/>
            </w:tcMar>
            <w:vAlign w:val="center"/>
          </w:tcPr>
          <w:p>
            <w:pPr>
              <w:spacing w:after="0"/>
            </w:pPr>
            <w:r>
              <w:rPr>
                <w:sz w:val="19"/>
              </w:rPr>
            </w:r>
            <w:r>
              <w:rPr>
                <w:sz w:val="19"/>
              </w:rPr>
              <w:t xml:space="preserve">efecto </w:t>
            </w:r>
            <w:r>
              <w:rPr>
                <w:b/>
                <w:sz w:val="19"/>
              </w:rPr>
              <w:t>estable</w:t>
            </w:r>
          </w:p>
        </w:tc>
        <w:tc>
          <w:tcPr>
            <w:tcW w:type="dxa" w:w="2436"/>
            <w:tcMar>
              <w:top w:w="60" w:type="dxa"/>
              <w:bottom w:w="60" w:type="dxa"/>
              <w:start w:w="110" w:type="dxa"/>
              <w:end w:w="110" w:type="dxa"/>
            </w:tcMar>
            <w:vAlign w:val="center"/>
          </w:tcPr>
          <w:p>
            <w:pPr>
              <w:spacing w:after="0"/>
            </w:pPr>
            <w:r>
              <w:rPr>
                <w:sz w:val="19"/>
              </w:rPr>
            </w:r>
          </w:p>
        </w:tc>
      </w:tr>
      <w:tr>
        <w:tc>
          <w:tcPr>
            <w:tcW w:type="dxa" w:w="2436"/>
            <w:tcMar>
              <w:top w:w="60" w:type="dxa"/>
              <w:bottom w:w="60" w:type="dxa"/>
              <w:start w:w="110" w:type="dxa"/>
              <w:end w:w="110" w:type="dxa"/>
            </w:tcMar>
            <w:vAlign w:val="center"/>
            <w:shd w:val="clear" w:color="auto" w:fill="FCEDEE"/>
          </w:tcPr>
          <w:p>
            <w:pPr>
              <w:spacing w:after="0"/>
            </w:pPr>
            <w:r>
              <w:rPr>
                <w:sz w:val="19"/>
              </w:rPr>
            </w:r>
            <w:r>
              <w:rPr>
                <w:sz w:val="19"/>
              </w:rPr>
              <w:t>Sensibilidad a confounder no observado</w:t>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¿qué fuerza necesitaría un confounder omitido para anular el efecto?</w:t>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 xml:space="preserve">efecto </w:t>
            </w:r>
            <w:r>
              <w:rPr>
                <w:b/>
                <w:sz w:val="19"/>
              </w:rPr>
              <w:t>robusto</w:t>
            </w:r>
            <w:r>
              <w:rPr>
                <w:sz w:val="19"/>
              </w:rPr>
              <w:t xml:space="preserve"> a valores plausibles</w:t>
            </w:r>
          </w:p>
        </w:tc>
        <w:tc>
          <w:tcPr>
            <w:tcW w:type="dxa" w:w="2436"/>
            <w:tcMar>
              <w:top w:w="60" w:type="dxa"/>
              <w:bottom w:w="60" w:type="dxa"/>
              <w:start w:w="110" w:type="dxa"/>
              <w:end w:w="110" w:type="dxa"/>
            </w:tcMar>
            <w:vAlign w:val="center"/>
            <w:shd w:val="clear" w:color="auto" w:fill="FCEDEE"/>
          </w:tcPr>
          <w:p>
            <w:pPr>
              <w:spacing w:after="0"/>
            </w:pPr>
            <w:r>
              <w:rPr>
                <w:sz w:val="19"/>
              </w:rPr>
            </w:r>
          </w:p>
        </w:tc>
      </w:tr>
    </w:tbl>
    <w:p>
      <w:pPr>
        <w:spacing w:after="40"/>
      </w:pPr>
    </w:p>
    <w:p>
      <w:pPr>
        <w:spacing w:before="80" w:after="160" w:line="288" w:lineRule="auto"/>
        <w:ind w:left="85" w:right="85"/>
        <w:shd w:val="clear" w:color="auto" w:fill="F4F4F4"/>
        <w:pBdr>
          <w:left w:val="single" w:sz="24" w:space="10" w:color="E4002B"/>
        </w:pBdr>
      </w:pPr>
      <w:r>
        <w:rPr>
          <w:b/>
          <w:color w:val="2D2D2D"/>
        </w:rPr>
        <w:t>Lectura:</w:t>
      </w:r>
      <w:r>
        <w:rPr>
          <w:color w:val="2D2D2D"/>
        </w:rPr>
        <w:t xml:space="preserve"> «placebo new effect ≈ 0» es la señal </w:t>
      </w:r>
      <w:r>
        <w:rPr>
          <w:b/>
          <w:color w:val="2D2D2D"/>
        </w:rPr>
        <w:t>buena</w:t>
      </w:r>
      <w:r>
        <w:rPr>
          <w:color w:val="2D2D2D"/>
        </w:rPr>
        <w:t xml:space="preserve"> (el efecto desaparece cuando el tratamiento es falso), </w:t>
      </w:r>
      <w:r>
        <w:rPr>
          <w:b/>
          <w:color w:val="2D2D2D"/>
        </w:rPr>
        <w:t>no</w:t>
      </w:r>
      <w:r>
        <w:rPr>
          <w:color w:val="2D2D2D"/>
        </w:rPr>
        <w:t xml:space="preserve"> significa «no hay efecto real». Si el placebo da un efecto grande, la estimación captaba una asociación espuria → falla. Refutar es </w:t>
      </w:r>
      <w:r>
        <w:rPr>
          <w:b/>
          <w:color w:val="2D2D2D"/>
        </w:rPr>
        <w:t>intentar invalidar el resultado</w:t>
      </w:r>
      <w:r>
        <w:rPr>
          <w:color w:val="2D2D2D"/>
        </w:rPr>
        <w:t>, no confirmar: se comunica como robustez, nunca como prueba de causalidad.</w:t>
      </w:r>
    </w:p>
    <w:p>
      <w:pPr>
        <w:keepNext/>
        <w:spacing w:before="240" w:after="60"/>
        <w:pBdr>
          <w:bottom w:val="single" w:sz="6" w:space="2" w:color="E4002B"/>
        </w:pBdr>
      </w:pPr>
      <w:r>
        <w:rPr>
          <w:b/>
          <w:color w:val="E4002B"/>
          <w:sz w:val="30"/>
        </w:rPr>
        <w:t>(f) Decisión con incertidumbre</w:t>
      </w:r>
    </w:p>
    <w:p>
      <w:pPr>
        <w:jc w:val="both"/>
      </w:pPr>
      <w:r>
        <w:t>La recomendación combina tres piezas y solo si las tres se alinean se recomienda escalar.</w:t>
      </w:r>
    </w:p>
    <w:p>
      <w:pPr>
        <w:spacing w:after="40"/>
        <w:ind w:left="425" w:hanging="312"/>
        <w:jc w:val="both"/>
      </w:pPr>
      <w:r>
        <w:rPr>
          <w:b/>
          <w:color w:val="E4002B"/>
        </w:rPr>
        <w:t xml:space="preserve">1.  </w:t>
      </w:r>
      <w:r>
        <w:rPr>
          <w:b/>
        </w:rPr>
        <w:t>Magnitud vs. umbral de negocio</w:t>
      </w:r>
      <w:r>
        <w:t xml:space="preserve">: ¿el efecto ajustado supera el costo por unidad de la acción? → efecto = ______ — umbral de rentabilidad = ______. El </w:t>
      </w:r>
      <w:r>
        <w:rPr>
          <w:b/>
        </w:rPr>
        <w:t>breakeven</w:t>
      </w:r>
      <w:r>
        <w:t xml:space="preserve"> es el propio efecto ajustado: se escala solo si </w:t>
      </w:r>
      <w:r>
        <w:rPr>
          <w:rFonts w:ascii="Consolas" w:hAnsi="Consolas"/>
          <w:color w:val="9B1B30"/>
          <w:sz w:val="19"/>
        </w:rPr>
        <w:t>costo &lt; efecto</w:t>
      </w:r>
      <w:r>
        <w:t xml:space="preserve">; margen neto = </w:t>
      </w:r>
      <w:r>
        <w:rPr>
          <w:rFonts w:ascii="Consolas" w:hAnsi="Consolas"/>
          <w:color w:val="9B1B30"/>
          <w:sz w:val="19"/>
        </w:rPr>
        <w:t>efecto − costo</w:t>
      </w:r>
      <w:r>
        <w:t xml:space="preserve"> y </w:t>
      </w:r>
      <w:r>
        <w:rPr>
          <w:rFonts w:ascii="Consolas" w:hAnsi="Consolas"/>
          <w:color w:val="9B1B30"/>
          <w:sz w:val="19"/>
        </w:rPr>
        <w:t>ROI = margen / costo</w:t>
      </w:r>
      <w:r>
        <w:t xml:space="preserve">. </w:t>
      </w:r>
      <w:r>
        <w:rPr>
          <w:i/>
        </w:rPr>
        <w:t>(Ejemplo ilustrativo del caso: efecto +7,95 USD/cliente, costo 5 USD/contacto → margen +2,95, ROI ≈ 59 %.)</w:t>
      </w:r>
    </w:p>
    <w:p>
      <w:pPr>
        <w:spacing w:after="40"/>
        <w:ind w:left="425" w:hanging="312"/>
        <w:jc w:val="both"/>
      </w:pPr>
      <w:r>
        <w:rPr>
          <w:b/>
          <w:color w:val="E4002B"/>
        </w:rPr>
        <w:t xml:space="preserve">2.  </w:t>
      </w:r>
      <w:r>
        <w:rPr>
          <w:b/>
        </w:rPr>
        <w:t>Incertidumbre</w:t>
      </w:r>
      <w:r>
        <w:t xml:space="preserve">: ¿el IC 95 % </w:t>
      </w:r>
      <w:r>
        <w:rPr>
          <w:b/>
        </w:rPr>
        <w:t>excluye</w:t>
      </w:r>
      <w:r>
        <w:t xml:space="preserve"> el umbral de rentabilidad? → IC = [______, ______] — ¿excluye el umbral? ___.</w:t>
      </w:r>
    </w:p>
    <w:p>
      <w:pPr>
        <w:spacing w:after="40"/>
        <w:ind w:left="425" w:hanging="312"/>
        <w:jc w:val="both"/>
      </w:pPr>
      <w:r>
        <w:rPr>
          <w:b/>
          <w:color w:val="E4002B"/>
        </w:rPr>
        <w:t xml:space="preserve">3.  </w:t>
      </w:r>
      <w:r>
        <w:rPr>
          <w:b/>
        </w:rPr>
        <w:t>Credibilidad causal</w:t>
      </w:r>
      <w:r>
        <w:t>: soporte común (sí/no), balance logrado (|SMD| &lt; 0,1, ecuación (4)) (sí/no), refutaciones superadas (sí/no).</w:t>
      </w:r>
    </w:p>
    <w:p>
      <w:pPr>
        <w:spacing w:after="40"/>
        <w:ind w:left="425" w:hanging="312"/>
        <w:jc w:val="both"/>
      </w:pPr>
      <w:r>
        <w:rPr>
          <w:b/>
          <w:color w:val="E4002B"/>
        </w:rPr>
        <w:t xml:space="preserve">4.  </w:t>
      </w:r>
      <w:r>
        <w:rPr>
          <w:b/>
        </w:rPr>
        <w:t>Recomendación (frase para gerencia)</w:t>
      </w:r>
      <w:r>
        <w:t xml:space="preserve">: "El efecto causal estimado de </w:t>
      </w:r>
      <w:r>
        <w:rPr>
          <w:b/>
        </w:rPr>
        <w:t>[tratamiento]</w:t>
      </w:r>
      <w:r>
        <w:t xml:space="preserve"> sobre </w:t>
      </w:r>
      <w:r>
        <w:rPr>
          <w:b/>
        </w:rPr>
        <w:t>[resultado]</w:t>
      </w:r>
      <w:r>
        <w:t xml:space="preserve"> es de </w:t>
      </w:r>
      <w:r>
        <w:rPr>
          <w:b/>
        </w:rPr>
        <w:t>[efecto ajustado]</w:t>
      </w:r>
      <w:r>
        <w:t xml:space="preserve"> (IC 95 % </w:t>
      </w:r>
      <w:r>
        <w:rPr>
          <w:b/>
        </w:rPr>
        <w:t>[rango]</w:t>
      </w:r>
      <w:r>
        <w:t xml:space="preserve">), frente a un estimador naive de </w:t>
      </w:r>
      <w:r>
        <w:rPr>
          <w:b/>
        </w:rPr>
        <w:t>[naive]</w:t>
      </w:r>
      <w:r>
        <w:t xml:space="preserve"> contaminado por </w:t>
      </w:r>
      <w:r>
        <w:rPr>
          <w:b/>
        </w:rPr>
        <w:t>[confounder]</w:t>
      </w:r>
      <w:r>
        <w:t xml:space="preserve">. La estimación </w:t>
      </w:r>
      <w:r>
        <w:rPr>
          <w:b/>
        </w:rPr>
        <w:t>supera / no supera</w:t>
      </w:r>
      <w:r>
        <w:t xml:space="preserve"> el umbral de rentabilidad de </w:t>
      </w:r>
      <w:r>
        <w:rPr>
          <w:b/>
        </w:rPr>
        <w:t>[umbral]</w:t>
      </w:r>
      <w:r>
        <w:t xml:space="preserve"> y </w:t>
      </w:r>
      <w:r>
        <w:rPr>
          <w:b/>
        </w:rPr>
        <w:t>pasó / falló</w:t>
      </w:r>
      <w:r>
        <w:t xml:space="preserve"> las refutaciones (placebo ≈ 0, random common cause inalterado). Se recomienda </w:t>
      </w:r>
      <w:r>
        <w:rPr>
          <w:b/>
        </w:rPr>
        <w:t>escalar / no escalar / lanzar un A/B confirmatorio</w:t>
      </w:r>
      <w:r>
        <w:t xml:space="preserve"> antes de invertir a escala."</w:t>
      </w:r>
    </w:p>
    <w:p>
      <w:pPr>
        <w:spacing w:before="80" w:after="160" w:line="288" w:lineRule="auto"/>
        <w:ind w:left="85" w:right="85"/>
        <w:shd w:val="clear" w:color="auto" w:fill="F4F4F4"/>
        <w:pBdr>
          <w:left w:val="single" w:sz="24" w:space="10" w:color="E4002B"/>
        </w:pBdr>
      </w:pPr>
      <w:r>
        <w:rPr>
          <w:b/>
          <w:color w:val="2D2D2D"/>
        </w:rPr>
        <w:t>Regla de decisión:</w:t>
      </w:r>
      <w:r>
        <w:rPr>
          <w:color w:val="2D2D2D"/>
        </w:rPr>
        <w:t xml:space="preserve"> si el IC </w:t>
      </w:r>
      <w:r>
        <w:rPr>
          <w:b/>
          <w:color w:val="2D2D2D"/>
        </w:rPr>
        <w:t>incluye</w:t>
      </w:r>
      <w:r>
        <w:rPr>
          <w:color w:val="2D2D2D"/>
        </w:rPr>
        <w:t xml:space="preserve"> el umbral de rentabilidad, la acción prudente suele ser un </w:t>
      </w:r>
      <w:r>
        <w:rPr>
          <w:b/>
          <w:color w:val="2D2D2D"/>
        </w:rPr>
        <w:t>experimento confirmatorio (A/B)</w:t>
      </w:r>
      <w:r>
        <w:rPr>
          <w:color w:val="2D2D2D"/>
        </w:rPr>
        <w:t xml:space="preserve"> —el patrón oro— antes de comprometer inversión. Un efecto observacional (con supuestos) nunca se comunica con el mismo nivel de evidencia que uno experimental: se declara siempre el </w:t>
      </w:r>
      <w:r>
        <w:rPr>
          <w:b/>
          <w:color w:val="2D2D2D"/>
        </w:rPr>
        <w:t>nivel de evidencia</w:t>
      </w:r>
      <w:r>
        <w:rPr>
          <w:color w:val="2D2D2D"/>
        </w:rPr>
        <w:t>.</w:t>
      </w:r>
    </w:p>
    <w:p>
      <w:pPr>
        <w:keepNext/>
        <w:spacing w:before="240" w:after="60"/>
        <w:pBdr>
          <w:bottom w:val="single" w:sz="6" w:space="2" w:color="E4002B"/>
        </w:pBdr>
      </w:pPr>
      <w:r>
        <w:rPr>
          <w:b/>
          <w:color w:val="E4002B"/>
          <w:sz w:val="30"/>
        </w:rPr>
        <w:t>Ejemplo — operativos del venv (ETIQUETADOS)</w:t>
      </w:r>
    </w:p>
    <w:p>
      <w:pPr>
        <w:jc w:val="both"/>
      </w:pPr>
      <w:r>
        <w:t xml:space="preserve">Caso de negocio de la sesión: </w:t>
      </w:r>
      <w:r>
        <w:rPr>
          <w:b/>
        </w:rPr>
        <w:t>campaña de retención</w:t>
      </w:r>
      <w:r>
        <w:t xml:space="preserve"> sobre datos observacionales (DGP con semilla </w:t>
      </w:r>
      <w:r>
        <w:rPr>
          <w:rFonts w:ascii="Consolas" w:hAnsi="Consolas"/>
          <w:color w:val="9B1B30"/>
          <w:sz w:val="19"/>
        </w:rPr>
        <w:t>default_rng(20260719)</w:t>
      </w:r>
      <w:r>
        <w:t xml:space="preserve">, N = 5000, </w:t>
      </w:r>
      <w:r>
        <w:rPr>
          <w:b/>
        </w:rPr>
        <w:t>efecto verdadero ATE = 8,0</w:t>
      </w:r>
      <w:r>
        <w:t xml:space="preserve"> por diseño). El equipo de marketing contactó a los clientes más activos (</w:t>
      </w:r>
      <w:r>
        <w:rPr>
          <w:rFonts w:ascii="Consolas" w:hAnsi="Consolas"/>
          <w:color w:val="9B1B30"/>
          <w:sz w:val="19"/>
        </w:rPr>
        <w:t>engagement</w:t>
      </w:r>
      <w:r>
        <w:t xml:space="preserve">), que además valen más → </w:t>
      </w:r>
      <w:r>
        <w:rPr>
          <w:rFonts w:ascii="Consolas" w:hAnsi="Consolas"/>
          <w:color w:val="9B1B30"/>
          <w:sz w:val="19"/>
        </w:rPr>
        <w:t>engagement</w:t>
      </w:r>
      <w:r>
        <w:t xml:space="preserve"> es </w:t>
      </w:r>
      <w:r>
        <w:rPr>
          <w:b/>
        </w:rPr>
        <w:t>confounder</w:t>
      </w:r>
      <w:r>
        <w:t xml:space="preserve">. Valores </w:t>
      </w:r>
      <w:r>
        <w:rPr>
          <w:b/>
        </w:rPr>
        <w:t>operativos del venv</w:t>
      </w:r>
      <w:r>
        <w:t xml:space="preserve"> confirmados el 19/07/2026 (la ficha de la sesión de réplica del paper). Las celdas «(léase del Excel)» las completa el cuaderno al exportar a </w:t>
      </w:r>
      <w:r>
        <w:rPr>
          <w:rFonts w:ascii="Consolas" w:hAnsi="Consolas"/>
          <w:color w:val="9B1B30"/>
          <w:sz w:val="19"/>
        </w:rPr>
        <w:t>resultados/S12_resultados.xlsx</w:t>
      </w:r>
      <w:r>
        <w:t>.</w:t>
      </w:r>
    </w:p>
    <w:p>
      <w:pPr>
        <w:jc w:val="both"/>
      </w:pPr>
      <w:r>
        <w:rPr>
          <w:b/>
        </w:rPr>
        <w:t>(a) Pregunta y contrafactual.</w:t>
      </w:r>
      <w:r>
        <w:t xml:space="preserve"> Efecto de la </w:t>
      </w:r>
      <w:r>
        <w:rPr>
          <w:b/>
        </w:rPr>
        <w:t>campaña de retención</w:t>
      </w:r>
      <w:r>
        <w:t xml:space="preserve"> (</w:t>
      </w:r>
      <w:r>
        <w:rPr>
          <w:rFonts w:ascii="Consolas" w:hAnsi="Consolas"/>
          <w:color w:val="9B1B30"/>
          <w:sz w:val="19"/>
        </w:rPr>
        <w:t>campaign</w:t>
      </w:r>
      <w:r>
        <w:t xml:space="preserve">) sobre el </w:t>
      </w:r>
      <w:r>
        <w:rPr>
          <w:b/>
        </w:rPr>
        <w:t>valor incremental del cliente</w:t>
      </w:r>
      <w:r>
        <w:t xml:space="preserve"> (</w:t>
      </w:r>
      <w:r>
        <w:rPr>
          <w:rFonts w:ascii="Consolas" w:hAnsi="Consolas"/>
          <w:color w:val="9B1B30"/>
          <w:sz w:val="19"/>
        </w:rPr>
        <w:t>value</w:t>
      </w:r>
      <w:r>
        <w:t xml:space="preserve">) en los clientes contactados → estimando </w:t>
      </w:r>
      <w:r>
        <w:rPr>
          <w:b/>
        </w:rPr>
        <w:t>ATT</w:t>
      </w:r>
      <w:r>
        <w:t xml:space="preserve"> (≈ ATE, efecto homogéneo). Contrafactual: ¿qué valor habrían generado </w:t>
      </w:r>
      <w:r>
        <w:rPr>
          <w:b/>
        </w:rPr>
        <w:t>esos mismos</w:t>
      </w:r>
      <w:r>
        <w:t xml:space="preserve"> clientes sin campaña?</w:t>
      </w:r>
    </w:p>
    <w:p>
      <w:pPr>
        <w:jc w:val="both"/>
      </w:pPr>
      <w:r>
        <w:rPr>
          <w:b/>
        </w:rPr>
        <w:t>(b) DAG.</w:t>
      </w:r>
      <w:r>
        <w:t xml:space="preserve"> </w:t>
      </w:r>
      <w:r>
        <w:rPr>
          <w:rFonts w:ascii="Consolas" w:hAnsi="Consolas"/>
          <w:color w:val="9B1B30"/>
          <w:sz w:val="19"/>
        </w:rPr>
        <w:t>engagement → campaign</w:t>
      </w:r>
      <w:r>
        <w:t xml:space="preserve">, </w:t>
      </w:r>
      <w:r>
        <w:rPr>
          <w:rFonts w:ascii="Consolas" w:hAnsi="Consolas"/>
          <w:color w:val="9B1B30"/>
          <w:sz w:val="19"/>
        </w:rPr>
        <w:t>engagement → value</w:t>
      </w:r>
      <w:r>
        <w:t xml:space="preserve">, </w:t>
      </w:r>
      <w:r>
        <w:rPr>
          <w:rFonts w:ascii="Consolas" w:hAnsi="Consolas"/>
          <w:color w:val="9B1B30"/>
          <w:sz w:val="19"/>
        </w:rPr>
        <w:t>tenure → value</w:t>
      </w:r>
      <w:r>
        <w:t xml:space="preserve">, </w:t>
      </w:r>
      <w:r>
        <w:rPr>
          <w:rFonts w:ascii="Consolas" w:hAnsi="Consolas"/>
          <w:color w:val="9B1B30"/>
          <w:sz w:val="19"/>
        </w:rPr>
        <w:t>campaign → value</w:t>
      </w:r>
      <w:r>
        <w:t>.</w:t>
      </w:r>
    </w:p>
    <w:tbl>
      <w:tblPr>
        <w:tblStyle w:val="TableGrid"/>
        <w:tblW w:type="auto" w:w="0"/>
        <w:tblLayout w:type="autofit"/>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Pr>
      <w:tblGrid>
        <w:gridCol w:w="3249"/>
        <w:gridCol w:w="3249"/>
        <w:gridCol w:w="3249"/>
      </w:tblGrid>
      <w:tr>
        <w:tc>
          <w:tcPr>
            <w:tcW w:type="dxa" w:w="3249"/>
            <w:tcMar>
              <w:top w:w="60" w:type="dxa"/>
              <w:bottom w:w="60" w:type="dxa"/>
              <w:start w:w="110" w:type="dxa"/>
              <w:end w:w="110" w:type="dxa"/>
            </w:tcMar>
            <w:vAlign w:val="center"/>
            <w:shd w:val="clear" w:color="auto" w:fill="E4002B"/>
          </w:tcPr>
          <w:p>
            <w:pPr>
              <w:spacing w:after="0"/>
            </w:pPr>
            <w:r/>
            <w:r>
              <w:rPr>
                <w:b/>
                <w:color w:val="FFFFFF"/>
                <w:sz w:val="19"/>
              </w:rPr>
              <w:t>Variable</w:t>
            </w:r>
          </w:p>
        </w:tc>
        <w:tc>
          <w:tcPr>
            <w:tcW w:type="dxa" w:w="3249"/>
            <w:tcMar>
              <w:top w:w="60" w:type="dxa"/>
              <w:bottom w:w="60" w:type="dxa"/>
              <w:start w:w="110" w:type="dxa"/>
              <w:end w:w="110" w:type="dxa"/>
            </w:tcMar>
            <w:vAlign w:val="center"/>
            <w:shd w:val="clear" w:color="auto" w:fill="E4002B"/>
          </w:tcPr>
          <w:p>
            <w:pPr>
              <w:spacing w:after="0"/>
            </w:pPr>
            <w:r/>
            <w:r>
              <w:rPr>
                <w:b/>
                <w:color w:val="FFFFFF"/>
                <w:sz w:val="19"/>
              </w:rPr>
              <w:t>Rol</w:t>
            </w:r>
          </w:p>
        </w:tc>
        <w:tc>
          <w:tcPr>
            <w:tcW w:type="dxa" w:w="3249"/>
            <w:tcMar>
              <w:top w:w="60" w:type="dxa"/>
              <w:bottom w:w="60" w:type="dxa"/>
              <w:start w:w="110" w:type="dxa"/>
              <w:end w:w="110" w:type="dxa"/>
            </w:tcMar>
            <w:vAlign w:val="center"/>
            <w:shd w:val="clear" w:color="auto" w:fill="E4002B"/>
          </w:tcPr>
          <w:p>
            <w:pPr>
              <w:spacing w:after="0"/>
            </w:pPr>
            <w:r/>
            <w:r>
              <w:rPr>
                <w:b/>
                <w:color w:val="FFFFFF"/>
                <w:sz w:val="19"/>
              </w:rPr>
              <w:t>¿Se controla?</w:t>
            </w:r>
          </w:p>
        </w:tc>
      </w:tr>
      <w:tr>
        <w:tc>
          <w:tcPr>
            <w:tcW w:type="dxa" w:w="3249"/>
            <w:tcMar>
              <w:top w:w="60" w:type="dxa"/>
              <w:bottom w:w="60" w:type="dxa"/>
              <w:start w:w="110" w:type="dxa"/>
              <w:end w:w="110" w:type="dxa"/>
            </w:tcMar>
            <w:vAlign w:val="center"/>
          </w:tcPr>
          <w:p>
            <w:pPr>
              <w:spacing w:after="0"/>
            </w:pPr>
            <w:r>
              <w:rPr>
                <w:sz w:val="19"/>
              </w:rPr>
            </w:r>
            <w:r>
              <w:rPr>
                <w:rFonts w:ascii="Consolas" w:hAnsi="Consolas"/>
                <w:color w:val="9B1B30"/>
                <w:sz w:val="19"/>
              </w:rPr>
              <w:t>campaign</w:t>
            </w:r>
          </w:p>
        </w:tc>
        <w:tc>
          <w:tcPr>
            <w:tcW w:type="dxa" w:w="3249"/>
            <w:tcMar>
              <w:top w:w="60" w:type="dxa"/>
              <w:bottom w:w="60" w:type="dxa"/>
              <w:start w:w="110" w:type="dxa"/>
              <w:end w:w="110" w:type="dxa"/>
            </w:tcMar>
            <w:vAlign w:val="center"/>
          </w:tcPr>
          <w:p>
            <w:pPr>
              <w:spacing w:after="0"/>
            </w:pPr>
            <w:r>
              <w:rPr>
                <w:sz w:val="19"/>
              </w:rPr>
            </w:r>
            <w:r>
              <w:rPr>
                <w:sz w:val="19"/>
              </w:rPr>
              <w:t>tratamiento</w:t>
            </w:r>
          </w:p>
        </w:tc>
        <w:tc>
          <w:tcPr>
            <w:tcW w:type="dxa" w:w="3249"/>
            <w:tcMar>
              <w:top w:w="60" w:type="dxa"/>
              <w:bottom w:w="60" w:type="dxa"/>
              <w:start w:w="110" w:type="dxa"/>
              <w:end w:w="110" w:type="dxa"/>
            </w:tcMar>
            <w:vAlign w:val="center"/>
          </w:tcPr>
          <w:p>
            <w:pPr>
              <w:spacing w:after="0"/>
            </w:pPr>
            <w:r>
              <w:rPr>
                <w:sz w:val="19"/>
              </w:rPr>
            </w:r>
            <w:r>
              <w:rPr>
                <w:sz w:val="19"/>
              </w:rPr>
              <w:t>—</w:t>
            </w:r>
          </w:p>
        </w:tc>
      </w:tr>
      <w:tr>
        <w:tc>
          <w:tcPr>
            <w:tcW w:type="dxa" w:w="3249"/>
            <w:tcMar>
              <w:top w:w="60" w:type="dxa"/>
              <w:bottom w:w="60" w:type="dxa"/>
              <w:start w:w="110" w:type="dxa"/>
              <w:end w:w="110" w:type="dxa"/>
            </w:tcMar>
            <w:vAlign w:val="center"/>
            <w:shd w:val="clear" w:color="auto" w:fill="FCEDEE"/>
          </w:tcPr>
          <w:p>
            <w:pPr>
              <w:spacing w:after="0"/>
            </w:pPr>
            <w:r>
              <w:rPr>
                <w:sz w:val="19"/>
              </w:rPr>
            </w:r>
            <w:r>
              <w:rPr>
                <w:rFonts w:ascii="Consolas" w:hAnsi="Consolas"/>
                <w:color w:val="9B1B30"/>
                <w:sz w:val="19"/>
              </w:rPr>
              <w:t>value</w:t>
            </w:r>
          </w:p>
        </w:tc>
        <w:tc>
          <w:tcPr>
            <w:tcW w:type="dxa" w:w="3249"/>
            <w:tcMar>
              <w:top w:w="60" w:type="dxa"/>
              <w:bottom w:w="60" w:type="dxa"/>
              <w:start w:w="110" w:type="dxa"/>
              <w:end w:w="110" w:type="dxa"/>
            </w:tcMar>
            <w:vAlign w:val="center"/>
            <w:shd w:val="clear" w:color="auto" w:fill="FCEDEE"/>
          </w:tcPr>
          <w:p>
            <w:pPr>
              <w:spacing w:after="0"/>
            </w:pPr>
            <w:r>
              <w:rPr>
                <w:sz w:val="19"/>
              </w:rPr>
            </w:r>
            <w:r>
              <w:rPr>
                <w:sz w:val="19"/>
              </w:rPr>
              <w:t>resultado</w:t>
            </w:r>
          </w:p>
        </w:tc>
        <w:tc>
          <w:tcPr>
            <w:tcW w:type="dxa" w:w="3249"/>
            <w:tcMar>
              <w:top w:w="60" w:type="dxa"/>
              <w:bottom w:w="60" w:type="dxa"/>
              <w:start w:w="110" w:type="dxa"/>
              <w:end w:w="110" w:type="dxa"/>
            </w:tcMar>
            <w:vAlign w:val="center"/>
            <w:shd w:val="clear" w:color="auto" w:fill="FCEDEE"/>
          </w:tcPr>
          <w:p>
            <w:pPr>
              <w:spacing w:after="0"/>
            </w:pPr>
            <w:r>
              <w:rPr>
                <w:sz w:val="19"/>
              </w:rPr>
            </w:r>
            <w:r>
              <w:rPr>
                <w:sz w:val="19"/>
              </w:rPr>
              <w:t>—</w:t>
            </w:r>
          </w:p>
        </w:tc>
      </w:tr>
      <w:tr>
        <w:tc>
          <w:tcPr>
            <w:tcW w:type="dxa" w:w="3249"/>
            <w:tcMar>
              <w:top w:w="60" w:type="dxa"/>
              <w:bottom w:w="60" w:type="dxa"/>
              <w:start w:w="110" w:type="dxa"/>
              <w:end w:w="110" w:type="dxa"/>
            </w:tcMar>
            <w:vAlign w:val="center"/>
          </w:tcPr>
          <w:p>
            <w:pPr>
              <w:spacing w:after="0"/>
            </w:pPr>
            <w:r>
              <w:rPr>
                <w:sz w:val="19"/>
              </w:rPr>
            </w:r>
            <w:r>
              <w:rPr>
                <w:rFonts w:ascii="Consolas" w:hAnsi="Consolas"/>
                <w:color w:val="9B1B30"/>
                <w:sz w:val="19"/>
              </w:rPr>
              <w:t>engagement</w:t>
            </w:r>
          </w:p>
        </w:tc>
        <w:tc>
          <w:tcPr>
            <w:tcW w:type="dxa" w:w="3249"/>
            <w:tcMar>
              <w:top w:w="60" w:type="dxa"/>
              <w:bottom w:w="60" w:type="dxa"/>
              <w:start w:w="110" w:type="dxa"/>
              <w:end w:w="110" w:type="dxa"/>
            </w:tcMar>
            <w:vAlign w:val="center"/>
          </w:tcPr>
          <w:p>
            <w:pPr>
              <w:spacing w:after="0"/>
            </w:pPr>
            <w:r>
              <w:rPr>
                <w:sz w:val="19"/>
              </w:rPr>
            </w:r>
            <w:r>
              <w:rPr>
                <w:b/>
                <w:sz w:val="19"/>
              </w:rPr>
              <w:t>confounder</w:t>
            </w:r>
            <w:r>
              <w:rPr>
                <w:sz w:val="19"/>
              </w:rPr>
              <w:t xml:space="preserve"> (activa la campaña y sube el valor)</w:t>
            </w:r>
          </w:p>
        </w:tc>
        <w:tc>
          <w:tcPr>
            <w:tcW w:type="dxa" w:w="3249"/>
            <w:tcMar>
              <w:top w:w="60" w:type="dxa"/>
              <w:bottom w:w="60" w:type="dxa"/>
              <w:start w:w="110" w:type="dxa"/>
              <w:end w:w="110" w:type="dxa"/>
            </w:tcMar>
            <w:vAlign w:val="center"/>
          </w:tcPr>
          <w:p>
            <w:pPr>
              <w:spacing w:after="0"/>
            </w:pPr>
            <w:r>
              <w:rPr>
                <w:sz w:val="19"/>
              </w:rPr>
            </w:r>
            <w:r>
              <w:rPr>
                <w:b/>
                <w:sz w:val="19"/>
              </w:rPr>
              <w:t>Sí</w:t>
            </w:r>
          </w:p>
        </w:tc>
      </w:tr>
      <w:tr>
        <w:tc>
          <w:tcPr>
            <w:tcW w:type="dxa" w:w="3249"/>
            <w:tcMar>
              <w:top w:w="60" w:type="dxa"/>
              <w:bottom w:w="60" w:type="dxa"/>
              <w:start w:w="110" w:type="dxa"/>
              <w:end w:w="110" w:type="dxa"/>
            </w:tcMar>
            <w:vAlign w:val="center"/>
            <w:shd w:val="clear" w:color="auto" w:fill="FCEDEE"/>
          </w:tcPr>
          <w:p>
            <w:pPr>
              <w:spacing w:after="0"/>
            </w:pPr>
            <w:r>
              <w:rPr>
                <w:sz w:val="19"/>
              </w:rPr>
            </w:r>
            <w:r>
              <w:rPr>
                <w:rFonts w:ascii="Consolas" w:hAnsi="Consolas"/>
                <w:color w:val="9B1B30"/>
                <w:sz w:val="19"/>
              </w:rPr>
              <w:t>tenure</w:t>
            </w:r>
          </w:p>
        </w:tc>
        <w:tc>
          <w:tcPr>
            <w:tcW w:type="dxa" w:w="3249"/>
            <w:tcMar>
              <w:top w:w="60" w:type="dxa"/>
              <w:bottom w:w="60" w:type="dxa"/>
              <w:start w:w="110" w:type="dxa"/>
              <w:end w:w="110" w:type="dxa"/>
            </w:tcMar>
            <w:vAlign w:val="center"/>
            <w:shd w:val="clear" w:color="auto" w:fill="FCEDEE"/>
          </w:tcPr>
          <w:p>
            <w:pPr>
              <w:spacing w:after="0"/>
            </w:pPr>
            <w:r>
              <w:rPr>
                <w:sz w:val="19"/>
              </w:rPr>
            </w:r>
            <w:r>
              <w:rPr>
                <w:sz w:val="19"/>
              </w:rPr>
              <w:t xml:space="preserve">covariable de </w:t>
            </w:r>
            <w:r>
              <w:rPr>
                <w:b/>
                <w:sz w:val="19"/>
              </w:rPr>
              <w:t>precisión</w:t>
            </w:r>
            <w:r>
              <w:rPr>
                <w:sz w:val="19"/>
              </w:rPr>
              <w:t xml:space="preserve"> (afecta </w:t>
            </w:r>
            <w:r>
              <w:rPr>
                <w:rFonts w:ascii="Consolas" w:hAnsi="Consolas"/>
                <w:color w:val="9B1B30"/>
                <w:sz w:val="19"/>
              </w:rPr>
              <w:t>value</w:t>
            </w:r>
            <w:r>
              <w:rPr>
                <w:sz w:val="19"/>
              </w:rPr>
              <w:t xml:space="preserve">, no </w:t>
            </w:r>
            <w:r>
              <w:rPr>
                <w:rFonts w:ascii="Consolas" w:hAnsi="Consolas"/>
                <w:color w:val="9B1B30"/>
                <w:sz w:val="19"/>
              </w:rPr>
              <w:t>campaign</w:t>
            </w:r>
            <w:r>
              <w:rPr>
                <w:sz w:val="19"/>
              </w:rPr>
              <w:t>)</w:t>
            </w:r>
          </w:p>
        </w:tc>
        <w:tc>
          <w:tcPr>
            <w:tcW w:type="dxa" w:w="3249"/>
            <w:tcMar>
              <w:top w:w="60" w:type="dxa"/>
              <w:bottom w:w="60" w:type="dxa"/>
              <w:start w:w="110" w:type="dxa"/>
              <w:end w:w="110" w:type="dxa"/>
            </w:tcMar>
            <w:vAlign w:val="center"/>
            <w:shd w:val="clear" w:color="auto" w:fill="FCEDEE"/>
          </w:tcPr>
          <w:p>
            <w:pPr>
              <w:spacing w:after="0"/>
            </w:pPr>
            <w:r>
              <w:rPr>
                <w:sz w:val="19"/>
              </w:rPr>
            </w:r>
            <w:r>
              <w:rPr>
                <w:sz w:val="19"/>
              </w:rPr>
              <w:t>Opcional (mejora IC)</w:t>
            </w:r>
          </w:p>
        </w:tc>
      </w:tr>
      <w:tr>
        <w:tc>
          <w:tcPr>
            <w:tcW w:type="dxa" w:w="3249"/>
            <w:tcMar>
              <w:top w:w="60" w:type="dxa"/>
              <w:bottom w:w="60" w:type="dxa"/>
              <w:start w:w="110" w:type="dxa"/>
              <w:end w:w="110" w:type="dxa"/>
            </w:tcMar>
            <w:vAlign w:val="center"/>
          </w:tcPr>
          <w:p>
            <w:pPr>
              <w:spacing w:after="0"/>
            </w:pPr>
            <w:r>
              <w:rPr>
                <w:sz w:val="19"/>
              </w:rPr>
            </w:r>
            <w:r>
              <w:rPr>
                <w:sz w:val="19"/>
              </w:rPr>
              <w:t>(variante) collider</w:t>
            </w:r>
          </w:p>
        </w:tc>
        <w:tc>
          <w:tcPr>
            <w:tcW w:type="dxa" w:w="3249"/>
            <w:tcMar>
              <w:top w:w="60" w:type="dxa"/>
              <w:bottom w:w="60" w:type="dxa"/>
              <w:start w:w="110" w:type="dxa"/>
              <w:end w:w="110" w:type="dxa"/>
            </w:tcMar>
            <w:vAlign w:val="center"/>
          </w:tcPr>
          <w:p>
            <w:pPr>
              <w:spacing w:after="0"/>
            </w:pPr>
            <w:r>
              <w:rPr>
                <w:sz w:val="19"/>
              </w:rPr>
            </w:r>
            <w:r>
              <w:rPr>
                <w:sz w:val="19"/>
              </w:rPr>
              <w:t xml:space="preserve">efecto común de </w:t>
            </w:r>
            <w:r>
              <w:rPr>
                <w:rFonts w:ascii="Consolas" w:hAnsi="Consolas"/>
                <w:color w:val="9B1B30"/>
                <w:sz w:val="19"/>
              </w:rPr>
              <w:t>campaign</w:t>
            </w:r>
            <w:r>
              <w:rPr>
                <w:sz w:val="19"/>
              </w:rPr>
              <w:t xml:space="preserve"> y </w:t>
            </w:r>
            <w:r>
              <w:rPr>
                <w:rFonts w:ascii="Consolas" w:hAnsi="Consolas"/>
                <w:color w:val="9B1B30"/>
                <w:sz w:val="19"/>
              </w:rPr>
              <w:t>value</w:t>
            </w:r>
          </w:p>
        </w:tc>
        <w:tc>
          <w:tcPr>
            <w:tcW w:type="dxa" w:w="3249"/>
            <w:tcMar>
              <w:top w:w="60" w:type="dxa"/>
              <w:bottom w:w="60" w:type="dxa"/>
              <w:start w:w="110" w:type="dxa"/>
              <w:end w:w="110" w:type="dxa"/>
            </w:tcMar>
            <w:vAlign w:val="center"/>
          </w:tcPr>
          <w:p>
            <w:pPr>
              <w:spacing w:after="0"/>
            </w:pPr>
            <w:r>
              <w:rPr>
                <w:sz w:val="19"/>
              </w:rPr>
            </w:r>
            <w:r>
              <w:rPr>
                <w:b/>
                <w:sz w:val="19"/>
              </w:rPr>
              <w:t>No</w:t>
            </w:r>
            <w:r>
              <w:rPr>
                <w:sz w:val="19"/>
              </w:rPr>
              <w:t xml:space="preserve"> (controlarlo fabrica sesgo)</w:t>
            </w:r>
          </w:p>
        </w:tc>
      </w:tr>
    </w:tbl>
    <w:p>
      <w:pPr>
        <w:spacing w:after="40"/>
      </w:pPr>
    </w:p>
    <w:p>
      <w:pPr>
        <w:jc w:val="both"/>
      </w:pPr>
      <w:r>
        <w:rPr>
          <w:b/>
        </w:rPr>
        <w:t>(c) Identificación y supuesto.</w:t>
      </w:r>
      <w:r>
        <w:t xml:space="preserve"> Camino de puerta trasera: </w:t>
      </w:r>
      <w:r>
        <w:rPr>
          <w:rFonts w:ascii="Consolas" w:hAnsi="Consolas"/>
          <w:color w:val="9B1B30"/>
          <w:sz w:val="19"/>
        </w:rPr>
        <w:t>campaign ← engagement → value</w:t>
      </w:r>
      <w:r>
        <w:t xml:space="preserve">. </w:t>
      </w:r>
      <w:r>
        <w:rPr>
          <w:b/>
        </w:rPr>
        <w:t>Conjunto de ajuste = {engagement}</w:t>
      </w:r>
      <w:r>
        <w:t xml:space="preserve">. Método: backdoor (regresión / DoWhy </w:t>
      </w:r>
      <w:r>
        <w:rPr>
          <w:rFonts w:ascii="Consolas" w:hAnsi="Consolas"/>
          <w:color w:val="9B1B30"/>
          <w:sz w:val="19"/>
        </w:rPr>
        <w:t>backdoor.linear_regression</w:t>
      </w:r>
      <w:r>
        <w:t xml:space="preserve">). Supuesto: </w:t>
      </w:r>
      <w:r>
        <w:rPr>
          <w:b/>
        </w:rPr>
        <w:t>ignorabilidad</w:t>
      </w:r>
      <w:r>
        <w:t xml:space="preserve"> al condicionar en </w:t>
      </w:r>
      <w:r>
        <w:rPr>
          <w:rFonts w:ascii="Consolas" w:hAnsi="Consolas"/>
          <w:color w:val="9B1B30"/>
          <w:sz w:val="19"/>
        </w:rPr>
        <w:t>engagement</w:t>
      </w:r>
      <w:r>
        <w:t xml:space="preserve"> + soporte común.</w:t>
      </w:r>
    </w:p>
    <w:p>
      <w:pPr>
        <w:keepNext/>
        <w:spacing w:before="140" w:after="20"/>
      </w:pPr>
      <w:r>
        <w:rPr>
          <w:b/>
          <w:color w:val="9B1B30"/>
          <w:sz w:val="19"/>
          <w:spacing w:val="16"/>
        </w:rPr>
        <w:t>(D) ESTIMACIÓN.</w:t>
      </w:r>
    </w:p>
    <w:tbl>
      <w:tblPr>
        <w:tblStyle w:val="TableGrid"/>
        <w:tblW w:type="auto" w:w="0"/>
        <w:tblLayout w:type="autofit"/>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Pr>
      <w:tblGrid>
        <w:gridCol w:w="1949"/>
        <w:gridCol w:w="1949"/>
        <w:gridCol w:w="1949"/>
        <w:gridCol w:w="1949"/>
        <w:gridCol w:w="1949"/>
      </w:tblGrid>
      <w:tr>
        <w:tc>
          <w:tcPr>
            <w:tcW w:type="dxa" w:w="1949"/>
            <w:tcMar>
              <w:top w:w="60" w:type="dxa"/>
              <w:bottom w:w="60" w:type="dxa"/>
              <w:start w:w="110" w:type="dxa"/>
              <w:end w:w="110" w:type="dxa"/>
            </w:tcMar>
            <w:vAlign w:val="center"/>
            <w:shd w:val="clear" w:color="auto" w:fill="E4002B"/>
          </w:tcPr>
          <w:p>
            <w:pPr>
              <w:spacing w:after="0"/>
            </w:pPr>
            <w:r/>
            <w:r>
              <w:rPr>
                <w:b/>
                <w:color w:val="FFFFFF"/>
                <w:sz w:val="19"/>
              </w:rPr>
              <w:t>Estimación</w:t>
            </w:r>
          </w:p>
        </w:tc>
        <w:tc>
          <w:tcPr>
            <w:tcW w:type="dxa" w:w="1949"/>
            <w:tcMar>
              <w:top w:w="60" w:type="dxa"/>
              <w:bottom w:w="60" w:type="dxa"/>
              <w:start w:w="110" w:type="dxa"/>
              <w:end w:w="110" w:type="dxa"/>
            </w:tcMar>
            <w:vAlign w:val="center"/>
            <w:shd w:val="clear" w:color="auto" w:fill="E4002B"/>
          </w:tcPr>
          <w:p>
            <w:pPr>
              <w:spacing w:after="0"/>
            </w:pPr>
            <w:r/>
            <w:r>
              <w:rPr>
                <w:b/>
                <w:color w:val="FFFFFF"/>
                <w:sz w:val="19"/>
              </w:rPr>
              <w:t>Método</w:t>
            </w:r>
          </w:p>
        </w:tc>
        <w:tc>
          <w:tcPr>
            <w:tcW w:type="dxa" w:w="1949"/>
            <w:tcMar>
              <w:top w:w="60" w:type="dxa"/>
              <w:bottom w:w="60" w:type="dxa"/>
              <w:start w:w="110" w:type="dxa"/>
              <w:end w:w="110" w:type="dxa"/>
            </w:tcMar>
            <w:vAlign w:val="center"/>
            <w:shd w:val="clear" w:color="auto" w:fill="E4002B"/>
          </w:tcPr>
          <w:p>
            <w:pPr>
              <w:spacing w:after="0"/>
            </w:pPr>
            <w:r/>
            <w:r>
              <w:rPr>
                <w:b/>
                <w:color w:val="FFFFFF"/>
                <w:sz w:val="19"/>
              </w:rPr>
              <w:t>Punto estimado (operativo = venv)</w:t>
            </w:r>
          </w:p>
        </w:tc>
        <w:tc>
          <w:tcPr>
            <w:tcW w:type="dxa" w:w="1949"/>
            <w:tcMar>
              <w:top w:w="60" w:type="dxa"/>
              <w:bottom w:w="60" w:type="dxa"/>
              <w:start w:w="110" w:type="dxa"/>
              <w:end w:w="110" w:type="dxa"/>
            </w:tcMar>
            <w:vAlign w:val="center"/>
            <w:shd w:val="clear" w:color="auto" w:fill="E4002B"/>
          </w:tcPr>
          <w:p>
            <w:pPr>
              <w:spacing w:after="0"/>
            </w:pPr>
            <w:r/>
            <w:r>
              <w:rPr>
                <w:b/>
                <w:color w:val="FFFFFF"/>
                <w:sz w:val="19"/>
              </w:rPr>
              <w:t>IC 95 %</w:t>
            </w:r>
          </w:p>
        </w:tc>
        <w:tc>
          <w:tcPr>
            <w:tcW w:type="dxa" w:w="1949"/>
            <w:tcMar>
              <w:top w:w="60" w:type="dxa"/>
              <w:bottom w:w="60" w:type="dxa"/>
              <w:start w:w="110" w:type="dxa"/>
              <w:end w:w="110" w:type="dxa"/>
            </w:tcMar>
            <w:vAlign w:val="center"/>
            <w:shd w:val="clear" w:color="auto" w:fill="E4002B"/>
          </w:tcPr>
          <w:p>
            <w:pPr>
              <w:spacing w:after="0"/>
            </w:pPr>
            <w:r/>
            <w:r>
              <w:rPr>
                <w:b/>
                <w:color w:val="FFFFFF"/>
                <w:sz w:val="19"/>
              </w:rPr>
              <w:t>Etiqueta</w:t>
            </w:r>
          </w:p>
        </w:tc>
      </w:tr>
      <w:tr>
        <w:tc>
          <w:tcPr>
            <w:tcW w:type="dxa" w:w="1949"/>
            <w:tcMar>
              <w:top w:w="60" w:type="dxa"/>
              <w:bottom w:w="60" w:type="dxa"/>
              <w:start w:w="110" w:type="dxa"/>
              <w:end w:w="110" w:type="dxa"/>
            </w:tcMar>
            <w:vAlign w:val="center"/>
          </w:tcPr>
          <w:p>
            <w:pPr>
              <w:spacing w:after="0"/>
            </w:pPr>
            <w:r>
              <w:rPr>
                <w:sz w:val="19"/>
              </w:rPr>
            </w:r>
            <w:r>
              <w:rPr>
                <w:sz w:val="19"/>
              </w:rPr>
              <w:t>Verdadero (diseño)</w:t>
            </w:r>
          </w:p>
        </w:tc>
        <w:tc>
          <w:tcPr>
            <w:tcW w:type="dxa" w:w="1949"/>
            <w:tcMar>
              <w:top w:w="60" w:type="dxa"/>
              <w:bottom w:w="60" w:type="dxa"/>
              <w:start w:w="110" w:type="dxa"/>
              <w:end w:w="110" w:type="dxa"/>
            </w:tcMar>
            <w:vAlign w:val="center"/>
          </w:tcPr>
          <w:p>
            <w:pPr>
              <w:spacing w:after="0"/>
            </w:pPr>
            <w:r>
              <w:rPr>
                <w:sz w:val="19"/>
              </w:rPr>
            </w:r>
            <w:r>
              <w:rPr>
                <w:sz w:val="19"/>
              </w:rPr>
              <w:t>constante del DGP</w:t>
            </w:r>
          </w:p>
        </w:tc>
        <w:tc>
          <w:tcPr>
            <w:tcW w:type="dxa" w:w="1949"/>
            <w:tcMar>
              <w:top w:w="60" w:type="dxa"/>
              <w:bottom w:w="60" w:type="dxa"/>
              <w:start w:w="110" w:type="dxa"/>
              <w:end w:w="110" w:type="dxa"/>
            </w:tcMar>
            <w:vAlign w:val="center"/>
          </w:tcPr>
          <w:p>
            <w:pPr>
              <w:spacing w:after="0"/>
            </w:pPr>
            <w:r>
              <w:rPr>
                <w:sz w:val="19"/>
              </w:rPr>
            </w:r>
            <w:r>
              <w:rPr>
                <w:b/>
                <w:sz w:val="19"/>
              </w:rPr>
              <w:t>8,00</w:t>
            </w:r>
          </w:p>
        </w:tc>
        <w:tc>
          <w:tcPr>
            <w:tcW w:type="dxa" w:w="1949"/>
            <w:tcMar>
              <w:top w:w="60" w:type="dxa"/>
              <w:bottom w:w="60" w:type="dxa"/>
              <w:start w:w="110" w:type="dxa"/>
              <w:end w:w="110" w:type="dxa"/>
            </w:tcMar>
            <w:vAlign w:val="center"/>
          </w:tcPr>
          <w:p>
            <w:pPr>
              <w:spacing w:after="0"/>
            </w:pPr>
            <w:r>
              <w:rPr>
                <w:sz w:val="19"/>
              </w:rPr>
            </w:r>
            <w:r>
              <w:rPr>
                <w:sz w:val="19"/>
              </w:rPr>
              <w:t>—</w:t>
            </w:r>
          </w:p>
        </w:tc>
        <w:tc>
          <w:tcPr>
            <w:tcW w:type="dxa" w:w="1949"/>
            <w:tcMar>
              <w:top w:w="60" w:type="dxa"/>
              <w:bottom w:w="60" w:type="dxa"/>
              <w:start w:w="110" w:type="dxa"/>
              <w:end w:w="110" w:type="dxa"/>
            </w:tcMar>
            <w:vAlign w:val="center"/>
          </w:tcPr>
          <w:p>
            <w:pPr>
              <w:spacing w:after="0"/>
            </w:pPr>
            <w:r>
              <w:rPr>
                <w:sz w:val="19"/>
              </w:rPr>
            </w:r>
            <w:r>
              <w:rPr>
                <w:sz w:val="19"/>
              </w:rPr>
              <w:t>ancla dura (ATE = ATT)</w:t>
            </w:r>
          </w:p>
        </w:tc>
      </w:tr>
      <w:tr>
        <w:tc>
          <w:tcPr>
            <w:tcW w:type="dxa" w:w="1949"/>
            <w:tcMar>
              <w:top w:w="60" w:type="dxa"/>
              <w:bottom w:w="60" w:type="dxa"/>
              <w:start w:w="110" w:type="dxa"/>
              <w:end w:w="110" w:type="dxa"/>
            </w:tcMar>
            <w:vAlign w:val="center"/>
            <w:shd w:val="clear" w:color="auto" w:fill="FCEDEE"/>
          </w:tcPr>
          <w:p>
            <w:pPr>
              <w:spacing w:after="0"/>
            </w:pPr>
            <w:r>
              <w:rPr>
                <w:sz w:val="19"/>
              </w:rPr>
            </w:r>
            <w:r>
              <w:rPr>
                <w:sz w:val="19"/>
              </w:rPr>
              <w:t>Naive</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diferencia de medias</w:t>
            </w:r>
          </w:p>
        </w:tc>
        <w:tc>
          <w:tcPr>
            <w:tcW w:type="dxa" w:w="1949"/>
            <w:tcMar>
              <w:top w:w="60" w:type="dxa"/>
              <w:bottom w:w="60" w:type="dxa"/>
              <w:start w:w="110" w:type="dxa"/>
              <w:end w:w="110" w:type="dxa"/>
            </w:tcMar>
            <w:vAlign w:val="center"/>
            <w:shd w:val="clear" w:color="auto" w:fill="FCEDEE"/>
          </w:tcPr>
          <w:p>
            <w:pPr>
              <w:spacing w:after="0"/>
            </w:pPr>
            <w:r>
              <w:rPr>
                <w:sz w:val="19"/>
              </w:rPr>
            </w:r>
            <w:r>
              <w:rPr>
                <w:b/>
                <w:sz w:val="19"/>
              </w:rPr>
              <w:t>+23,64</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(léase del Excel)</w:t>
            </w:r>
          </w:p>
        </w:tc>
        <w:tc>
          <w:tcPr>
            <w:tcW w:type="dxa" w:w="1949"/>
            <w:tcMar>
              <w:top w:w="60" w:type="dxa"/>
              <w:bottom w:w="60" w:type="dxa"/>
              <w:start w:w="110" w:type="dxa"/>
              <w:end w:w="110" w:type="dxa"/>
            </w:tcMar>
            <w:vAlign w:val="center"/>
            <w:shd w:val="clear" w:color="auto" w:fill="FCEDEE"/>
          </w:tcPr>
          <w:p>
            <w:pPr>
              <w:spacing w:after="0"/>
            </w:pPr>
            <w:r>
              <w:rPr>
                <w:sz w:val="19"/>
              </w:rPr>
            </w:r>
            <w:r>
              <w:rPr>
                <w:i/>
                <w:sz w:val="19"/>
              </w:rPr>
              <w:t>operativo = venv</w:t>
            </w:r>
            <w:r>
              <w:rPr>
                <w:sz w:val="19"/>
              </w:rPr>
              <w:t xml:space="preserve"> — sesgado </w:t>
            </w:r>
            <w:r>
              <w:rPr>
                <w:b/>
                <w:sz w:val="19"/>
              </w:rPr>
              <w:t>al alza</w:t>
            </w:r>
            <w:r>
              <w:rPr>
                <w:sz w:val="19"/>
              </w:rPr>
              <w:t xml:space="preserve"> por </w:t>
            </w:r>
            <w:r>
              <w:rPr>
                <w:rFonts w:ascii="Consolas" w:hAnsi="Consolas"/>
                <w:color w:val="9B1B30"/>
                <w:sz w:val="19"/>
              </w:rPr>
              <w:t>engagement</w:t>
            </w:r>
          </w:p>
        </w:tc>
      </w:tr>
      <w:tr>
        <w:tc>
          <w:tcPr>
            <w:tcW w:type="dxa" w:w="1949"/>
            <w:tcMar>
              <w:top w:w="60" w:type="dxa"/>
              <w:bottom w:w="60" w:type="dxa"/>
              <w:start w:w="110" w:type="dxa"/>
              <w:end w:w="110" w:type="dxa"/>
            </w:tcMar>
            <w:vAlign w:val="center"/>
          </w:tcPr>
          <w:p>
            <w:pPr>
              <w:spacing w:after="0"/>
            </w:pPr>
            <w:r>
              <w:rPr>
                <w:sz w:val="19"/>
              </w:rPr>
            </w:r>
            <w:r>
              <w:rPr>
                <w:sz w:val="19"/>
              </w:rPr>
              <w:t>Ajustado (cifra de contrato)</w:t>
            </w:r>
          </w:p>
        </w:tc>
        <w:tc>
          <w:tcPr>
            <w:tcW w:type="dxa" w:w="1949"/>
            <w:tcMar>
              <w:top w:w="60" w:type="dxa"/>
              <w:bottom w:w="60" w:type="dxa"/>
              <w:start w:w="110" w:type="dxa"/>
              <w:end w:w="110" w:type="dxa"/>
            </w:tcMar>
            <w:vAlign w:val="center"/>
          </w:tcPr>
          <w:p>
            <w:pPr>
              <w:spacing w:after="0"/>
            </w:pPr>
            <w:r>
              <w:rPr>
                <w:sz w:val="19"/>
              </w:rPr>
            </w:r>
            <w:r>
              <w:rPr>
                <w:sz w:val="19"/>
              </w:rPr>
              <w:t xml:space="preserve">DoWhy </w:t>
            </w:r>
            <w:r>
              <w:rPr>
                <w:rFonts w:ascii="Consolas" w:hAnsi="Consolas"/>
                <w:color w:val="9B1B30"/>
                <w:sz w:val="19"/>
              </w:rPr>
              <w:t>backdoor.linear_regression</w:t>
            </w:r>
          </w:p>
        </w:tc>
        <w:tc>
          <w:tcPr>
            <w:tcW w:type="dxa" w:w="1949"/>
            <w:tcMar>
              <w:top w:w="60" w:type="dxa"/>
              <w:bottom w:w="60" w:type="dxa"/>
              <w:start w:w="110" w:type="dxa"/>
              <w:end w:w="110" w:type="dxa"/>
            </w:tcMar>
            <w:vAlign w:val="center"/>
          </w:tcPr>
          <w:p>
            <w:pPr>
              <w:spacing w:after="0"/>
            </w:pPr>
            <w:r>
              <w:rPr>
                <w:sz w:val="19"/>
              </w:rPr>
            </w:r>
            <w:r>
              <w:rPr>
                <w:b/>
                <w:sz w:val="19"/>
              </w:rPr>
              <w:t>+7,954</w:t>
            </w:r>
          </w:p>
        </w:tc>
        <w:tc>
          <w:tcPr>
            <w:tcW w:type="dxa" w:w="1949"/>
            <w:tcMar>
              <w:top w:w="60" w:type="dxa"/>
              <w:bottom w:w="60" w:type="dxa"/>
              <w:start w:w="110" w:type="dxa"/>
              <w:end w:w="110" w:type="dxa"/>
            </w:tcMar>
            <w:vAlign w:val="center"/>
          </w:tcPr>
          <w:p>
            <w:pPr>
              <w:spacing w:after="0"/>
            </w:pPr>
            <w:r>
              <w:rPr>
                <w:sz w:val="19"/>
              </w:rPr>
            </w:r>
            <w:r>
              <w:rPr>
                <w:sz w:val="19"/>
              </w:rPr>
              <w:t xml:space="preserve">(léase del Excel </w:t>
            </w:r>
            <w:r>
              <w:rPr>
                <w:rFonts w:ascii="Consolas" w:hAnsi="Consolas"/>
                <w:color w:val="9B1B30"/>
                <w:sz w:val="19"/>
              </w:rPr>
              <w:t>causal_did!B7</w:t>
            </w:r>
            <w:r>
              <w:rPr>
                <w:sz w:val="19"/>
              </w:rPr>
              <w:t>)</w:t>
            </w:r>
          </w:p>
        </w:tc>
        <w:tc>
          <w:tcPr>
            <w:tcW w:type="dxa" w:w="1949"/>
            <w:tcMar>
              <w:top w:w="60" w:type="dxa"/>
              <w:bottom w:w="60" w:type="dxa"/>
              <w:start w:w="110" w:type="dxa"/>
              <w:end w:w="110" w:type="dxa"/>
            </w:tcMar>
            <w:vAlign w:val="center"/>
          </w:tcPr>
          <w:p>
            <w:pPr>
              <w:spacing w:after="0"/>
            </w:pPr>
            <w:r>
              <w:rPr>
                <w:sz w:val="19"/>
              </w:rPr>
            </w:r>
            <w:r>
              <w:rPr>
                <w:i/>
                <w:sz w:val="19"/>
              </w:rPr>
              <w:t>operativo = venv</w:t>
            </w:r>
            <w:r>
              <w:rPr>
                <w:sz w:val="19"/>
              </w:rPr>
              <w:t xml:space="preserve"> — </w:t>
            </w:r>
            <w:r>
              <w:rPr>
                <w:b/>
                <w:sz w:val="19"/>
              </w:rPr>
              <w:t>recupera</w:t>
            </w:r>
            <w:r>
              <w:rPr>
                <w:sz w:val="19"/>
              </w:rPr>
              <w:t xml:space="preserve"> la verdad (la regresión OLS de ajuste da +7,85, </w:t>
            </w:r>
            <w:r>
              <w:rPr>
                <w:b/>
                <w:sz w:val="19"/>
              </w:rPr>
              <w:t>otro estimador</w:t>
            </w:r>
            <w:r>
              <w:rPr>
                <w:sz w:val="19"/>
              </w:rPr>
              <w:t xml:space="preserve"> no volcado al Excel)</w:t>
            </w:r>
          </w:p>
        </w:tc>
      </w:tr>
    </w:tbl>
    <w:p>
      <w:pPr>
        <w:spacing w:after="40"/>
      </w:pPr>
    </w:p>
    <w:p>
      <w:pPr>
        <w:keepNext/>
        <w:spacing w:before="140" w:after="20"/>
      </w:pPr>
      <w:r>
        <w:rPr>
          <w:b/>
          <w:color w:val="9B1B30"/>
          <w:sz w:val="19"/>
          <w:spacing w:val="16"/>
        </w:rPr>
        <w:t>(E) REFUTACIÓN.</w:t>
      </w:r>
    </w:p>
    <w:tbl>
      <w:tblPr>
        <w:tblStyle w:val="TableGrid"/>
        <w:tblW w:type="auto" w:w="0"/>
        <w:tblLayout w:type="autofit"/>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Pr>
      <w:tblGrid>
        <w:gridCol w:w="3249"/>
        <w:gridCol w:w="3249"/>
        <w:gridCol w:w="3249"/>
      </w:tblGrid>
      <w:tr>
        <w:tc>
          <w:tcPr>
            <w:tcW w:type="dxa" w:w="3249"/>
            <w:tcMar>
              <w:top w:w="60" w:type="dxa"/>
              <w:bottom w:w="60" w:type="dxa"/>
              <w:start w:w="110" w:type="dxa"/>
              <w:end w:w="110" w:type="dxa"/>
            </w:tcMar>
            <w:vAlign w:val="center"/>
            <w:shd w:val="clear" w:color="auto" w:fill="E4002B"/>
          </w:tcPr>
          <w:p>
            <w:pPr>
              <w:spacing w:after="0"/>
            </w:pPr>
            <w:r/>
            <w:r>
              <w:rPr>
                <w:b/>
                <w:color w:val="FFFFFF"/>
                <w:sz w:val="19"/>
              </w:rPr>
              <w:t>Refutación</w:t>
            </w:r>
          </w:p>
        </w:tc>
        <w:tc>
          <w:tcPr>
            <w:tcW w:type="dxa" w:w="3249"/>
            <w:tcMar>
              <w:top w:w="60" w:type="dxa"/>
              <w:bottom w:w="60" w:type="dxa"/>
              <w:start w:w="110" w:type="dxa"/>
              <w:end w:w="110" w:type="dxa"/>
            </w:tcMar>
            <w:vAlign w:val="center"/>
            <w:shd w:val="clear" w:color="auto" w:fill="E4002B"/>
          </w:tcPr>
          <w:p>
            <w:pPr>
              <w:spacing w:after="0"/>
            </w:pPr>
            <w:r/>
            <w:r>
              <w:rPr>
                <w:b/>
                <w:color w:val="FFFFFF"/>
                <w:sz w:val="19"/>
              </w:rPr>
              <w:t>Nuevo efecto (operativo = venv)</w:t>
            </w:r>
          </w:p>
        </w:tc>
        <w:tc>
          <w:tcPr>
            <w:tcW w:type="dxa" w:w="3249"/>
            <w:tcMar>
              <w:top w:w="60" w:type="dxa"/>
              <w:bottom w:w="60" w:type="dxa"/>
              <w:start w:w="110" w:type="dxa"/>
              <w:end w:w="110" w:type="dxa"/>
            </w:tcMar>
            <w:vAlign w:val="center"/>
            <w:shd w:val="clear" w:color="auto" w:fill="E4002B"/>
          </w:tcPr>
          <w:p>
            <w:pPr>
              <w:spacing w:after="0"/>
            </w:pPr>
            <w:r/>
            <w:r>
              <w:rPr>
                <w:b/>
                <w:color w:val="FFFFFF"/>
                <w:sz w:val="19"/>
              </w:rPr>
              <w:t>Lectura</w:t>
            </w:r>
          </w:p>
        </w:tc>
      </w:tr>
      <w:tr>
        <w:tc>
          <w:tcPr>
            <w:tcW w:type="dxa" w:w="3249"/>
            <w:tcMar>
              <w:top w:w="60" w:type="dxa"/>
              <w:bottom w:w="60" w:type="dxa"/>
              <w:start w:w="110" w:type="dxa"/>
              <w:end w:w="110" w:type="dxa"/>
            </w:tcMar>
            <w:vAlign w:val="center"/>
          </w:tcPr>
          <w:p>
            <w:pPr>
              <w:spacing w:after="0"/>
            </w:pPr>
            <w:r>
              <w:rPr>
                <w:sz w:val="19"/>
              </w:rPr>
            </w:r>
            <w:r>
              <w:rPr>
                <w:sz w:val="19"/>
              </w:rPr>
              <w:t>Placebo treatment (permute)</w:t>
            </w:r>
          </w:p>
        </w:tc>
        <w:tc>
          <w:tcPr>
            <w:tcW w:type="dxa" w:w="3249"/>
            <w:tcMar>
              <w:top w:w="60" w:type="dxa"/>
              <w:bottom w:w="60" w:type="dxa"/>
              <w:start w:w="110" w:type="dxa"/>
              <w:end w:w="110" w:type="dxa"/>
            </w:tcMar>
            <w:vAlign w:val="center"/>
          </w:tcPr>
          <w:p>
            <w:pPr>
              <w:spacing w:after="0"/>
            </w:pPr>
            <w:r>
              <w:rPr>
                <w:sz w:val="19"/>
              </w:rPr>
            </w:r>
            <w:r>
              <w:rPr>
                <w:b/>
                <w:sz w:val="19"/>
              </w:rPr>
              <w:t>≈ 0</w:t>
            </w:r>
            <w:r>
              <w:rPr>
                <w:sz w:val="19"/>
              </w:rPr>
              <w:t xml:space="preserve"> (−0,03)</w:t>
            </w:r>
          </w:p>
        </w:tc>
        <w:tc>
          <w:tcPr>
            <w:tcW w:type="dxa" w:w="3249"/>
            <w:tcMar>
              <w:top w:w="60" w:type="dxa"/>
              <w:bottom w:w="60" w:type="dxa"/>
              <w:start w:w="110" w:type="dxa"/>
              <w:end w:w="110" w:type="dxa"/>
            </w:tcMar>
            <w:vAlign w:val="center"/>
          </w:tcPr>
          <w:p>
            <w:pPr>
              <w:spacing w:after="0"/>
            </w:pPr>
            <w:r>
              <w:rPr>
                <w:sz w:val="19"/>
              </w:rPr>
            </w:r>
            <w:r>
              <w:rPr>
                <w:sz w:val="19"/>
              </w:rPr>
              <w:t>el efecto desaparece con tratamiento falso → bien</w:t>
            </w:r>
          </w:p>
        </w:tc>
      </w:tr>
      <w:tr>
        <w:tc>
          <w:tcPr>
            <w:tcW w:type="dxa" w:w="3249"/>
            <w:tcMar>
              <w:top w:w="60" w:type="dxa"/>
              <w:bottom w:w="60" w:type="dxa"/>
              <w:start w:w="110" w:type="dxa"/>
              <w:end w:w="110" w:type="dxa"/>
            </w:tcMar>
            <w:vAlign w:val="center"/>
            <w:shd w:val="clear" w:color="auto" w:fill="FCEDEE"/>
          </w:tcPr>
          <w:p>
            <w:pPr>
              <w:spacing w:after="0"/>
            </w:pPr>
            <w:r>
              <w:rPr>
                <w:sz w:val="19"/>
              </w:rPr>
            </w:r>
            <w:r>
              <w:rPr>
                <w:sz w:val="19"/>
              </w:rPr>
              <w:t>Random common cause</w:t>
            </w:r>
          </w:p>
        </w:tc>
        <w:tc>
          <w:tcPr>
            <w:tcW w:type="dxa" w:w="3249"/>
            <w:tcMar>
              <w:top w:w="60" w:type="dxa"/>
              <w:bottom w:w="60" w:type="dxa"/>
              <w:start w:w="110" w:type="dxa"/>
              <w:end w:w="110" w:type="dxa"/>
            </w:tcMar>
            <w:vAlign w:val="center"/>
            <w:shd w:val="clear" w:color="auto" w:fill="FCEDEE"/>
          </w:tcPr>
          <w:p>
            <w:pPr>
              <w:spacing w:after="0"/>
            </w:pPr>
            <w:r>
              <w:rPr>
                <w:sz w:val="19"/>
              </w:rPr>
            </w:r>
            <w:r>
              <w:rPr>
                <w:b/>
                <w:sz w:val="19"/>
              </w:rPr>
              <w:t>+7,95</w:t>
            </w:r>
            <w:r>
              <w:rPr>
                <w:sz w:val="19"/>
              </w:rPr>
              <w:t xml:space="preserve"> (≈ inalterado)</w:t>
            </w:r>
          </w:p>
        </w:tc>
        <w:tc>
          <w:tcPr>
            <w:tcW w:type="dxa" w:w="3249"/>
            <w:tcMar>
              <w:top w:w="60" w:type="dxa"/>
              <w:bottom w:w="60" w:type="dxa"/>
              <w:start w:w="110" w:type="dxa"/>
              <w:end w:w="110" w:type="dxa"/>
            </w:tcMar>
            <w:vAlign w:val="center"/>
            <w:shd w:val="clear" w:color="auto" w:fill="FCEDEE"/>
          </w:tcPr>
          <w:p>
            <w:pPr>
              <w:spacing w:after="0"/>
            </w:pPr>
            <w:r>
              <w:rPr>
                <w:sz w:val="19"/>
              </w:rPr>
            </w:r>
            <w:r>
              <w:rPr>
                <w:sz w:val="19"/>
              </w:rPr>
              <w:t>efecto robusto a un confounder aleatorio → bien</w:t>
            </w:r>
          </w:p>
        </w:tc>
      </w:tr>
    </w:tbl>
    <w:p>
      <w:pPr>
        <w:spacing w:after="40"/>
      </w:pPr>
    </w:p>
    <w:p>
      <w:pPr>
        <w:jc w:val="both"/>
      </w:pPr>
      <w:r>
        <w:rPr>
          <w:b/>
        </w:rPr>
        <w:t>(f) Decisión.</w:t>
      </w:r>
      <w:r>
        <w:t xml:space="preserve"> El ajustado (</w:t>
      </w:r>
      <w:r>
        <w:rPr>
          <w:b/>
        </w:rPr>
        <w:t>+7,954</w:t>
      </w:r>
      <w:r>
        <w:t xml:space="preserve"> de contrato, casi la verdad 8,0) refuta el naive inflado (+23,64): la mayor parte de la «brecha» entre contactados y no contactados era </w:t>
      </w:r>
      <w:r>
        <w:rPr>
          <w:b/>
        </w:rPr>
        <w:t>confusión</w:t>
      </w:r>
      <w:r>
        <w:t xml:space="preserve"> (</w:t>
      </w:r>
      <w:r>
        <w:rPr>
          <w:rFonts w:ascii="Consolas" w:hAnsi="Consolas"/>
          <w:color w:val="9B1B30"/>
          <w:sz w:val="19"/>
        </w:rPr>
        <w:t>engagement</w:t>
      </w:r>
      <w:r>
        <w:t>), no efecto de la campaña. El análisis pasa ambas refutaciones.</w:t>
      </w:r>
    </w:p>
    <w:p>
      <w:pPr>
        <w:jc w:val="both"/>
      </w:pPr>
      <w:r>
        <w:rPr>
          <w:b/>
        </w:rPr>
        <w:t>Cuenta de negocio — breakeven y ROI (costo por contacto ILUSTRATIVO, no cifra de contrato).</w:t>
      </w:r>
      <w:r>
        <w:t xml:space="preserve"> El efecto recupera </w:t>
      </w:r>
      <w:r>
        <w:rPr>
          <w:b/>
        </w:rPr>
        <w:t>+7,95 USD de valor incremental por cliente</w:t>
      </w:r>
      <w:r>
        <w:t xml:space="preserve">; ese valor es el </w:t>
      </w:r>
      <w:r>
        <w:rPr>
          <w:b/>
        </w:rPr>
        <w:t>punto de equilibrio (breakeven)</w:t>
      </w:r>
      <w:r>
        <w:t xml:space="preserve">: conviene escalar solo si el costo por contacto </w:t>
      </w:r>
      <w:r>
        <w:rPr>
          <w:rFonts w:ascii="Consolas" w:hAnsi="Consolas"/>
          <w:color w:val="9B1B30"/>
          <w:sz w:val="19"/>
        </w:rPr>
        <w:t>c</w:t>
      </w:r>
      <w:r>
        <w:t xml:space="preserve"> es </w:t>
      </w:r>
      <w:r>
        <w:rPr>
          <w:b/>
        </w:rPr>
        <w:t>menor</w:t>
      </w:r>
      <w:r>
        <w:t xml:space="preserve">. Con un costo ilustrativo </w:t>
      </w:r>
      <w:r>
        <w:rPr>
          <w:rFonts w:ascii="Consolas" w:hAnsi="Consolas"/>
          <w:color w:val="9B1B30"/>
          <w:sz w:val="19"/>
        </w:rPr>
        <w:t>c = 5 USD/contacto</w:t>
      </w:r>
      <w:r>
        <w:t xml:space="preserve"> (supuesto de cátedra, etiquetado):</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907"/>
        <w:gridCol w:w="7597"/>
        <w:gridCol w:w="907"/>
      </w:tblGrid>
      <w:tr>
        <w:tc>
          <w:tcPr>
            <w:tcW w:type="dxa" w:w="907"/>
            <w:tcMar>
              <w:top w:w="30" w:type="dxa"/>
              <w:bottom w:w="30" w:type="dxa"/>
              <w:start w:w="40" w:type="dxa"/>
              <w:end w:w="40" w:type="dxa"/>
            </w:tcMar>
            <w:vAlign w:val="center"/>
          </w:tcPr>
          <w:p/>
        </w:tc>
        <w:tc>
          <w:tcPr>
            <w:tcW w:type="dxa" w:w="7597"/>
            <w:tcMar>
              <w:top w:w="30" w:type="dxa"/>
              <w:bottom w:w="30" w:type="dxa"/>
              <w:start w:w="40" w:type="dxa"/>
              <w:end w:w="40" w:type="dxa"/>
            </w:tcMar>
            <w:vAlign w:val="center"/>
          </w:tcPr>
          <w:p>
            <w:pPr>
              <w:spacing w:after="0"/>
              <w:jc w:val="center"/>
            </w:pPr>
            <w:r>
              <w:drawing>
                <wp:inline xmlns:a="http://schemas.openxmlformats.org/drawingml/2006/main" xmlns:pic="http://schemas.openxmlformats.org/drawingml/2006/picture">
                  <wp:extent cx="4937760" cy="281510"/>
                  <wp:docPr id="7" name="Picture 7"/>
                  <wp:cNvGraphicFramePr>
                    <a:graphicFrameLocks noChangeAspect="1"/>
                  </wp:cNvGraphicFramePr>
                  <a:graphic>
                    <a:graphicData uri="http://schemas.openxmlformats.org/drawingml/2006/picture">
                      <pic:pic>
                        <pic:nvPicPr>
                          <pic:cNvPr id="0" name="eq_3cb40b0080f2.png"/>
                          <pic:cNvPicPr/>
                        </pic:nvPicPr>
                        <pic:blipFill>
                          <a:blip r:embed="rId15"/>
                          <a:stretch>
                            <a:fillRect/>
                          </a:stretch>
                        </pic:blipFill>
                        <pic:spPr>
                          <a:xfrm>
                            <a:off x="0" y="0"/>
                            <a:ext cx="4937760" cy="281510"/>
                          </a:xfrm>
                          <a:prstGeom prst="rect"/>
                        </pic:spPr>
                      </pic:pic>
                    </a:graphicData>
                  </a:graphic>
                </wp:inline>
              </w:drawing>
            </w:r>
          </w:p>
        </w:tc>
        <w:tc>
          <w:tcPr>
            <w:tcW w:type="dxa" w:w="907"/>
            <w:tcMar>
              <w:top w:w="30" w:type="dxa"/>
              <w:bottom w:w="30" w:type="dxa"/>
              <w:start w:w="40" w:type="dxa"/>
              <w:end w:w="40" w:type="dxa"/>
            </w:tcMar>
            <w:vAlign w:val="center"/>
          </w:tcPr>
          <w:p>
            <w:pPr>
              <w:spacing w:after="0"/>
              <w:jc w:val="right"/>
            </w:pPr>
            <w:r>
              <w:rPr>
                <w:color w:val="2D2D2D"/>
                <w:sz w:val="21"/>
              </w:rPr>
              <w:t>(6)</w:t>
            </w:r>
          </w:p>
        </w:tc>
      </w:tr>
    </w:tbl>
    <w:p>
      <w:pPr>
        <w:spacing w:after="40"/>
      </w:pPr>
    </w:p>
    <w:p>
      <w:pPr>
        <w:jc w:val="both"/>
      </w:pPr>
      <w:r>
        <w:t xml:space="preserve">Como </w:t>
      </w:r>
      <w:r>
        <w:rPr>
          <w:rFonts w:ascii="Consolas" w:hAnsi="Consolas"/>
          <w:color w:val="9B1B30"/>
          <w:sz w:val="19"/>
        </w:rPr>
        <w:t>5 &lt; 7,95</w:t>
      </w:r>
      <w:r>
        <w:t xml:space="preserve">, se recomienda </w:t>
      </w:r>
      <w:r>
        <w:rPr>
          <w:b/>
        </w:rPr>
        <w:t>escalar</w:t>
      </w:r>
      <w:r>
        <w:t xml:space="preserve"> —siempre que el </w:t>
      </w:r>
      <w:r>
        <w:rPr>
          <w:b/>
        </w:rPr>
        <w:t>límite inferior del IC 95 %</w:t>
      </w:r>
      <w:r>
        <w:t xml:space="preserve"> del +7,954 también supere los 5 USD—. Contraste pedagógico: con el </w:t>
      </w:r>
      <w:r>
        <w:rPr>
          <w:b/>
        </w:rPr>
        <w:t>naive</w:t>
      </w:r>
      <w:r>
        <w:t xml:space="preserve"> inflado (+23,64) el breakeven aparente subiría a ~23,64 USD y haría «rentable» casi cualquier costo; por eso </w:t>
      </w:r>
      <w:r>
        <w:rPr>
          <w:b/>
        </w:rPr>
        <w:t>decidir con el naive sobre-invierte</w:t>
      </w:r>
      <w:r>
        <w:t xml:space="preserve">. Regla: si el IC 95 % del +7,954 </w:t>
      </w:r>
      <w:r>
        <w:rPr>
          <w:b/>
        </w:rPr>
        <w:t>incluye</w:t>
      </w:r>
      <w:r>
        <w:t xml:space="preserve"> el costo por contacto, la acción prudente es un </w:t>
      </w:r>
      <w:r>
        <w:rPr>
          <w:b/>
        </w:rPr>
        <w:t>A/B confirmatorio</w:t>
      </w:r>
      <w:r>
        <w:t xml:space="preserve"> antes de invertir.</w:t>
      </w:r>
    </w:p>
    <w:p>
      <w:pPr>
        <w:spacing w:before="80" w:after="160" w:line="288" w:lineRule="auto"/>
        <w:ind w:left="85" w:right="85"/>
        <w:shd w:val="clear" w:color="auto" w:fill="F4F4F4"/>
        <w:pBdr>
          <w:left w:val="single" w:sz="24" w:space="10" w:color="E4002B"/>
        </w:pBdr>
      </w:pPr>
      <w:r>
        <w:rPr>
          <w:b/>
          <w:color w:val="2D2D2D"/>
        </w:rPr>
        <w:t>Referencia — otros casos de la sesión (operativos del venv, ETIQUETADOS).</w:t>
      </w:r>
      <w:r>
        <w:rPr>
          <w:color w:val="2D2D2D"/>
        </w:rPr>
        <w:t xml:space="preserve"> Réplica </w:t>
      </w:r>
      <w:r>
        <w:rPr>
          <w:b/>
          <w:color w:val="2D2D2D"/>
        </w:rPr>
        <w:t>DiD</w:t>
      </w:r>
      <w:r>
        <w:rPr>
          <w:color w:val="2D2D2D"/>
        </w:rPr>
        <w:t xml:space="preserve"> (Card &amp; Krueger 1994): DiD del empleo (FTE) (5) = </w:t>
      </w:r>
      <w:r>
        <w:rPr>
          <w:b/>
          <w:color w:val="2D2D2D"/>
        </w:rPr>
        <w:t>+2,75</w:t>
      </w:r>
      <w:r>
        <w:rPr>
          <w:color w:val="2D2D2D"/>
        </w:rPr>
        <w:t xml:space="preserve"> (positivo → el alza del salario mínimo </w:t>
      </w:r>
      <w:r>
        <w:rPr>
          <w:b/>
          <w:color w:val="2D2D2D"/>
        </w:rPr>
        <w:t>no</w:t>
      </w:r>
      <w:r>
        <w:rPr>
          <w:color w:val="2D2D2D"/>
        </w:rPr>
        <w:t xml:space="preserve"> redujo el empleo; benchmark publicado +2,76 / SE 1,36, otro pipeline). Réplica </w:t>
      </w:r>
      <w:r>
        <w:rPr>
          <w:b/>
          <w:color w:val="2D2D2D"/>
        </w:rPr>
        <w:t>PSM</w:t>
      </w:r>
      <w:r>
        <w:rPr>
          <w:color w:val="2D2D2D"/>
        </w:rPr>
        <w:t xml:space="preserve"> (LaLonde/NSW): ATT experimental </w:t>
      </w:r>
      <w:r>
        <w:rPr>
          <w:b/>
          <w:color w:val="2D2D2D"/>
        </w:rPr>
        <w:t>+$1.794,34</w:t>
      </w:r>
      <w:r>
        <w:rPr>
          <w:color w:val="2D2D2D"/>
        </w:rPr>
        <w:t xml:space="preserve">; naive observacional (CPS) </w:t>
      </w:r>
      <w:r>
        <w:rPr>
          <w:b/>
          <w:color w:val="2D2D2D"/>
        </w:rPr>
        <w:t>−$8.497,52</w:t>
      </w:r>
      <w:r>
        <w:rPr>
          <w:color w:val="2D2D2D"/>
        </w:rPr>
        <w:t xml:space="preserve"> (cambia de signo por sesgo de selección); </w:t>
      </w:r>
      <w:r>
        <w:rPr>
          <w:b/>
          <w:color w:val="2D2D2D"/>
        </w:rPr>
        <w:t>PSM recupera +$1.745,09</w:t>
      </w:r>
      <w:r>
        <w:rPr>
          <w:color w:val="2D2D2D"/>
        </w:rPr>
        <w:t xml:space="preserve"> (|SMD| medio 0,60→0,06, ecuación (4)). Toda cifra de un paper u otro pipeline va </w:t>
      </w:r>
      <w:r>
        <w:rPr>
          <w:b/>
          <w:color w:val="2D2D2D"/>
        </w:rPr>
        <w:t>etiquetada</w:t>
      </w:r>
      <w:r>
        <w:rPr>
          <w:color w:val="2D2D2D"/>
        </w:rPr>
        <w:t xml:space="preserve"> como </w:t>
      </w:r>
      <w:r>
        <w:rPr>
          <w:i/>
          <w:color w:val="2D2D2D"/>
        </w:rPr>
        <w:t>benchmark publicado (fuente)</w:t>
      </w:r>
      <w:r>
        <w:rPr>
          <w:color w:val="2D2D2D"/>
        </w:rPr>
        <w:t>, nunca como propia (regla de oro de la sesión).</w:t>
      </w:r>
    </w:p>
    <w:p>
      <w:pPr>
        <w:spacing w:before="40" w:after="40"/>
        <w:pBdr>
          <w:bottom w:val="single" w:sz="6" w:space="1" w:color="D9D9D9"/>
        </w:pBdr>
      </w:pPr>
    </w:p>
    <w:p>
      <w:pPr>
        <w:keepNext/>
        <w:spacing w:before="240" w:after="60"/>
        <w:pBdr>
          <w:bottom w:val="single" w:sz="6" w:space="2" w:color="E4002B"/>
        </w:pBdr>
      </w:pPr>
      <w:r>
        <w:rPr>
          <w:b/>
          <w:color w:val="E4002B"/>
          <w:sz w:val="30"/>
        </w:rPr>
        <w:t>Supuestos y decisiones (identificación causal, DiD, PSM y refutación)</w:t>
      </w:r>
    </w:p>
    <w:p>
      <w:pPr>
        <w:jc w:val="both"/>
      </w:pPr>
      <w:r>
        <w:t xml:space="preserve">Un efecto observacional solo se comunica como causal si sostiene una cadena de </w:t>
      </w:r>
      <w:r>
        <w:rPr>
          <w:b/>
        </w:rPr>
        <w:t>supuestos</w:t>
      </w:r>
      <w:r>
        <w:t xml:space="preserve"> y </w:t>
      </w:r>
      <w:r>
        <w:rPr>
          <w:b/>
        </w:rPr>
        <w:t>decisiones</w:t>
      </w:r>
      <w:r>
        <w:t xml:space="preserve">: cada uno se </w:t>
      </w:r>
      <w:r>
        <w:rPr>
          <w:b/>
        </w:rPr>
        <w:t>reconoce</w:t>
      </w:r>
      <w:r>
        <w:t xml:space="preserve"> por una señal con umbral y se </w:t>
      </w:r>
      <w:r>
        <w:rPr>
          <w:b/>
        </w:rPr>
        <w:t>resuelve</w:t>
      </w:r>
      <w:r>
        <w:t xml:space="preserve"> con un método concreto. El desarrollo completo (qué es, cómo se identifica, cómo se decide, alcance) es la guía de supuestos de la sesión, Partes 2 a 6.</w:t>
      </w:r>
    </w:p>
    <w:tbl>
      <w:tblPr>
        <w:tblStyle w:val="TableGrid"/>
        <w:tblW w:type="auto" w:w="0"/>
        <w:tblLayout w:type="autofit"/>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Pr>
      <w:tblGrid>
        <w:gridCol w:w="1949"/>
        <w:gridCol w:w="1949"/>
        <w:gridCol w:w="1949"/>
        <w:gridCol w:w="1949"/>
        <w:gridCol w:w="1949"/>
      </w:tblGrid>
      <w:tr>
        <w:tc>
          <w:tcPr>
            <w:tcW w:type="dxa" w:w="1949"/>
            <w:tcMar>
              <w:top w:w="60" w:type="dxa"/>
              <w:bottom w:w="60" w:type="dxa"/>
              <w:start w:w="110" w:type="dxa"/>
              <w:end w:w="110" w:type="dxa"/>
            </w:tcMar>
            <w:vAlign w:val="center"/>
            <w:shd w:val="clear" w:color="auto" w:fill="E4002B"/>
          </w:tcPr>
          <w:p>
            <w:pPr>
              <w:spacing w:after="0"/>
            </w:pPr>
            <w:r/>
            <w:r>
              <w:rPr>
                <w:b/>
                <w:color w:val="FFFFFF"/>
                <w:sz w:val="19"/>
              </w:rPr>
              <w:t>Supuesto / decisión</w:t>
            </w:r>
          </w:p>
        </w:tc>
        <w:tc>
          <w:tcPr>
            <w:tcW w:type="dxa" w:w="1949"/>
            <w:tcMar>
              <w:top w:w="60" w:type="dxa"/>
              <w:bottom w:w="60" w:type="dxa"/>
              <w:start w:w="110" w:type="dxa"/>
              <w:end w:w="110" w:type="dxa"/>
            </w:tcMar>
            <w:vAlign w:val="center"/>
            <w:shd w:val="clear" w:color="auto" w:fill="E4002B"/>
          </w:tcPr>
          <w:p>
            <w:pPr>
              <w:spacing w:after="0"/>
            </w:pPr>
            <w:r/>
            <w:r>
              <w:rPr>
                <w:b/>
                <w:color w:val="FFFFFF"/>
                <w:sz w:val="19"/>
              </w:rPr>
              <w:t>Cómo se identifica (señal/umbral)</w:t>
            </w:r>
          </w:p>
        </w:tc>
        <w:tc>
          <w:tcPr>
            <w:tcW w:type="dxa" w:w="1949"/>
            <w:tcMar>
              <w:top w:w="60" w:type="dxa"/>
              <w:bottom w:w="60" w:type="dxa"/>
              <w:start w:w="110" w:type="dxa"/>
              <w:end w:w="110" w:type="dxa"/>
            </w:tcMar>
            <w:vAlign w:val="center"/>
            <w:shd w:val="clear" w:color="auto" w:fill="E4002B"/>
          </w:tcPr>
          <w:p>
            <w:pPr>
              <w:spacing w:after="0"/>
            </w:pPr>
            <w:r/>
            <w:r>
              <w:rPr>
                <w:b/>
                <w:color w:val="FFFFFF"/>
                <w:sz w:val="19"/>
              </w:rPr>
              <w:t>Cómo se decide / corrige</w:t>
            </w:r>
          </w:p>
        </w:tc>
        <w:tc>
          <w:tcPr>
            <w:tcW w:type="dxa" w:w="1949"/>
            <w:tcMar>
              <w:top w:w="60" w:type="dxa"/>
              <w:bottom w:w="60" w:type="dxa"/>
              <w:start w:w="110" w:type="dxa"/>
              <w:end w:w="110" w:type="dxa"/>
            </w:tcMar>
            <w:vAlign w:val="center"/>
            <w:shd w:val="clear" w:color="auto" w:fill="E4002B"/>
          </w:tcPr>
          <w:p>
            <w:pPr>
              <w:spacing w:after="0"/>
            </w:pPr>
            <w:r/>
            <w:r>
              <w:rPr>
                <w:b/>
                <w:color w:val="FFFFFF"/>
                <w:sz w:val="19"/>
              </w:rPr>
              <w:t>Cifra ancla (venv)</w:t>
            </w:r>
          </w:p>
        </w:tc>
        <w:tc>
          <w:tcPr>
            <w:tcW w:type="dxa" w:w="1949"/>
            <w:tcMar>
              <w:top w:w="60" w:type="dxa"/>
              <w:bottom w:w="60" w:type="dxa"/>
              <w:start w:w="110" w:type="dxa"/>
              <w:end w:w="110" w:type="dxa"/>
            </w:tcMar>
            <w:vAlign w:val="center"/>
            <w:shd w:val="clear" w:color="auto" w:fill="E4002B"/>
          </w:tcPr>
          <w:p>
            <w:pPr>
              <w:spacing w:after="0"/>
            </w:pPr>
            <w:r/>
            <w:r>
              <w:rPr>
                <w:b/>
                <w:color w:val="FFFFFF"/>
                <w:sz w:val="19"/>
              </w:rPr>
              <w:t>Fuente (SUPUESTOS_S12.md)</w:t>
            </w:r>
          </w:p>
        </w:tc>
      </w:tr>
      <w:tr>
        <w:tc>
          <w:tcPr>
            <w:tcW w:type="dxa" w:w="1949"/>
            <w:tcMar>
              <w:top w:w="60" w:type="dxa"/>
              <w:bottom w:w="60" w:type="dxa"/>
              <w:start w:w="110" w:type="dxa"/>
              <w:end w:w="110" w:type="dxa"/>
            </w:tcMar>
            <w:vAlign w:val="center"/>
          </w:tcPr>
          <w:p>
            <w:pPr>
              <w:spacing w:after="0"/>
            </w:pPr>
            <w:r>
              <w:rPr>
                <w:sz w:val="19"/>
              </w:rPr>
            </w:r>
            <w:r>
              <w:rPr>
                <w:b/>
                <w:sz w:val="19"/>
              </w:rPr>
              <w:t>No confusión / ignorabilidad</w:t>
            </w:r>
            <w:r>
              <w:rPr>
                <w:sz w:val="19"/>
              </w:rPr>
              <w:t xml:space="preserve"> (no testeable)</w:t>
            </w:r>
          </w:p>
        </w:tc>
        <w:tc>
          <w:tcPr>
            <w:tcW w:type="dxa" w:w="1949"/>
            <w:tcMar>
              <w:top w:w="60" w:type="dxa"/>
              <w:bottom w:w="60" w:type="dxa"/>
              <w:start w:w="110" w:type="dxa"/>
              <w:end w:w="110" w:type="dxa"/>
            </w:tcMar>
            <w:vAlign w:val="center"/>
          </w:tcPr>
          <w:p>
            <w:pPr>
              <w:spacing w:after="0"/>
            </w:pPr>
            <w:r>
              <w:rPr>
                <w:sz w:val="19"/>
              </w:rPr>
            </w:r>
            <w:r>
              <w:rPr>
                <w:sz w:val="19"/>
              </w:rPr>
              <w:t xml:space="preserve">Naive muy lejos del ajustado = confusión fuerte; un confusor no medido hace </w:t>
            </w:r>
            <w:r>
              <w:rPr>
                <w:b/>
                <w:sz w:val="19"/>
              </w:rPr>
              <w:t>fallar en silencio</w:t>
            </w:r>
            <w:r>
              <w:rPr>
                <w:sz w:val="19"/>
              </w:rPr>
              <w:t xml:space="preserve"> el supuesto</w:t>
            </w:r>
          </w:p>
        </w:tc>
        <w:tc>
          <w:tcPr>
            <w:tcW w:type="dxa" w:w="1949"/>
            <w:tcMar>
              <w:top w:w="60" w:type="dxa"/>
              <w:bottom w:w="60" w:type="dxa"/>
              <w:start w:w="110" w:type="dxa"/>
              <w:end w:w="110" w:type="dxa"/>
            </w:tcMar>
            <w:vAlign w:val="center"/>
          </w:tcPr>
          <w:p>
            <w:pPr>
              <w:spacing w:after="0"/>
            </w:pPr>
            <w:r>
              <w:rPr>
                <w:sz w:val="19"/>
              </w:rPr>
            </w:r>
            <w:r>
              <w:rPr>
                <w:sz w:val="19"/>
              </w:rPr>
              <w:t>Ajustar por el backdoor set; declararla como supuesto; estresar con refutaciones; si es dudosa → A/B o IV</w:t>
            </w:r>
          </w:p>
        </w:tc>
        <w:tc>
          <w:tcPr>
            <w:tcW w:type="dxa" w:w="1949"/>
            <w:tcMar>
              <w:top w:w="60" w:type="dxa"/>
              <w:bottom w:w="60" w:type="dxa"/>
              <w:start w:w="110" w:type="dxa"/>
              <w:end w:w="110" w:type="dxa"/>
            </w:tcMar>
            <w:vAlign w:val="center"/>
          </w:tcPr>
          <w:p>
            <w:pPr>
              <w:spacing w:after="0"/>
            </w:pPr>
            <w:r>
              <w:rPr>
                <w:sz w:val="19"/>
              </w:rPr>
            </w:r>
            <w:r>
              <w:rPr>
                <w:sz w:val="19"/>
              </w:rPr>
              <w:t>naive +23,6 → ajustado +7,95 (verdad 8,0)</w:t>
            </w:r>
          </w:p>
        </w:tc>
        <w:tc>
          <w:tcPr>
            <w:tcW w:type="dxa" w:w="1949"/>
            <w:tcMar>
              <w:top w:w="60" w:type="dxa"/>
              <w:bottom w:w="60" w:type="dxa"/>
              <w:start w:w="110" w:type="dxa"/>
              <w:end w:w="110" w:type="dxa"/>
            </w:tcMar>
            <w:vAlign w:val="center"/>
          </w:tcPr>
          <w:p>
            <w:pPr>
              <w:spacing w:after="0"/>
            </w:pPr>
            <w:r>
              <w:rPr>
                <w:sz w:val="19"/>
              </w:rPr>
            </w:r>
            <w:r>
              <w:rPr>
                <w:sz w:val="19"/>
              </w:rPr>
              <w:t>Parte 2.1</w:t>
            </w:r>
          </w:p>
        </w:tc>
      </w:tr>
      <w:tr>
        <w:tc>
          <w:tcPr>
            <w:tcW w:type="dxa" w:w="1949"/>
            <w:tcMar>
              <w:top w:w="60" w:type="dxa"/>
              <w:bottom w:w="60" w:type="dxa"/>
              <w:start w:w="110" w:type="dxa"/>
              <w:end w:w="110" w:type="dxa"/>
            </w:tcMar>
            <w:vAlign w:val="center"/>
            <w:shd w:val="clear" w:color="auto" w:fill="FCEDEE"/>
          </w:tcPr>
          <w:p>
            <w:pPr>
              <w:spacing w:after="0"/>
            </w:pPr>
            <w:r>
              <w:rPr>
                <w:sz w:val="19"/>
              </w:rPr>
            </w:r>
            <w:r>
              <w:rPr>
                <w:b/>
                <w:sz w:val="19"/>
              </w:rPr>
              <w:t>Positividad / solapamiento</w:t>
            </w:r>
            <w:r>
              <w:rPr>
                <w:sz w:val="19"/>
              </w:rPr>
              <w:t xml:space="preserve"> (0 &lt; e(X) &lt; 1)</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Histogramas de e(X) (3) superpuestos; propensiones ≈ 0/1; zonas con un solo grupo</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 xml:space="preserve">Recortar (trimming) al soporte común y </w:t>
            </w:r>
            <w:r>
              <w:rPr>
                <w:b/>
                <w:sz w:val="19"/>
              </w:rPr>
              <w:t>reportar los descartes</w:t>
            </w:r>
            <w:r>
              <w:rPr>
                <w:sz w:val="19"/>
              </w:rPr>
              <w:t xml:space="preserve"> antes de estimar</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soporte común (recorte en LaLonde)</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Parte 2.2</w:t>
            </w:r>
          </w:p>
        </w:tc>
      </w:tr>
      <w:tr>
        <w:tc>
          <w:tcPr>
            <w:tcW w:type="dxa" w:w="1949"/>
            <w:tcMar>
              <w:top w:w="60" w:type="dxa"/>
              <w:bottom w:w="60" w:type="dxa"/>
              <w:start w:w="110" w:type="dxa"/>
              <w:end w:w="110" w:type="dxa"/>
            </w:tcMar>
            <w:vAlign w:val="center"/>
          </w:tcPr>
          <w:p>
            <w:pPr>
              <w:spacing w:after="0"/>
            </w:pPr>
            <w:r>
              <w:rPr>
                <w:sz w:val="19"/>
              </w:rPr>
            </w:r>
            <w:r>
              <w:rPr>
                <w:b/>
                <w:sz w:val="19"/>
              </w:rPr>
              <w:t>SUTVA</w:t>
            </w:r>
            <w:r>
              <w:rPr>
                <w:sz w:val="19"/>
              </w:rPr>
              <w:t xml:space="preserve"> (sin interferencia + tratamiento único)</w:t>
            </w:r>
          </w:p>
        </w:tc>
        <w:tc>
          <w:tcPr>
            <w:tcW w:type="dxa" w:w="1949"/>
            <w:tcMar>
              <w:top w:w="60" w:type="dxa"/>
              <w:bottom w:w="60" w:type="dxa"/>
              <w:start w:w="110" w:type="dxa"/>
              <w:end w:w="110" w:type="dxa"/>
            </w:tcMar>
            <w:vAlign w:val="center"/>
          </w:tcPr>
          <w:p>
            <w:pPr>
              <w:spacing w:after="0"/>
            </w:pPr>
            <w:r>
              <w:rPr>
                <w:sz w:val="19"/>
              </w:rPr>
            </w:r>
            <w:r>
              <w:rPr>
                <w:sz w:val="19"/>
              </w:rPr>
              <w:t>¿spillovers / efecto de mercado? ¿una sola versión del tratamiento?</w:t>
            </w:r>
          </w:p>
        </w:tc>
        <w:tc>
          <w:tcPr>
            <w:tcW w:type="dxa" w:w="1949"/>
            <w:tcMar>
              <w:top w:w="60" w:type="dxa"/>
              <w:bottom w:w="60" w:type="dxa"/>
              <w:start w:w="110" w:type="dxa"/>
              <w:end w:w="110" w:type="dxa"/>
            </w:tcMar>
            <w:vAlign w:val="center"/>
          </w:tcPr>
          <w:p>
            <w:pPr>
              <w:spacing w:after="0"/>
            </w:pPr>
            <w:r>
              <w:rPr>
                <w:sz w:val="19"/>
              </w:rPr>
            </w:r>
            <w:r>
              <w:rPr>
                <w:sz w:val="19"/>
              </w:rPr>
              <w:t>Definir bien el tratamiento; aleatorizar por conglomerados si hay redes; declararlo</w:t>
            </w:r>
          </w:p>
        </w:tc>
        <w:tc>
          <w:tcPr>
            <w:tcW w:type="dxa" w:w="1949"/>
            <w:tcMar>
              <w:top w:w="60" w:type="dxa"/>
              <w:bottom w:w="60" w:type="dxa"/>
              <w:start w:w="110" w:type="dxa"/>
              <w:end w:w="110" w:type="dxa"/>
            </w:tcMar>
            <w:vAlign w:val="center"/>
          </w:tcPr>
          <w:p>
            <w:pPr>
              <w:spacing w:after="0"/>
            </w:pPr>
            <w:r>
              <w:rPr>
                <w:sz w:val="19"/>
              </w:rPr>
            </w:r>
            <w:r>
              <w:rPr>
                <w:sz w:val="19"/>
              </w:rPr>
              <w:t>juicio de diseño</w:t>
            </w:r>
          </w:p>
        </w:tc>
        <w:tc>
          <w:tcPr>
            <w:tcW w:type="dxa" w:w="1949"/>
            <w:tcMar>
              <w:top w:w="60" w:type="dxa"/>
              <w:bottom w:w="60" w:type="dxa"/>
              <w:start w:w="110" w:type="dxa"/>
              <w:end w:w="110" w:type="dxa"/>
            </w:tcMar>
            <w:vAlign w:val="center"/>
          </w:tcPr>
          <w:p>
            <w:pPr>
              <w:spacing w:after="0"/>
            </w:pPr>
            <w:r>
              <w:rPr>
                <w:sz w:val="19"/>
              </w:rPr>
            </w:r>
            <w:r>
              <w:rPr>
                <w:sz w:val="19"/>
              </w:rPr>
              <w:t>Parte 2.3</w:t>
            </w:r>
          </w:p>
        </w:tc>
      </w:tr>
      <w:tr>
        <w:tc>
          <w:tcPr>
            <w:tcW w:type="dxa" w:w="1949"/>
            <w:tcMar>
              <w:top w:w="60" w:type="dxa"/>
              <w:bottom w:w="60" w:type="dxa"/>
              <w:start w:w="110" w:type="dxa"/>
              <w:end w:w="110" w:type="dxa"/>
            </w:tcMar>
            <w:vAlign w:val="center"/>
            <w:shd w:val="clear" w:color="auto" w:fill="FCEDEE"/>
          </w:tcPr>
          <w:p>
            <w:pPr>
              <w:spacing w:after="0"/>
            </w:pPr>
            <w:r>
              <w:rPr>
                <w:sz w:val="19"/>
              </w:rPr>
            </w:r>
            <w:r>
              <w:rPr>
                <w:b/>
                <w:sz w:val="19"/>
              </w:rPr>
              <w:t>Tendencias paralelas</w:t>
            </w:r>
            <w:r>
              <w:rPr>
                <w:sz w:val="19"/>
              </w:rPr>
              <w:t xml:space="preserve"> (DiD)</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 xml:space="preserve">Pre-tendencias paralelas; con solo 2 olas </w:t>
            </w:r>
            <w:r>
              <w:rPr>
                <w:b/>
                <w:sz w:val="19"/>
              </w:rPr>
              <w:t>NO</w:t>
            </w:r>
            <w:r>
              <w:rPr>
                <w:sz w:val="19"/>
              </w:rPr>
              <w:t xml:space="preserve"> es testeable</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 xml:space="preserve">Graficar pre-tendencias; con 2 olas apoyar en la comparabilidad NJ/PA y </w:t>
            </w:r>
            <w:r>
              <w:rPr>
                <w:b/>
                <w:sz w:val="19"/>
              </w:rPr>
              <w:t>declarar la limitación</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DiD (5) = +2,75 (positivo)</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Parte 3.1</w:t>
            </w:r>
          </w:p>
        </w:tc>
      </w:tr>
      <w:tr>
        <w:tc>
          <w:tcPr>
            <w:tcW w:type="dxa" w:w="1949"/>
            <w:tcMar>
              <w:top w:w="60" w:type="dxa"/>
              <w:bottom w:w="60" w:type="dxa"/>
              <w:start w:w="110" w:type="dxa"/>
              <w:end w:w="110" w:type="dxa"/>
            </w:tcMar>
            <w:vAlign w:val="center"/>
          </w:tcPr>
          <w:p>
            <w:pPr>
              <w:spacing w:after="0"/>
            </w:pPr>
            <w:r>
              <w:rPr>
                <w:sz w:val="19"/>
              </w:rPr>
            </w:r>
            <w:r>
              <w:rPr>
                <w:b/>
                <w:sz w:val="19"/>
              </w:rPr>
              <w:t>Balance del PSM</w:t>
            </w:r>
            <w:r>
              <w:rPr>
                <w:sz w:val="19"/>
              </w:rPr>
              <w:t xml:space="preserve"> (SMD &lt; 0,1)</w:t>
            </w:r>
          </w:p>
        </w:tc>
        <w:tc>
          <w:tcPr>
            <w:tcW w:type="dxa" w:w="1949"/>
            <w:tcMar>
              <w:top w:w="60" w:type="dxa"/>
              <w:bottom w:w="60" w:type="dxa"/>
              <w:start w:w="110" w:type="dxa"/>
              <w:end w:w="110" w:type="dxa"/>
            </w:tcMar>
            <w:vAlign w:val="center"/>
          </w:tcPr>
          <w:p>
            <w:pPr>
              <w:spacing w:after="0"/>
            </w:pPr>
            <w:r>
              <w:rPr>
                <w:sz w:val="19"/>
              </w:rPr>
            </w:r>
            <w:r>
              <w:rPr>
                <w:sz w:val="19"/>
              </w:rPr>
              <w:t xml:space="preserve">SMD (4) por covariable antes/después (love plot); </w:t>
            </w:r>
            <w:r>
              <w:rPr>
                <w:b/>
                <w:sz w:val="19"/>
              </w:rPr>
              <w:t>no</w:t>
            </w:r>
            <w:r>
              <w:rPr>
                <w:sz w:val="19"/>
              </w:rPr>
              <w:t xml:space="preserve"> el p-valor de la t</w:t>
            </w:r>
          </w:p>
        </w:tc>
        <w:tc>
          <w:tcPr>
            <w:tcW w:type="dxa" w:w="1949"/>
            <w:tcMar>
              <w:top w:w="60" w:type="dxa"/>
              <w:bottom w:w="60" w:type="dxa"/>
              <w:start w:w="110" w:type="dxa"/>
              <w:end w:w="110" w:type="dxa"/>
            </w:tcMar>
            <w:vAlign w:val="center"/>
          </w:tcPr>
          <w:p>
            <w:pPr>
              <w:spacing w:after="0"/>
            </w:pPr>
            <w:r>
              <w:rPr>
                <w:sz w:val="19"/>
              </w:rPr>
            </w:r>
            <w:r>
              <w:rPr>
                <w:sz w:val="19"/>
              </w:rPr>
              <w:t>No interpretar el ATT sin balance; reespecificar el propensity o el método si no baja</w:t>
            </w:r>
          </w:p>
        </w:tc>
        <w:tc>
          <w:tcPr>
            <w:tcW w:type="dxa" w:w="1949"/>
            <w:tcMar>
              <w:top w:w="60" w:type="dxa"/>
              <w:bottom w:w="60" w:type="dxa"/>
              <w:start w:w="110" w:type="dxa"/>
              <w:end w:w="110" w:type="dxa"/>
            </w:tcMar>
            <w:vAlign w:val="center"/>
          </w:tcPr>
          <w:p>
            <w:pPr>
              <w:spacing w:after="0"/>
            </w:pPr>
            <w:r>
              <w:rPr>
                <w:sz w:val="19"/>
              </w:rPr>
            </w:r>
            <w:r>
              <w:rPr>
                <w:sz w:val="19"/>
              </w:rPr>
              <w:t>SMD 0,60 → 0,06</w:t>
            </w:r>
          </w:p>
        </w:tc>
        <w:tc>
          <w:tcPr>
            <w:tcW w:type="dxa" w:w="1949"/>
            <w:tcMar>
              <w:top w:w="60" w:type="dxa"/>
              <w:bottom w:w="60" w:type="dxa"/>
              <w:start w:w="110" w:type="dxa"/>
              <w:end w:w="110" w:type="dxa"/>
            </w:tcMar>
            <w:vAlign w:val="center"/>
          </w:tcPr>
          <w:p>
            <w:pPr>
              <w:spacing w:after="0"/>
            </w:pPr>
            <w:r>
              <w:rPr>
                <w:sz w:val="19"/>
              </w:rPr>
            </w:r>
            <w:r>
              <w:rPr>
                <w:sz w:val="19"/>
              </w:rPr>
              <w:t>Parte 4.2</w:t>
            </w:r>
          </w:p>
        </w:tc>
      </w:tr>
      <w:tr>
        <w:tc>
          <w:tcPr>
            <w:tcW w:type="dxa" w:w="1949"/>
            <w:tcMar>
              <w:top w:w="60" w:type="dxa"/>
              <w:bottom w:w="60" w:type="dxa"/>
              <w:start w:w="110" w:type="dxa"/>
              <w:end w:w="110" w:type="dxa"/>
            </w:tcMar>
            <w:vAlign w:val="center"/>
            <w:shd w:val="clear" w:color="auto" w:fill="FCEDEE"/>
          </w:tcPr>
          <w:p>
            <w:pPr>
              <w:spacing w:after="0"/>
            </w:pPr>
            <w:r>
              <w:rPr>
                <w:sz w:val="19"/>
              </w:rPr>
            </w:r>
            <w:r>
              <w:rPr>
                <w:b/>
                <w:sz w:val="19"/>
              </w:rPr>
              <w:t>Controlar solo confusores</w:t>
            </w:r>
            <w:r>
              <w:rPr>
                <w:sz w:val="19"/>
              </w:rPr>
              <w:t xml:space="preserve"> (DAG)</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 xml:space="preserve">Variable </w:t>
            </w:r>
            <w:r>
              <w:rPr>
                <w:b/>
                <w:sz w:val="19"/>
              </w:rPr>
              <w:t>posterior</w:t>
            </w:r>
            <w:r>
              <w:rPr>
                <w:sz w:val="19"/>
              </w:rPr>
              <w:t xml:space="preserve"> a </w:t>
            </w:r>
            <w:r>
              <w:rPr>
                <w:rFonts w:ascii="Consolas" w:hAnsi="Consolas"/>
                <w:color w:val="9B1B30"/>
                <w:sz w:val="19"/>
              </w:rPr>
              <w:t>T</w:t>
            </w:r>
            <w:r>
              <w:rPr>
                <w:sz w:val="19"/>
              </w:rPr>
              <w:t xml:space="preserve"> (collider/mediador); al añadirla el efecto se vuelve raro</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 xml:space="preserve">Cerrar puertas traseras con el backdoor set; </w:t>
            </w:r>
            <w:r>
              <w:rPr>
                <w:b/>
                <w:sz w:val="19"/>
              </w:rPr>
              <w:t>nunca</w:t>
            </w:r>
            <w:r>
              <w:rPr>
                <w:sz w:val="19"/>
              </w:rPr>
              <w:t xml:space="preserve"> el collider </w:t>
            </w:r>
            <w:r>
              <w:rPr>
                <w:rFonts w:ascii="Consolas" w:hAnsi="Consolas"/>
                <w:color w:val="9B1B30"/>
                <w:sz w:val="19"/>
              </w:rPr>
              <w:t>uso_post</w:t>
            </w:r>
            <w:r>
              <w:rPr>
                <w:sz w:val="19"/>
              </w:rPr>
              <w:t xml:space="preserve"> ni el mediador </w:t>
            </w:r>
            <w:r>
              <w:rPr>
                <w:rFonts w:ascii="Consolas" w:hAnsi="Consolas"/>
                <w:color w:val="9B1B30"/>
                <w:sz w:val="19"/>
              </w:rPr>
              <w:t>visitas</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ajustado +7,95 con {engagement}</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Parte 5</w:t>
            </w:r>
          </w:p>
        </w:tc>
      </w:tr>
      <w:tr>
        <w:tc>
          <w:tcPr>
            <w:tcW w:type="dxa" w:w="1949"/>
            <w:tcMar>
              <w:top w:w="60" w:type="dxa"/>
              <w:bottom w:w="60" w:type="dxa"/>
              <w:start w:w="110" w:type="dxa"/>
              <w:end w:w="110" w:type="dxa"/>
            </w:tcMar>
            <w:vAlign w:val="center"/>
          </w:tcPr>
          <w:p>
            <w:pPr>
              <w:spacing w:after="0"/>
            </w:pPr>
            <w:r>
              <w:rPr>
                <w:sz w:val="19"/>
              </w:rPr>
            </w:r>
            <w:r>
              <w:rPr>
                <w:b/>
                <w:sz w:val="19"/>
              </w:rPr>
              <w:t>Refutaciones</w:t>
            </w:r>
            <w:r>
              <w:rPr>
                <w:sz w:val="19"/>
              </w:rPr>
              <w:t xml:space="preserve"> (refutar ≠ probar)</w:t>
            </w:r>
          </w:p>
        </w:tc>
        <w:tc>
          <w:tcPr>
            <w:tcW w:type="dxa" w:w="1949"/>
            <w:tcMar>
              <w:top w:w="60" w:type="dxa"/>
              <w:bottom w:w="60" w:type="dxa"/>
              <w:start w:w="110" w:type="dxa"/>
              <w:end w:w="110" w:type="dxa"/>
            </w:tcMar>
            <w:vAlign w:val="center"/>
          </w:tcPr>
          <w:p>
            <w:pPr>
              <w:spacing w:after="0"/>
            </w:pPr>
            <w:r>
              <w:rPr>
                <w:sz w:val="19"/>
              </w:rPr>
            </w:r>
            <w:r>
              <w:rPr>
                <w:sz w:val="19"/>
              </w:rPr>
              <w:t xml:space="preserve">Placebo con </w:t>
            </w:r>
            <w:r>
              <w:rPr>
                <w:rFonts w:ascii="Consolas" w:hAnsi="Consolas"/>
                <w:color w:val="9B1B30"/>
                <w:sz w:val="19"/>
              </w:rPr>
              <w:t>T</w:t>
            </w:r>
            <w:r>
              <w:rPr>
                <w:sz w:val="19"/>
              </w:rPr>
              <w:t xml:space="preserve"> falso; confusor aleatorio añadido</w:t>
            </w:r>
          </w:p>
        </w:tc>
        <w:tc>
          <w:tcPr>
            <w:tcW w:type="dxa" w:w="1949"/>
            <w:tcMar>
              <w:top w:w="60" w:type="dxa"/>
              <w:bottom w:w="60" w:type="dxa"/>
              <w:start w:w="110" w:type="dxa"/>
              <w:end w:w="110" w:type="dxa"/>
            </w:tcMar>
            <w:vAlign w:val="center"/>
          </w:tcPr>
          <w:p>
            <w:pPr>
              <w:spacing w:after="0"/>
            </w:pPr>
            <w:r>
              <w:rPr>
                <w:sz w:val="19"/>
              </w:rPr>
            </w:r>
            <w:r>
              <w:rPr>
                <w:sz w:val="19"/>
              </w:rPr>
              <w:t xml:space="preserve">Placebo debe caer a ≈ 0; random common cause ≈ inalterado; </w:t>
            </w:r>
            <w:r>
              <w:rPr>
                <w:b/>
                <w:sz w:val="19"/>
              </w:rPr>
              <w:t>fallar cualquiera invalida</w:t>
            </w:r>
          </w:p>
        </w:tc>
        <w:tc>
          <w:tcPr>
            <w:tcW w:type="dxa" w:w="1949"/>
            <w:tcMar>
              <w:top w:w="60" w:type="dxa"/>
              <w:bottom w:w="60" w:type="dxa"/>
              <w:start w:w="110" w:type="dxa"/>
              <w:end w:w="110" w:type="dxa"/>
            </w:tcMar>
            <w:vAlign w:val="center"/>
          </w:tcPr>
          <w:p>
            <w:pPr>
              <w:spacing w:after="0"/>
            </w:pPr>
            <w:r>
              <w:rPr>
                <w:sz w:val="19"/>
              </w:rPr>
            </w:r>
            <w:r>
              <w:rPr>
                <w:sz w:val="19"/>
              </w:rPr>
              <w:t>placebo −0,05 — RCC ≈ +7,95</w:t>
            </w:r>
          </w:p>
        </w:tc>
        <w:tc>
          <w:tcPr>
            <w:tcW w:type="dxa" w:w="1949"/>
            <w:tcMar>
              <w:top w:w="60" w:type="dxa"/>
              <w:bottom w:w="60" w:type="dxa"/>
              <w:start w:w="110" w:type="dxa"/>
              <w:end w:w="110" w:type="dxa"/>
            </w:tcMar>
            <w:vAlign w:val="center"/>
          </w:tcPr>
          <w:p>
            <w:pPr>
              <w:spacing w:after="0"/>
            </w:pPr>
            <w:r>
              <w:rPr>
                <w:sz w:val="19"/>
              </w:rPr>
            </w:r>
            <w:r>
              <w:rPr>
                <w:sz w:val="19"/>
              </w:rPr>
              <w:t>Parte 6</w:t>
            </w:r>
          </w:p>
        </w:tc>
      </w:tr>
    </w:tbl>
    <w:p>
      <w:pPr>
        <w:spacing w:after="40"/>
      </w:pPr>
    </w:p>
    <w:p>
      <w:pPr>
        <w:spacing w:before="80" w:after="160" w:line="288" w:lineRule="auto"/>
        <w:ind w:left="85" w:right="85"/>
        <w:shd w:val="clear" w:color="auto" w:fill="F4F4F4"/>
        <w:pBdr>
          <w:left w:val="single" w:sz="24" w:space="10" w:color="E4002B"/>
        </w:pBdr>
      </w:pPr>
      <w:r>
        <w:rPr>
          <w:b/>
          <w:color w:val="2D2D2D"/>
        </w:rPr>
        <w:t>La decisión central.</w:t>
      </w:r>
      <w:r>
        <w:rPr>
          <w:color w:val="2D2D2D"/>
        </w:rPr>
        <w:t xml:space="preserve"> Se controla </w:t>
      </w:r>
      <w:r>
        <w:rPr>
          <w:b/>
          <w:color w:val="2D2D2D"/>
        </w:rPr>
        <w:t>solo</w:t>
      </w:r>
      <w:r>
        <w:rPr>
          <w:color w:val="2D2D2D"/>
        </w:rPr>
        <w:t xml:space="preserve"> el conjunto que cierra las puertas traseras (los confusores), </w:t>
      </w:r>
      <w:r>
        <w:rPr>
          <w:b/>
          <w:color w:val="2D2D2D"/>
        </w:rPr>
        <w:t>nunca</w:t>
      </w:r>
      <w:r>
        <w:rPr>
          <w:color w:val="2D2D2D"/>
        </w:rPr>
        <w:t xml:space="preserve"> un mediador ni un collider; se declara el </w:t>
      </w:r>
      <w:r>
        <w:rPr>
          <w:b/>
          <w:color w:val="2D2D2D"/>
        </w:rPr>
        <w:t>supuesto de identificación</w:t>
      </w:r>
      <w:r>
        <w:rPr>
          <w:color w:val="2D2D2D"/>
        </w:rPr>
        <w:t xml:space="preserve"> del método (ignorabilidad + positividad, tendencias paralelas, exclusión IV), se estima el efecto </w:t>
      </w:r>
      <w:r>
        <w:rPr>
          <w:b/>
          <w:color w:val="2D2D2D"/>
        </w:rPr>
        <w:t>con su IC</w:t>
      </w:r>
      <w:r>
        <w:rPr>
          <w:color w:val="2D2D2D"/>
        </w:rPr>
        <w:t xml:space="preserve"> y se </w:t>
      </w:r>
      <w:r>
        <w:rPr>
          <w:b/>
          <w:color w:val="2D2D2D"/>
        </w:rPr>
        <w:t>refuta</w:t>
      </w:r>
      <w:r>
        <w:rPr>
          <w:color w:val="2D2D2D"/>
        </w:rPr>
        <w:t xml:space="preserve"> antes de decidir. Un naive lejano al ajustado es </w:t>
      </w:r>
      <w:r>
        <w:rPr>
          <w:b/>
          <w:color w:val="2D2D2D"/>
        </w:rPr>
        <w:t>confusión</w:t>
      </w:r>
      <w:r>
        <w:rPr>
          <w:color w:val="2D2D2D"/>
        </w:rPr>
        <w:t xml:space="preserve">, no efecto: más datos no lo corrigen, solo estrechan el IC alrededor del número equivocado. Desarrollo completo en la guía de supuestos de la sesión, Partes 2 a 6; la construcción del DAG y el criterio de puerta trasera viven en la guía hermana </w:t>
      </w:r>
      <w:r>
        <w:rPr>
          <w:rFonts w:ascii="Consolas" w:hAnsi="Consolas"/>
          <w:color w:val="2D2D2D"/>
          <w:sz w:val="19"/>
        </w:rPr>
        <w:t>plantillas/guia_dags.docx</w:t>
      </w:r>
      <w:r>
        <w:rPr>
          <w:color w:val="2D2D2D"/>
        </w:rPr>
        <w:t>.</w:t>
      </w:r>
    </w:p>
    <w:p>
      <w:pPr>
        <w:spacing w:before="40" w:after="40"/>
        <w:pBdr>
          <w:bottom w:val="single" w:sz="6" w:space="1" w:color="D9D9D9"/>
        </w:pBdr>
      </w:pPr>
    </w:p>
    <w:p>
      <w:pPr>
        <w:keepNext/>
        <w:spacing w:before="240" w:after="60"/>
        <w:pBdr>
          <w:bottom w:val="single" w:sz="6" w:space="2" w:color="E4002B"/>
        </w:pBdr>
      </w:pPr>
      <w:r>
        <w:rPr>
          <w:b/>
          <w:color w:val="E4002B"/>
          <w:sz w:val="30"/>
        </w:rPr>
        <w:t>Checklist antes de entregar</w:t>
      </w:r>
    </w:p>
    <w:p>
      <w:pPr>
        <w:pStyle w:val="ListBullet"/>
        <w:spacing w:after="40"/>
      </w:pPr>
      <w:r>
        <w:t xml:space="preserve">[ ] 1. ¿Se enunció la </w:t>
      </w:r>
      <w:r>
        <w:rPr>
          <w:b/>
        </w:rPr>
        <w:t>pregunta causal</w:t>
      </w:r>
      <w:r>
        <w:t xml:space="preserve"> con </w:t>
      </w:r>
      <w:r>
        <w:rPr>
          <w:rFonts w:ascii="Consolas" w:hAnsi="Consolas"/>
          <w:color w:val="9B1B30"/>
          <w:sz w:val="19"/>
        </w:rPr>
        <w:t>T</w:t>
      </w:r>
      <w:r>
        <w:t xml:space="preserve">, </w:t>
      </w:r>
      <w:r>
        <w:rPr>
          <w:rFonts w:ascii="Consolas" w:hAnsi="Consolas"/>
          <w:color w:val="9B1B30"/>
          <w:sz w:val="19"/>
        </w:rPr>
        <w:t>Y</w:t>
      </w:r>
      <w:r>
        <w:t xml:space="preserve">, población y </w:t>
      </w:r>
      <w:r>
        <w:rPr>
          <w:b/>
        </w:rPr>
        <w:t>estimando</w:t>
      </w:r>
      <w:r>
        <w:t xml:space="preserve"> (ATE / ATT / LATE), y el </w:t>
      </w:r>
      <w:r>
        <w:rPr>
          <w:b/>
        </w:rPr>
        <w:t>contrafactual</w:t>
      </w:r>
      <w:r>
        <w:t xml:space="preserve"> en palabras?</w:t>
      </w:r>
    </w:p>
    <w:p>
      <w:pPr>
        <w:pStyle w:val="ListBullet"/>
        <w:spacing w:after="40"/>
      </w:pPr>
      <w:r>
        <w:t xml:space="preserve">[ ] 2. ¿Se dibujó el </w:t>
      </w:r>
      <w:r>
        <w:rPr>
          <w:b/>
        </w:rPr>
        <w:t>DAG</w:t>
      </w:r>
      <w:r>
        <w:t xml:space="preserve"> y se clasificó cada variable por su rol (tratamiento / resultado / confounder / mediador / collider / precisión)?</w:t>
      </w:r>
    </w:p>
    <w:p>
      <w:pPr>
        <w:pStyle w:val="ListBullet"/>
        <w:spacing w:after="40"/>
      </w:pPr>
      <w:r>
        <w:t xml:space="preserve">[ ] 3. ¿Se derivó el </w:t>
      </w:r>
      <w:r>
        <w:rPr>
          <w:b/>
        </w:rPr>
        <w:t>conjunto de ajuste</w:t>
      </w:r>
      <w:r>
        <w:t xml:space="preserve"> por el criterio de puerta trasera (cierra backdoors, sin descendientes de </w:t>
      </w:r>
      <w:r>
        <w:rPr>
          <w:rFonts w:ascii="Consolas" w:hAnsi="Consolas"/>
          <w:color w:val="9B1B30"/>
          <w:sz w:val="19"/>
        </w:rPr>
        <w:t>T</w:t>
      </w:r>
      <w:r>
        <w:t>)?</w:t>
      </w:r>
    </w:p>
    <w:p>
      <w:pPr>
        <w:pStyle w:val="ListBullet"/>
        <w:spacing w:after="40"/>
      </w:pPr>
      <w:r>
        <w:t xml:space="preserve">[ ] 4. ¿Se declaró el </w:t>
      </w:r>
      <w:r>
        <w:rPr>
          <w:b/>
        </w:rPr>
        <w:t>supuesto de identificación</w:t>
      </w:r>
      <w:r>
        <w:t xml:space="preserve"> del método (ignorabilidad + soporte común, tendencias paralelas, exclusión IV) y </w:t>
      </w:r>
      <w:r>
        <w:rPr>
          <w:b/>
        </w:rPr>
        <w:t>cómo se verificó</w:t>
      </w:r>
      <w:r>
        <w:t>?</w:t>
      </w:r>
    </w:p>
    <w:p>
      <w:pPr>
        <w:pStyle w:val="ListBullet"/>
        <w:spacing w:after="40"/>
      </w:pPr>
      <w:r>
        <w:t xml:space="preserve">[ ] 5. ¿Se reportó el efecto </w:t>
      </w:r>
      <w:r>
        <w:rPr>
          <w:b/>
        </w:rPr>
        <w:t>ajustado con su IC 95 %</w:t>
      </w:r>
      <w:r>
        <w:t xml:space="preserve"> y el </w:t>
      </w:r>
      <w:r>
        <w:rPr>
          <w:b/>
        </w:rPr>
        <w:t>naive</w:t>
      </w:r>
      <w:r>
        <w:t xml:space="preserve"> como contraste?</w:t>
      </w:r>
    </w:p>
    <w:p>
      <w:pPr>
        <w:pStyle w:val="ListBullet"/>
        <w:spacing w:after="40"/>
      </w:pPr>
      <w:r>
        <w:t xml:space="preserve">[ ] 6. ¿Se corrieron las </w:t>
      </w:r>
      <w:r>
        <w:rPr>
          <w:b/>
        </w:rPr>
        <w:t>refutaciones</w:t>
      </w:r>
      <w:r>
        <w:t xml:space="preserve"> (placebo ≈ 0, random common cause ≈ inalterado) y el análisis las pasó?</w:t>
      </w:r>
    </w:p>
    <w:p>
      <w:pPr>
        <w:pStyle w:val="ListBullet"/>
        <w:spacing w:after="40"/>
      </w:pPr>
      <w:r>
        <w:t xml:space="preserve">[ ] 7. ¿La </w:t>
      </w:r>
      <w:r>
        <w:rPr>
          <w:b/>
        </w:rPr>
        <w:t>decisión</w:t>
      </w:r>
      <w:r>
        <w:t xml:space="preserve"> combina magnitud vs. umbral, incertidumbre (IC) y credibilidad causal, y declara el </w:t>
      </w:r>
      <w:r>
        <w:rPr>
          <w:b/>
        </w:rPr>
        <w:t>nivel de evidencia</w:t>
      </w:r>
      <w:r>
        <w:t>?</w:t>
      </w:r>
    </w:p>
    <w:p>
      <w:pPr>
        <w:pStyle w:val="ListBullet"/>
        <w:spacing w:after="40"/>
      </w:pPr>
      <w:r>
        <w:t xml:space="preserve">[ ] 8. ¿Los resultados salieron a </w:t>
      </w:r>
      <w:r>
        <w:rPr>
          <w:rFonts w:ascii="Consolas" w:hAnsi="Consolas"/>
          <w:color w:val="9B1B30"/>
          <w:sz w:val="19"/>
        </w:rPr>
        <w:t>resultados/S12_resultados.xlsx</w:t>
      </w:r>
      <w:r>
        <w:t xml:space="preserve"> (hoja </w:t>
      </w:r>
      <w:r>
        <w:rPr>
          <w:rFonts w:ascii="Consolas" w:hAnsi="Consolas"/>
          <w:color w:val="9B1B30"/>
          <w:sz w:val="19"/>
        </w:rPr>
        <w:t>causal_did</w:t>
      </w:r>
      <w:r>
        <w:t xml:space="preserve">) y las figuras se trazaron </w:t>
      </w:r>
      <w:r>
        <w:rPr>
          <w:b/>
        </w:rPr>
        <w:t>al leerlo</w:t>
      </w:r>
      <w:r>
        <w:t>?</w:t>
      </w:r>
    </w:p>
    <w:p>
      <w:pPr>
        <w:pStyle w:val="ListBullet"/>
        <w:spacing w:after="40"/>
      </w:pPr>
      <w:r>
        <w:t xml:space="preserve">[ ] 9. ¿Toda cifra propia está etiquetada </w:t>
      </w:r>
      <w:r>
        <w:rPr>
          <w:i/>
        </w:rPr>
        <w:t>operativo = venv</w:t>
      </w:r>
      <w:r>
        <w:t xml:space="preserve"> y las de papers/otros pipelines van marcadas como </w:t>
      </w:r>
      <w:r>
        <w:rPr>
          <w:i/>
        </w:rPr>
        <w:t>benchmark publicado</w:t>
      </w:r>
      <w:r>
        <w:t>?</w:t>
      </w:r>
    </w:p>
    <w:p>
      <w:pPr>
        <w:spacing w:before="40" w:after="40"/>
        <w:pBdr>
          <w:bottom w:val="single" w:sz="6" w:space="1" w:color="D9D9D9"/>
        </w:pBdr>
      </w:pPr>
    </w:p>
    <w:p>
      <w:pPr>
        <w:spacing w:before="80" w:after="80" w:line="288" w:lineRule="auto"/>
        <w:ind w:left="85" w:right="85"/>
        <w:shd w:val="clear" w:color="auto" w:fill="F4F4F4"/>
        <w:pBdr>
          <w:left w:val="single" w:sz="24" w:space="10" w:color="E4002B"/>
        </w:pBdr>
      </w:pPr>
      <w:r>
        <w:rPr>
          <w:b/>
          <w:color w:val="2D2D2D"/>
        </w:rPr>
        <w:t>Uso en la sesión.</w:t>
      </w:r>
      <w:r>
        <w:rPr>
          <w:color w:val="2D2D2D"/>
        </w:rPr>
        <w:t xml:space="preserve"> Esta plantilla materializa el </w:t>
      </w:r>
      <w:r>
        <w:rPr>
          <w:b/>
          <w:color w:val="2D2D2D"/>
        </w:rPr>
        <w:t>entregable evaluable</w:t>
      </w:r>
      <w:r>
        <w:rPr>
          <w:color w:val="2D2D2D"/>
        </w:rPr>
        <w:t xml:space="preserve"> de S12: estimar el </w:t>
      </w:r>
      <w:r>
        <w:rPr>
          <w:b/>
          <w:color w:val="2D2D2D"/>
        </w:rPr>
        <w:t>efecto causal de una campaña de retención</w:t>
      </w:r>
      <w:r>
        <w:rPr>
          <w:color w:val="2D2D2D"/>
        </w:rPr>
        <w:t xml:space="preserve"> sobre datos observacionales (plantear DAG y contrafactual, elegir el backdoor, estimar con PSM/regresión/DoWhy, verificar los supuestos, hacer refutaciones y comunicar la recomendación con su incertidumbre). Se completa con el cuaderno </w:t>
      </w:r>
      <w:r>
        <w:rPr>
          <w:rFonts w:ascii="Consolas" w:hAnsi="Consolas"/>
          <w:color w:val="2D2D2D"/>
          <w:sz w:val="19"/>
        </w:rPr>
        <w:t>notebook/S12_inferencia_causal.ipynb</w:t>
      </w:r>
      <w:r>
        <w:rPr>
          <w:color w:val="2D2D2D"/>
        </w:rPr>
        <w:t xml:space="preserve"> (resultados y refutaciones exportados a </w:t>
      </w:r>
      <w:r>
        <w:rPr>
          <w:rFonts w:ascii="Consolas" w:hAnsi="Consolas"/>
          <w:color w:val="2D2D2D"/>
          <w:sz w:val="19"/>
        </w:rPr>
        <w:t>resultados/S12_resultados.xlsx</w:t>
      </w:r>
      <w:r>
        <w:rPr>
          <w:color w:val="2D2D2D"/>
        </w:rPr>
        <w:t xml:space="preserve">, hoja </w:t>
      </w:r>
      <w:r>
        <w:rPr>
          <w:rFonts w:ascii="Consolas" w:hAnsi="Consolas"/>
          <w:color w:val="2D2D2D"/>
          <w:sz w:val="19"/>
        </w:rPr>
        <w:t>causal_did</w:t>
      </w:r>
      <w:r>
        <w:rPr>
          <w:color w:val="2D2D2D"/>
        </w:rPr>
        <w:t xml:space="preserve">) y acompaña al entregable </w:t>
      </w:r>
      <w:r>
        <w:rPr>
          <w:rFonts w:ascii="Consolas" w:hAnsi="Consolas"/>
          <w:color w:val="2D2D2D"/>
          <w:sz w:val="19"/>
        </w:rPr>
        <w:t>evaluacion/entregable.docx</w:t>
      </w:r>
      <w:r>
        <w:rPr>
          <w:color w:val="2D2D2D"/>
        </w:rPr>
        <w:t xml:space="preserve"> con su rúbrica vigesimal 0–20 y a los drills (</w:t>
      </w:r>
      <w:r>
        <w:rPr>
          <w:rFonts w:ascii="Consolas" w:hAnsi="Consolas"/>
          <w:color w:val="2D2D2D"/>
          <w:sz w:val="19"/>
        </w:rPr>
        <w:t>evaluacion/drills.docx</w:t>
      </w:r>
      <w:r>
        <w:rPr>
          <w:color w:val="2D2D2D"/>
        </w:rPr>
        <w:t xml:space="preserve">: DAG y backdoor, tendencias paralelas, naive vs. PSM). La construcción del DAG y la regla de la puerta trasera están en la guía hermana </w:t>
      </w:r>
      <w:r>
        <w:rPr>
          <w:rFonts w:ascii="Consolas" w:hAnsi="Consolas"/>
          <w:color w:val="2D2D2D"/>
          <w:sz w:val="19"/>
        </w:rPr>
        <w:t>plantillas/guia_dags.docx</w:t>
      </w:r>
      <w:r>
        <w:rPr>
          <w:color w:val="2D2D2D"/>
        </w:rPr>
        <w:t xml:space="preserve">; el paso a paso está en </w:t>
      </w:r>
      <w:r>
        <w:rPr>
          <w:rFonts w:ascii="Consolas" w:hAnsi="Consolas"/>
          <w:color w:val="2D2D2D"/>
          <w:sz w:val="19"/>
        </w:rPr>
        <w:t>laboratorio/GUIA_LABORATORIO_S12.docx</w:t>
      </w:r>
      <w:r>
        <w:rPr>
          <w:color w:val="2D2D2D"/>
        </w:rPr>
        <w:t>.</w:t>
      </w:r>
    </w:p>
    <w:p>
      <w:pPr>
        <w:spacing w:before="0" w:after="160" w:line="288" w:lineRule="auto"/>
        <w:ind w:left="85" w:right="85"/>
        <w:shd w:val="clear" w:color="auto" w:fill="F4F4F4"/>
        <w:pBdr>
          <w:left w:val="single" w:sz="24" w:space="10" w:color="E4002B"/>
        </w:pBdr>
      </w:pPr>
      <w:r>
        <w:rPr>
          <w:color w:val="2D2D2D"/>
        </w:rPr>
        <w:t xml:space="preserve">Derivado de el glosario de la sesión (Sección 1 contrafactual, Sección 3 ATE/ATT, Sección 4 confounding/ignorabilidad, Secciones 5-6 DAG y puerta trasera, Secciones 9-10 propensity/PSM, Sección 12 DiD, Sección 13 IV, Sección 16 refutación), la guía de interpretación de resultados (Sección 3 naive vs. sesgo, Sección 4 soporte común, Sección 5 balance SMD, Sección 6 ATT del PSM, Sección 7 identify/estimate/refute, Sección 9 del efecto a la decisión), la ficha de la sesión de réplica del paper (Secciones 3-5 targets y operativos del venv) e la guía de supuestos de la sesión (Partes 2-6: identificación, DiD, PSM y refutaciones). Fuentes: Rubin (1974), J. Educ. Psychology 66(5); Pearl (1995), Biometrika 82(4) y Pearl (2009), </w:t>
      </w:r>
      <w:r>
        <w:rPr>
          <w:i/>
          <w:color w:val="2D2D2D"/>
        </w:rPr>
        <w:t>Causality</w:t>
      </w:r>
      <w:r>
        <w:rPr>
          <w:color w:val="2D2D2D"/>
        </w:rPr>
        <w:t xml:space="preserve"> 2.ª ed. (backdoor / colliders / d-separation); Rosenbaum &amp; Rubin (1983), Biometrika 70(1):41-55 (propensity score); Card &amp; Krueger (1994), AER 84(4):772-793 (DiD); Dehejia &amp; Wahba (2002), REStat 84(1):151-161 (PSM sobre LaLonde/NSW); Angrist, Imbens &amp; Rubin (1996), JASA 91(434) (IV/LATE); Sharma &amp; Kiciman (2020), arXiv 2011.04216 (DoWhy, refutación).</w:t>
      </w:r>
    </w:p>
    <w:sectPr w:rsidR="00FC693F" w:rsidRPr="0006063C" w:rsidSect="00034616">
      <w:headerReference w:type="default" r:id="rId16"/>
      <w:footerReference w:type="default" r:id="rId17"/>
      <w:pgSz w:w="12240" w:h="15840"/>
      <w:pgMar w:top="1134" w:right="1247"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2" w:color="D9D9D9"/>
      </w:pBdr>
    </w:pPr>
    <w:r>
      <w:rPr>
        <w:color w:val="6E6E6E"/>
        <w:sz w:val="16"/>
      </w:rPr>
      <w:t xml:space="preserve">Herramientas para la Ciencia de Datos, UPC, Facultad de Negocios     |     </w:t>
    </w:r>
    <w:r>
      <w:rPr>
        <w:color w:val="6E6E6E"/>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E4002B"/>
      </w:pBdr>
    </w:pPr>
    <w:r>
      <w:rPr>
        <w:color w:val="6E6E6E"/>
        <w:sz w:val="16"/>
      </w:rPr>
      <w:t>Plantilla de análisis causal — del contrafactual al DAG, la identificación, la estimación y la decisión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eader" Target="header1.xm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