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13</w:t>
      </w:r>
    </w:p>
    <w:p>
      <w:pPr>
        <w:pBdr>
          <w:bottom w:val="single" w:color="E4002B" w:sz="18" w:space="10"/>
        </w:pBdr>
        <w:spacing w:after="160"/>
      </w:pPr>
      <w:r>
        <w:rPr>
          <w:rFonts w:ascii="Cambria" w:cs="Cambria" w:eastAsia="Cambria" w:hAnsi="Cambria"/>
          <w:color w:val="7A1526"/>
          <w:sz w:val="28"/>
          <w:szCs w:val="28"/>
        </w:rPr>
        <w:t xml:space="preserve">Análisis de supervivencia: Kaplan-Meier, Cox y Customer Lifetime Value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13 · Análisis de supervivencia: datos censurados, función de supervivencia y hazard, Kaplan-Meier y log-rank, regresión de Cox y su supuesto de hazards proporcionales (Schoenfeld), y Customer Lifetime Value desde la curva de supervivencia. Continúa el arco de </w:t>
            </w:r>
            <w:r>
              <w:rPr>
                <w:rFonts w:ascii="Cambria" w:cs="Cambria" w:eastAsia="Cambria" w:hAnsi="Cambria"/>
                <w:b/>
                <w:bCs/>
                <w:color w:val="2D2D2D"/>
                <w:sz w:val="19"/>
                <w:szCs w:val="19"/>
              </w:rPr>
              <w:t xml:space="preserve">técnicas especializadas</w:t>
            </w:r>
            <w:r>
              <w:rPr>
                <w:rFonts w:ascii="Cambria" w:cs="Cambria" w:eastAsia="Cambria" w:hAnsi="Cambria"/>
                <w:color w:val="2D2D2D"/>
                <w:sz w:val="19"/>
                <w:szCs w:val="19"/>
              </w:rPr>
              <w:t xml:space="preserve"> de la Unidad 3.</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w:t>
            </w:r>
            <w:r>
              <w:rPr>
                <w:rFonts w:ascii="Cambria" w:cs="Cambria" w:eastAsia="Cambria" w:hAnsi="Cambria"/>
                <w:b/>
                <w:bCs/>
                <w:color w:val="2D2D2D"/>
                <w:sz w:val="19"/>
                <w:szCs w:val="19"/>
              </w:rPr>
              <w:t xml:space="preserve">en parejas ejecutada íntegramente en aula</w:t>
            </w:r>
            <w:r>
              <w:rPr>
                <w:rFonts w:ascii="Cambria" w:cs="Cambria" w:eastAsia="Cambria" w:hAnsi="Cambria"/>
                <w:color w:val="2D2D2D"/>
                <w:sz w:val="19"/>
                <w:szCs w:val="19"/>
              </w:rPr>
              <w:t xml:space="preserve">, conducida por el docente. Ningún paso del laboratorio es trabajo domiciliario: en casa se redacta el </w:t>
            </w:r>
            <w:r>
              <w:rPr>
                <w:rFonts w:ascii="Cambria" w:cs="Cambria" w:eastAsia="Cambria" w:hAnsi="Cambria"/>
                <w:b/>
                <w:bCs/>
                <w:color w:val="2D2D2D"/>
                <w:sz w:val="19"/>
                <w:szCs w:val="19"/>
              </w:rPr>
              <w:t xml:space="preserve">entregable</w:t>
            </w:r>
            <w:r>
              <w:rPr>
                <w:rFonts w:ascii="Cambria" w:cs="Cambria" w:eastAsia="Cambria" w:hAnsi="Cambria"/>
                <w:color w:val="2D2D2D"/>
                <w:sz w:val="19"/>
                <w:szCs w:val="19"/>
              </w:rPr>
              <w:t xml:space="preserve">, no se aprende el método. </w:t>
            </w:r>
            <w:r>
              <w:rPr>
                <w:rFonts w:ascii="Cambria" w:cs="Cambria" w:eastAsia="Cambria" w:hAnsi="Cambria"/>
                <w:b/>
                <w:bCs/>
                <w:color w:val="2D2D2D"/>
                <w:sz w:val="19"/>
                <w:szCs w:val="19"/>
              </w:rPr>
              <w:t xml:space="preserve">Entregable individual</w:t>
            </w:r>
            <w:r>
              <w:rPr>
                <w:rFonts w:ascii="Cambria" w:cs="Cambria" w:eastAsia="Cambria" w:hAnsi="Cambria"/>
                <w:color w:val="2D2D2D"/>
                <w:sz w:val="19"/>
                <w:szCs w:val="19"/>
              </w:rPr>
              <w:t xml:space="preserve">: cada estudiante construye su propio análisis de supervivencia de churn por segmento, calcula el CLV y redacta la recomendación de retención priorizada, y trata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como tiempo censurado.</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b/>
                <w:bCs/>
                <w:color w:val="2D2D2D"/>
                <w:sz w:val="19"/>
                <w:szCs w:val="19"/>
              </w:rPr>
              <w:t xml:space="preserve">~125 min</w:t>
            </w:r>
            <w:r>
              <w:rPr>
                <w:rFonts w:ascii="Cambria" w:cs="Cambria" w:eastAsia="Cambria" w:hAnsi="Cambria"/>
                <w:color w:val="2D2D2D"/>
                <w:sz w:val="19"/>
                <w:szCs w:val="19"/>
              </w:rPr>
              <w:t xml:space="preserve"> repartidos en las dos clases de la semana (pasos 0–5, réplica de Cox sobre Rossi + Veterans, ~95 min; paso 6, negocio Telco, ~30 min más el cierre). Reparto: los </w:t>
            </w:r>
            <w:r>
              <w:rPr>
                <w:rFonts w:ascii="Cambria" w:cs="Cambria" w:eastAsia="Cambria" w:hAnsi="Cambria"/>
                <w:b/>
                <w:bCs/>
                <w:color w:val="2D2D2D"/>
                <w:sz w:val="19"/>
                <w:szCs w:val="19"/>
              </w:rPr>
              <w:t xml:space="preserve">pasos 0 a 5</w:t>
            </w:r>
            <w:r>
              <w:rPr>
                <w:rFonts w:ascii="Cambria" w:cs="Cambria" w:eastAsia="Cambria" w:hAnsi="Cambria"/>
                <w:color w:val="2D2D2D"/>
                <w:sz w:val="19"/>
                <w:szCs w:val="19"/>
              </w:rPr>
              <w:t xml:space="preserve"> se ejecutan el </w:t>
            </w:r>
            <w:r>
              <w:rPr>
                <w:rFonts w:ascii="Cambria" w:cs="Cambria" w:eastAsia="Cambria" w:hAnsi="Cambria"/>
                <w:b/>
                <w:bCs/>
                <w:color w:val="2D2D2D"/>
                <w:sz w:val="19"/>
                <w:szCs w:val="19"/>
              </w:rPr>
              <w:t xml:space="preserve">jueves</w:t>
            </w:r>
            <w:r>
              <w:rPr>
                <w:rFonts w:ascii="Cambria" w:cs="Cambria" w:eastAsia="Cambria" w:hAnsi="Cambria"/>
                <w:color w:val="2D2D2D"/>
                <w:sz w:val="19"/>
                <w:szCs w:val="19"/>
              </w:rPr>
              <w:t xml:space="preserve"> en el capítulo 13.5 (bloque A2), y el </w:t>
            </w:r>
            <w:r>
              <w:rPr>
                <w:rFonts w:ascii="Cambria" w:cs="Cambria" w:eastAsia="Cambria" w:hAnsi="Cambria"/>
                <w:b/>
                <w:bCs/>
                <w:color w:val="2D2D2D"/>
                <w:sz w:val="19"/>
                <w:szCs w:val="19"/>
              </w:rPr>
              <w:t xml:space="preserve">paso 6</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viernes</w:t>
            </w:r>
            <w:r>
              <w:rPr>
                <w:rFonts w:ascii="Cambria" w:cs="Cambria" w:eastAsia="Cambria" w:hAnsi="Cambria"/>
                <w:color w:val="2D2D2D"/>
                <w:sz w:val="19"/>
                <w:szCs w:val="19"/>
              </w:rPr>
              <w:t xml:space="preserve"> en el capítulo 13.8 (bloque B).</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notebook/S13_supervivencia.ipynb</w:t>
            </w:r>
            <w:r>
              <w:rPr>
                <w:rFonts w:ascii="Cambria" w:cs="Cambria" w:eastAsia="Cambria" w:hAnsi="Cambria"/>
                <w:color w:val="2D2D2D"/>
                <w:sz w:val="19"/>
                <w:szCs w:val="19"/>
              </w:rPr>
              <w:t xml:space="preserve"> (botón «Abrir en Colab» en su portada) · </w:t>
            </w:r>
            <w:r>
              <w:rPr>
                <w:rFonts w:ascii="Cambria" w:cs="Cambria" w:eastAsia="Cambria" w:hAnsi="Cambria"/>
                <w:b/>
                <w:bCs/>
                <w:color w:val="2D2D2D"/>
                <w:sz w:val="19"/>
                <w:szCs w:val="19"/>
              </w:rPr>
              <w:t xml:space="preserve">sección de Replicación</w:t>
            </w:r>
            <w:r>
              <w:rPr>
                <w:rFonts w:ascii="Cambria" w:cs="Cambria" w:eastAsia="Cambria" w:hAnsi="Cambria"/>
                <w:color w:val="2D2D2D"/>
                <w:sz w:val="19"/>
                <w:szCs w:val="19"/>
              </w:rPr>
              <w:t xml:space="preserve"> = pasos 0–5 (Cox sobre Rossi + Veterans) · </w:t>
            </w:r>
            <w:r>
              <w:rPr>
                <w:rFonts w:ascii="Cambria" w:cs="Cambria" w:eastAsia="Cambria" w:hAnsi="Cambria"/>
                <w:b/>
                <w:bCs/>
                <w:color w:val="2D2D2D"/>
                <w:sz w:val="19"/>
                <w:szCs w:val="19"/>
              </w:rPr>
              <w:t xml:space="preserve">sección de Laboratorio de negocio</w:t>
            </w:r>
            <w:r>
              <w:rPr>
                <w:rFonts w:ascii="Cambria" w:cs="Cambria" w:eastAsia="Cambria" w:hAnsi="Cambria"/>
                <w:color w:val="2D2D2D"/>
                <w:sz w:val="19"/>
                <w:szCs w:val="19"/>
              </w:rPr>
              <w:t xml:space="preserve"> = paso 6 (Telco: KM por contrato, Cox tiempo-hasta-churn, CLV y recomendación).</w:t>
            </w:r>
          </w:p>
        </w:tc>
      </w:tr>
    </w:tbl>
    <w:p>
      <w:pPr>
        <w:spacing w:after="15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sobre el dataframe original de Rossi los tres números ancla de la réplica de Cox — los </w:t>
            </w:r>
            <w:r>
              <w:rPr>
                <w:rFonts w:ascii="Cambria" w:cs="Cambria" w:eastAsia="Cambria" w:hAnsi="Cambria"/>
                <w:b/>
                <w:bCs/>
                <w:color w:val="FFFFFF"/>
                <w:sz w:val="21"/>
                <w:szCs w:val="21"/>
              </w:rPr>
              <w:t xml:space="preserve">hazard ratio</w:t>
            </w:r>
            <w:r>
              <w:rPr>
                <w:rFonts w:ascii="Cambria" w:cs="Cambria" w:eastAsia="Cambria" w:hAnsi="Cambria"/>
                <w:color w:val="FFFFFF"/>
                <w:sz w:val="21"/>
                <w:szCs w:val="21"/>
              </w:rPr>
              <w:t xml:space="preserve"> de </w:t>
            </w:r>
            <w:r>
              <w:rPr>
                <w:rFonts w:ascii="Consolas" w:cs="Consolas" w:eastAsia="Consolas" w:hAnsi="Consolas"/>
                <w:color w:val="FFFFFF"/>
                <w:sz w:val="19"/>
                <w:szCs w:val="19"/>
              </w:rPr>
              <w:t xml:space="preserve">fin</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0,684</w:t>
            </w:r>
            <w:r>
              <w:rPr>
                <w:rFonts w:ascii="Cambria" w:cs="Cambria" w:eastAsia="Cambria" w:hAnsi="Cambria"/>
                <w:color w:val="FFFFFF"/>
                <w:sz w:val="21"/>
                <w:szCs w:val="21"/>
              </w:rPr>
              <w:t xml:space="preserve">, protector), </w:t>
            </w:r>
            <w:r>
              <w:rPr>
                <w:rFonts w:ascii="Consolas" w:cs="Consolas" w:eastAsia="Consolas" w:hAnsi="Consolas"/>
                <w:color w:val="FFFFFF"/>
                <w:sz w:val="19"/>
                <w:szCs w:val="19"/>
              </w:rPr>
              <w:t xml:space="preserve">age</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0,944</w:t>
            </w:r>
            <w:r>
              <w:rPr>
                <w:rFonts w:ascii="Cambria" w:cs="Cambria" w:eastAsia="Cambria" w:hAnsi="Cambria"/>
                <w:color w:val="FFFFFF"/>
                <w:sz w:val="21"/>
                <w:szCs w:val="21"/>
              </w:rPr>
              <w:t xml:space="preserve">, protector) y </w:t>
            </w:r>
            <w:r>
              <w:rPr>
                <w:rFonts w:ascii="Consolas" w:cs="Consolas" w:eastAsia="Consolas" w:hAnsi="Consolas"/>
                <w:color w:val="FFFFFF"/>
                <w:sz w:val="19"/>
                <w:szCs w:val="19"/>
              </w:rPr>
              <w:t xml:space="preserve">prio</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1,096</w:t>
            </w:r>
            <w:r>
              <w:rPr>
                <w:rFonts w:ascii="Cambria" w:cs="Cambria" w:eastAsia="Cambria" w:hAnsi="Cambria"/>
                <w:color w:val="FFFFFF"/>
                <w:sz w:val="21"/>
                <w:szCs w:val="21"/>
              </w:rPr>
              <w:t xml:space="preserve">, riesgo) — y el diagnóstico de Schoenfeld que muestra que </w:t>
            </w:r>
            <w:r>
              <w:rPr>
                <w:rFonts w:ascii="Consolas" w:cs="Consolas" w:eastAsia="Consolas" w:hAnsi="Consolas"/>
                <w:b/>
                <w:bCs/>
                <w:color w:val="FFFFFF"/>
                <w:sz w:val="19"/>
                <w:szCs w:val="19"/>
              </w:rPr>
              <w:t xml:space="preserve">age</w:t>
            </w:r>
            <w:r>
              <w:rPr>
                <w:rFonts w:ascii="Cambria" w:cs="Cambria" w:eastAsia="Cambria" w:hAnsi="Cambria"/>
                <w:b/>
                <w:bCs/>
                <w:color w:val="FFFFFF"/>
                <w:sz w:val="21"/>
                <w:szCs w:val="21"/>
              </w:rPr>
              <w:t xml:space="preserve"> viola el supuesto de hazards proporcionales</w:t>
            </w:r>
            <w:r>
              <w:rPr>
                <w:rFonts w:ascii="Cambria" w:cs="Cambria" w:eastAsia="Cambria" w:hAnsi="Cambria"/>
                <w:color w:val="FFFFFF"/>
                <w:sz w:val="21"/>
                <w:szCs w:val="21"/>
              </w:rPr>
              <w:t xml:space="preserve"> (p ≈ 0,0007), y comprobar que caen dentro de la tolerancia declarado para la sesión de la sesión: la ayuda financiera </w:t>
            </w:r>
            <w:r>
              <w:rPr>
                <w:rFonts w:ascii="Cambria" w:cs="Cambria" w:eastAsia="Cambria" w:hAnsi="Cambria"/>
                <w:b/>
                <w:bCs/>
                <w:color w:val="FFFFFF"/>
                <w:sz w:val="21"/>
                <w:szCs w:val="21"/>
              </w:rPr>
              <w:t xml:space="preserve">reduce</w:t>
            </w:r>
            <w:r>
              <w:rPr>
                <w:rFonts w:ascii="Cambria" w:cs="Cambria" w:eastAsia="Cambria" w:hAnsi="Cambria"/>
                <w:color w:val="FFFFFF"/>
                <w:sz w:val="21"/>
                <w:szCs w:val="21"/>
              </w:rPr>
              <w:t xml:space="preserve"> el hazard de reincidencia ~32 %, cada año de edad lo reduce ~6 %, cada antecedente previo lo </w:t>
            </w:r>
            <w:r>
              <w:rPr>
                <w:rFonts w:ascii="Cambria" w:cs="Cambria" w:eastAsia="Cambria" w:hAnsi="Cambria"/>
                <w:b/>
                <w:bCs/>
                <w:color w:val="FFFFFF"/>
                <w:sz w:val="21"/>
                <w:szCs w:val="21"/>
              </w:rPr>
              <w:t xml:space="preserve">aumenta</w:t>
            </w:r>
            <w:r>
              <w:rPr>
                <w:rFonts w:ascii="Cambria" w:cs="Cambria" w:eastAsia="Cambria" w:hAnsi="Cambria"/>
                <w:color w:val="FFFFFF"/>
                <w:sz w:val="21"/>
                <w:szCs w:val="21"/>
              </w:rPr>
              <w:t xml:space="preserve"> ~10 %, y el efecto de la edad </w:t>
            </w:r>
            <w:r>
              <w:rPr>
                <w:rFonts w:ascii="Cambria" w:cs="Cambria" w:eastAsia="Cambria" w:hAnsi="Cambria"/>
                <w:b/>
                <w:bCs/>
                <w:color w:val="FFFFFF"/>
                <w:sz w:val="21"/>
                <w:szCs w:val="21"/>
              </w:rPr>
              <w:t xml:space="preserve">no es constante en el tiempo</w:t>
            </w:r>
            <w:r>
              <w:rPr>
                <w:rFonts w:ascii="Cambria" w:cs="Cambria" w:eastAsia="Cambria" w:hAnsi="Cambria"/>
                <w:color w:val="FFFFFF"/>
                <w:sz w:val="21"/>
                <w:szCs w:val="21"/>
              </w:rPr>
              <w:t xml:space="preserve"> (protege más a largo plazo). En el camino se motiva la </w:t>
            </w:r>
            <w:r>
              <w:rPr>
                <w:rFonts w:ascii="Cambria" w:cs="Cambria" w:eastAsia="Cambria" w:hAnsi="Cambria"/>
                <w:b/>
                <w:bCs/>
                <w:color w:val="FFFFFF"/>
                <w:sz w:val="21"/>
                <w:szCs w:val="21"/>
              </w:rPr>
              <w:t xml:space="preserve">censura por la derecha</w:t>
            </w:r>
            <w:r>
              <w:rPr>
                <w:rFonts w:ascii="Cambria" w:cs="Cambria" w:eastAsia="Cambria" w:hAnsi="Cambria"/>
                <w:color w:val="FFFFFF"/>
                <w:sz w:val="21"/>
                <w:szCs w:val="21"/>
              </w:rPr>
              <w:t xml:space="preserve"> (74 % de Rossi está censurado), se estiman curvas de </w:t>
            </w:r>
            <w:r>
              <w:rPr>
                <w:rFonts w:ascii="Cambria" w:cs="Cambria" w:eastAsia="Cambria" w:hAnsi="Cambria"/>
                <w:b/>
                <w:bCs/>
                <w:color w:val="FFFFFF"/>
                <w:sz w:val="21"/>
                <w:szCs w:val="21"/>
              </w:rPr>
              <w:t xml:space="preserve">Kaplan-Meier</w:t>
            </w:r>
            <w:r>
              <w:rPr>
                <w:rFonts w:ascii="Cambria" w:cs="Cambria" w:eastAsia="Cambria" w:hAnsi="Cambria"/>
                <w:color w:val="FFFFFF"/>
                <w:sz w:val="21"/>
                <w:szCs w:val="21"/>
              </w:rPr>
              <w:t xml:space="preserve"> por ayuda financiera con su </w:t>
            </w:r>
            <w:r>
              <w:rPr>
                <w:rFonts w:ascii="Cambria" w:cs="Cambria" w:eastAsia="Cambria" w:hAnsi="Cambria"/>
                <w:b/>
                <w:bCs/>
                <w:color w:val="FFFFFF"/>
                <w:sz w:val="21"/>
                <w:szCs w:val="21"/>
              </w:rPr>
              <w:t xml:space="preserve">log-rank</w:t>
            </w:r>
            <w:r>
              <w:rPr>
                <w:rFonts w:ascii="Cambria" w:cs="Cambria" w:eastAsia="Cambria" w:hAnsi="Cambria"/>
                <w:color w:val="FFFFFF"/>
                <w:sz w:val="21"/>
                <w:szCs w:val="21"/>
              </w:rPr>
              <w:t xml:space="preserve">, y se reportan la </w:t>
            </w:r>
            <w:r>
              <w:rPr>
                <w:rFonts w:ascii="Cambria" w:cs="Cambria" w:eastAsia="Cambria" w:hAnsi="Cambria"/>
                <w:b/>
                <w:bCs/>
                <w:color w:val="FFFFFF"/>
                <w:sz w:val="21"/>
                <w:szCs w:val="21"/>
              </w:rPr>
              <w:t xml:space="preserve">concordancia</w:t>
            </w:r>
            <w:r>
              <w:rPr>
                <w:rFonts w:ascii="Cambria" w:cs="Cambria" w:eastAsia="Cambria" w:hAnsi="Cambria"/>
                <w:color w:val="FFFFFF"/>
                <w:sz w:val="21"/>
                <w:szCs w:val="21"/>
              </w:rPr>
              <w:t xml:space="preserve"> (C-index ≈ 0,64), el LR test y la log-verosimilitud parcial. Después se </w:t>
            </w:r>
            <w:r>
              <w:rPr>
                <w:rFonts w:ascii="Cambria" w:cs="Cambria" w:eastAsia="Cambria" w:hAnsi="Cambria"/>
                <w:b/>
                <w:bCs/>
                <w:color w:val="FFFFFF"/>
                <w:sz w:val="21"/>
                <w:szCs w:val="21"/>
              </w:rPr>
              <w:t xml:space="preserve">refuerza</w:t>
            </w:r>
            <w:r>
              <w:rPr>
                <w:rFonts w:ascii="Cambria" w:cs="Cambria" w:eastAsia="Cambria" w:hAnsi="Cambria"/>
                <w:color w:val="FFFFFF"/>
                <w:sz w:val="21"/>
                <w:szCs w:val="21"/>
              </w:rPr>
              <w:t xml:space="preserve"> con una segunda regresión de Cox sobre </w:t>
            </w:r>
            <w:r>
              <w:rPr>
                <w:rFonts w:ascii="Cambria" w:cs="Cambria" w:eastAsia="Cambria" w:hAnsi="Cambria"/>
                <w:b/>
                <w:bCs/>
                <w:color w:val="FFFFFF"/>
                <w:sz w:val="21"/>
                <w:szCs w:val="21"/>
              </w:rPr>
              <w:t xml:space="preserve">Veterans' Lung Cancer</w:t>
            </w:r>
            <w:r>
              <w:rPr>
                <w:rFonts w:ascii="Cambria" w:cs="Cambria" w:eastAsia="Cambria" w:hAnsi="Cambria"/>
                <w:color w:val="FFFFFF"/>
                <w:sz w:val="21"/>
                <w:szCs w:val="21"/>
              </w:rPr>
              <w:t xml:space="preserve">: el índice de Karnofsky (</w:t>
            </w:r>
            <w:r>
              <w:rPr>
                <w:rFonts w:ascii="Consolas" w:cs="Consolas" w:eastAsia="Consolas" w:hAnsi="Consolas"/>
                <w:color w:val="FFFFFF"/>
                <w:sz w:val="19"/>
                <w:szCs w:val="19"/>
              </w:rPr>
              <w:t xml:space="preserve">karno</w:t>
            </w:r>
            <w:r>
              <w:rPr>
                <w:rFonts w:ascii="Cambria" w:cs="Cambria" w:eastAsia="Cambria" w:hAnsi="Cambria"/>
                <w:color w:val="FFFFFF"/>
                <w:sz w:val="21"/>
                <w:szCs w:val="21"/>
              </w:rPr>
              <w:t xml:space="preserve">) es </w:t>
            </w:r>
            <w:r>
              <w:rPr>
                <w:rFonts w:ascii="Cambria" w:cs="Cambria" w:eastAsia="Cambria" w:hAnsi="Cambria"/>
                <w:b/>
                <w:bCs/>
                <w:color w:val="FFFFFF"/>
                <w:sz w:val="21"/>
                <w:szCs w:val="21"/>
              </w:rPr>
              <w:t xml:space="preserve">fuertemente protector</w:t>
            </w:r>
            <w:r>
              <w:rPr>
                <w:rFonts w:ascii="Cambria" w:cs="Cambria" w:eastAsia="Cambria" w:hAnsi="Cambria"/>
                <w:color w:val="FFFFFF"/>
                <w:sz w:val="21"/>
                <w:szCs w:val="21"/>
              </w:rPr>
              <w:t xml:space="preserve"> (HR ≈ 0,97 por punto) y el tratamiento (</w:t>
            </w:r>
            <w:r>
              <w:rPr>
                <w:rFonts w:ascii="Consolas" w:cs="Consolas" w:eastAsia="Consolas" w:hAnsi="Consolas"/>
                <w:color w:val="FFFFFF"/>
                <w:sz w:val="19"/>
                <w:szCs w:val="19"/>
              </w:rPr>
              <w:t xml:space="preserve">trt</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no</w:t>
            </w:r>
            <w:r>
              <w:rPr>
                <w:rFonts w:ascii="Cambria" w:cs="Cambria" w:eastAsia="Cambria" w:hAnsi="Cambria"/>
                <w:color w:val="FFFFFF"/>
                <w:sz w:val="21"/>
                <w:szCs w:val="21"/>
              </w:rPr>
              <w:t xml:space="preserve"> es significativo (p ≈ 0,16) una vez ajustado por el estado funcional — la lección de que un tratamiento «nuevo» puede no aportar nada tras controlar por la condición basal del paciente. Por último se traslada la técnica al negocio sobre </w:t>
            </w:r>
            <w:r>
              <w:rPr>
                <w:rFonts w:ascii="Cambria" w:cs="Cambria" w:eastAsia="Cambria" w:hAnsi="Cambria"/>
                <w:b/>
                <w:bCs/>
                <w:color w:val="FFFFFF"/>
                <w:sz w:val="21"/>
                <w:szCs w:val="21"/>
              </w:rPr>
              <w:t xml:space="preserve">Telco Customer </w:t>
            </w:r>
            <w:r>
              <w:rPr>
                <w:rFonts w:ascii="Consolas" w:cs="Consolas" w:eastAsia="Consolas" w:hAnsi="Consolas"/>
                <w:b/>
                <w:bCs/>
                <w:color w:val="FFFFFF"/>
                <w:sz w:val="19"/>
                <w:szCs w:val="19"/>
              </w:rPr>
              <w:t xml:space="preserve">Churn</w:t>
            </w:r>
            <w:r>
              <w:rPr>
                <w:rFonts w:ascii="Cambria" w:cs="Cambria" w:eastAsia="Cambria" w:hAnsi="Cambria"/>
                <w:color w:val="FFFFFF"/>
                <w:sz w:val="21"/>
                <w:szCs w:val="21"/>
              </w:rPr>
              <w:t xml:space="preserve">: se reconoce </w:t>
            </w:r>
            <w:r>
              <w:rPr>
                <w:rFonts w:ascii="Consolas" w:cs="Consolas" w:eastAsia="Consolas" w:hAnsi="Consolas"/>
                <w:color w:val="FFFFFF"/>
                <w:sz w:val="19"/>
                <w:szCs w:val="19"/>
              </w:rPr>
              <w:t xml:space="preserve">tenure</w:t>
            </w:r>
            <w:r>
              <w:rPr>
                <w:rFonts w:ascii="Cambria" w:cs="Cambria" w:eastAsia="Cambria" w:hAnsi="Cambria"/>
                <w:color w:val="FFFFFF"/>
                <w:sz w:val="21"/>
                <w:szCs w:val="21"/>
              </w:rPr>
              <w:t xml:space="preserve"> como </w:t>
            </w:r>
            <w:r>
              <w:rPr>
                <w:rFonts w:ascii="Cambria" w:cs="Cambria" w:eastAsia="Cambria" w:hAnsi="Cambria"/>
                <w:b/>
                <w:bCs/>
                <w:color w:val="FFFFFF"/>
                <w:sz w:val="21"/>
                <w:szCs w:val="21"/>
              </w:rPr>
              <w:t xml:space="preserve">tiempo censurado</w:t>
            </w:r>
            <w:r>
              <w:rPr>
                <w:rFonts w:ascii="Cambria" w:cs="Cambria" w:eastAsia="Cambria" w:hAnsi="Cambria"/>
                <w:color w:val="FFFFFF"/>
                <w:sz w:val="21"/>
                <w:szCs w:val="21"/>
              </w:rPr>
              <w:t xml:space="preserve"> (los clientes activos no han «terminado»), se estiman curvas de </w:t>
            </w:r>
            <w:r>
              <w:rPr>
                <w:rFonts w:ascii="Cambria" w:cs="Cambria" w:eastAsia="Cambria" w:hAnsi="Cambria"/>
                <w:b/>
                <w:bCs/>
                <w:color w:val="FFFFFF"/>
                <w:sz w:val="21"/>
                <w:szCs w:val="21"/>
              </w:rPr>
              <w:t xml:space="preserve">Kaplan-Meier por tipo de contrato</w:t>
            </w:r>
            <w:r>
              <w:rPr>
                <w:rFonts w:ascii="Cambria" w:cs="Cambria" w:eastAsia="Cambria" w:hAnsi="Cambria"/>
                <w:color w:val="FFFFFF"/>
                <w:sz w:val="21"/>
                <w:szCs w:val="21"/>
              </w:rPr>
              <w:t xml:space="preserve"> (retención S(t) muy separada: S(72) de 0,129 en mes-a-mes vs. 0,936 en dos años), se ajusta una </w:t>
            </w:r>
            <w:r>
              <w:rPr>
                <w:rFonts w:ascii="Cambria" w:cs="Cambria" w:eastAsia="Cambria" w:hAnsi="Cambria"/>
                <w:b/>
                <w:bCs/>
                <w:color w:val="FFFFFF"/>
                <w:sz w:val="21"/>
                <w:szCs w:val="21"/>
              </w:rPr>
              <w:t xml:space="preserve">Cox tiempo-hasta-churn</w:t>
            </w:r>
            <w:r>
              <w:rPr>
                <w:rFonts w:ascii="Cambria" w:cs="Cambria" w:eastAsia="Cambria" w:hAnsi="Cambria"/>
                <w:color w:val="FFFFFF"/>
                <w:sz w:val="21"/>
                <w:szCs w:val="21"/>
              </w:rPr>
              <w:t xml:space="preserve"> (contrato mes-a-mes con HR ≈ </w:t>
            </w:r>
            <w:r>
              <w:rPr>
                <w:rFonts w:ascii="Cambria" w:cs="Cambria" w:eastAsia="Cambria" w:hAnsi="Cambria"/>
                <w:b/>
                <w:bCs/>
                <w:color w:val="FFFFFF"/>
                <w:sz w:val="21"/>
                <w:szCs w:val="21"/>
              </w:rPr>
              <w:t xml:space="preserve">15,7</w:t>
            </w:r>
            <w:r>
              <w:rPr>
                <w:rFonts w:ascii="Cambria" w:cs="Cambria" w:eastAsia="Cambria" w:hAnsi="Cambria"/>
                <w:color w:val="FFFFFF"/>
                <w:sz w:val="21"/>
                <w:szCs w:val="21"/>
              </w:rPr>
              <w:t xml:space="preserve">), se calcula el </w:t>
            </w:r>
            <w:r>
              <w:rPr>
                <w:rFonts w:ascii="Cambria" w:cs="Cambria" w:eastAsia="Cambria" w:hAnsi="Cambria"/>
                <w:b/>
                <w:bCs/>
                <w:color w:val="FFFFFF"/>
                <w:sz w:val="21"/>
                <w:szCs w:val="21"/>
              </w:rPr>
              <w:t xml:space="preserve">ingreso descontado por cliente (LTV bruto)</w:t>
            </w:r>
            <w:r>
              <w:rPr>
                <w:rFonts w:ascii="Cambria" w:cs="Cambria" w:eastAsia="Cambria" w:hAnsi="Cambria"/>
                <w:color w:val="FFFFFF"/>
                <w:sz w:val="21"/>
                <w:szCs w:val="21"/>
              </w:rPr>
              <w:t xml:space="preserve"> por segmento (con m = </w:t>
            </w:r>
            <w:r>
              <w:rPr>
                <w:rFonts w:ascii="Consolas" w:cs="Consolas" w:eastAsia="Consolas" w:hAnsi="Consolas"/>
                <w:color w:val="FFFFFF"/>
                <w:sz w:val="19"/>
                <w:szCs w:val="19"/>
              </w:rPr>
              <w:t xml:space="preserve">MonthlyCharges</w:t>
            </w:r>
            <w:r>
              <w:rPr>
                <w:rFonts w:ascii="Cambria" w:cs="Cambria" w:eastAsia="Cambria" w:hAnsi="Cambria"/>
                <w:color w:val="FFFFFF"/>
                <w:sz w:val="21"/>
                <w:szCs w:val="21"/>
              </w:rPr>
              <w:t xml:space="preserve"> = </w:t>
            </w:r>
            <w:r>
              <w:rPr>
                <w:rFonts w:ascii="Cambria" w:cs="Cambria" w:eastAsia="Cambria" w:hAnsi="Cambria"/>
                <w:b/>
                <w:bCs/>
                <w:color w:val="FFFFFF"/>
                <w:sz w:val="21"/>
                <w:szCs w:val="21"/>
              </w:rPr>
              <w:t xml:space="preserve">ingreso</w:t>
            </w:r>
            <w:r>
              <w:rPr>
                <w:rFonts w:ascii="Cambria" w:cs="Cambria" w:eastAsia="Cambria" w:hAnsi="Cambria"/>
                <w:color w:val="FFFFFF"/>
                <w:sz w:val="21"/>
                <w:szCs w:val="21"/>
              </w:rPr>
              <w:t xml:space="preserve">, no margen: un CLV real aún aplicaría un </w:t>
            </w:r>
            <w:r>
              <w:rPr>
                <w:rFonts w:ascii="Cambria" w:cs="Cambria" w:eastAsia="Cambria" w:hAnsi="Cambria"/>
                <w:b/>
                <w:bCs/>
                <w:color w:val="FFFFFF"/>
                <w:sz w:val="21"/>
                <w:szCs w:val="21"/>
              </w:rPr>
              <w:t xml:space="preserve">margen</w:t>
            </w:r>
            <w:r>
              <w:rPr>
                <w:rFonts w:ascii="Cambria" w:cs="Cambria" w:eastAsia="Cambria" w:hAnsi="Cambria"/>
                <w:color w:val="FFFFFF"/>
                <w:sz w:val="21"/>
                <w:szCs w:val="21"/>
              </w:rPr>
              <w:t xml:space="preserve"> y restaría el </w:t>
            </w:r>
            <w:r>
              <w:rPr>
                <w:rFonts w:ascii="Cambria" w:cs="Cambria" w:eastAsia="Cambria" w:hAnsi="Cambria"/>
                <w:b/>
                <w:bCs/>
                <w:color w:val="FFFFFF"/>
                <w:sz w:val="21"/>
                <w:szCs w:val="21"/>
              </w:rPr>
              <w:t xml:space="preserve">coste de campaña</w:t>
            </w:r>
            <w:r>
              <w:rPr>
                <w:rFonts w:ascii="Cambria" w:cs="Cambria" w:eastAsia="Cambria" w:hAnsi="Cambria"/>
                <w:color w:val="FFFFFF"/>
                <w:sz w:val="21"/>
                <w:szCs w:val="21"/>
              </w:rPr>
              <w:t xml:space="preserve">) y se comunica la </w:t>
            </w:r>
            <w:r>
              <w:rPr>
                <w:rFonts w:ascii="Cambria" w:cs="Cambria" w:eastAsia="Cambria" w:hAnsi="Cambria"/>
                <w:b/>
                <w:bCs/>
                <w:color w:val="FFFFFF"/>
                <w:sz w:val="21"/>
                <w:szCs w:val="21"/>
              </w:rPr>
              <w:t xml:space="preserve">recomendación</w:t>
            </w:r>
            <w:r>
              <w:rPr>
                <w:rFonts w:ascii="Cambria" w:cs="Cambria" w:eastAsia="Cambria" w:hAnsi="Cambria"/>
                <w:color w:val="FFFFFF"/>
                <w:sz w:val="21"/>
                <w:szCs w:val="21"/>
              </w:rPr>
              <w:t xml:space="preserve">: migrar el segmento mes-a-mes a contratos anuales, cuyo LTV bruto (~3 100) casi duplica al mensual (1 803,77) — la retención domina el valor (el motor robusto es </w:t>
            </w:r>
            <w:r>
              <w:rPr>
                <w:rFonts w:ascii="Cambria" w:cs="Cambria" w:eastAsia="Cambria" w:hAnsi="Cambria"/>
                <w:b/>
                <w:bCs/>
                <w:color w:val="FFFFFF"/>
                <w:sz w:val="21"/>
                <w:szCs w:val="21"/>
              </w:rPr>
              <w:t xml:space="preserve">retención × margen</w:t>
            </w:r>
            <w:r>
              <w:rPr>
                <w:rFonts w:ascii="Cambria" w:cs="Cambria" w:eastAsia="Cambria" w:hAnsi="Cambria"/>
                <w:color w:val="FFFFFF"/>
                <w:sz w:val="21"/>
                <w:szCs w:val="21"/>
              </w:rPr>
              <w:t xml:space="preserve">). Al cerrar el laboratorio se cuenta con dos réplicas más del portafolio del curso (Cox sobre Rossi y sobre Veterans) y con el borrador del </w:t>
            </w:r>
            <w:r>
              <w:rPr>
                <w:rFonts w:ascii="Cambria" w:cs="Cambria" w:eastAsia="Cambria" w:hAnsi="Cambria"/>
                <w:b/>
                <w:bCs/>
                <w:color w:val="FFFFFF"/>
                <w:sz w:val="21"/>
                <w:szCs w:val="21"/>
              </w:rPr>
              <w:t xml:space="preserve">entregable evaluable de la S13</w:t>
            </w:r>
            <w:r>
              <w:rPr>
                <w:rFonts w:ascii="Cambria" w:cs="Cambria" w:eastAsia="Cambria" w:hAnsi="Cambria"/>
                <w:color w:val="FFFFFF"/>
                <w:sz w:val="21"/>
                <w:szCs w:val="21"/>
              </w:rPr>
              <w:t xml:space="preserve">.</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Réplica de la regresión de Cox (1972) sobre Rossi, con refuerzo en Veterans (pasos 0–5)</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~95 min · jueves, cap. 13.5</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Del paper al negocio: Telco con Kaplan-Meier, Cox y CLV (paso 6)</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~30 min · viernes, cap. 13.8</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Conexión con el entregable y el proyecto integrador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entregable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 (6 targets)</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10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color w:val="2D2D2D"/>
          <w:sz w:val="19"/>
          <w:szCs w:val="19"/>
        </w:rPr>
        <w:t xml:space="preserve">Abrir </w:t>
      </w:r>
      <w:r>
        <w:rPr>
          <w:rFonts w:ascii="Consolas" w:cs="Consolas" w:eastAsia="Consolas" w:hAnsi="Consolas"/>
          <w:color w:val="7A1526"/>
          <w:sz w:val="17"/>
          <w:szCs w:val="17"/>
        </w:rPr>
        <w:t xml:space="preserve">notebook/S13_supervivencia.ipynb</w:t>
      </w:r>
      <w:r>
        <w:rPr>
          <w:rFonts w:ascii="Cambria" w:cs="Cambria" w:eastAsia="Cambria" w:hAnsi="Cambria"/>
          <w:color w:val="2D2D2D"/>
          <w:sz w:val="19"/>
          <w:szCs w:val="19"/>
        </w:rPr>
        <w:t xml:space="preserve"> en Google Colab (o en el venv local); su </w:t>
      </w:r>
      <w:r>
        <w:rPr>
          <w:rFonts w:ascii="Cambria" w:cs="Cambria" w:eastAsia="Cambria" w:hAnsi="Cambria"/>
          <w:b/>
          <w:bCs/>
          <w:color w:val="2D2D2D"/>
          <w:sz w:val="19"/>
          <w:szCs w:val="19"/>
        </w:rPr>
        <w:t xml:space="preserve">sección de Replicación</w:t>
      </w:r>
      <w:r>
        <w:rPr>
          <w:rFonts w:ascii="Cambria" w:cs="Cambria" w:eastAsia="Cambria" w:hAnsi="Cambria"/>
          <w:color w:val="2D2D2D"/>
          <w:sz w:val="19"/>
          <w:szCs w:val="19"/>
        </w:rPr>
        <w:t xml:space="preserve"> cubre los pasos 0–5 (Cox sobre Rossi + Veterans) y su </w:t>
      </w:r>
      <w:r>
        <w:rPr>
          <w:rFonts w:ascii="Cambria" w:cs="Cambria" w:eastAsia="Cambria" w:hAnsi="Cambria"/>
          <w:b/>
          <w:bCs/>
          <w:color w:val="2D2D2D"/>
          <w:sz w:val="19"/>
          <w:szCs w:val="19"/>
        </w:rPr>
        <w:t xml:space="preserve">sección de Laboratorio de negocio</w:t>
      </w:r>
      <w:r>
        <w:rPr>
          <w:rFonts w:ascii="Cambria" w:cs="Cambria" w:eastAsia="Cambria" w:hAnsi="Cambria"/>
          <w:color w:val="2D2D2D"/>
          <w:sz w:val="19"/>
          <w:szCs w:val="19"/>
        </w:rPr>
        <w:t xml:space="preserve"> el paso 6 (Telco).</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Tener a la vista </w:t>
      </w:r>
      <w:r>
        <w:rPr>
          <w:rFonts w:ascii="Consolas" w:cs="Consolas" w:eastAsia="Consolas" w:hAnsi="Consolas"/>
          <w:color w:val="7A1526"/>
          <w:sz w:val="17"/>
          <w:szCs w:val="17"/>
        </w:rPr>
        <w:t xml:space="preserve">plantillas/reporte_supervivencia_clv.docx</w:t>
      </w:r>
      <w:r>
        <w:rPr>
          <w:rFonts w:ascii="Cambria" w:cs="Cambria" w:eastAsia="Cambria" w:hAnsi="Cambria"/>
          <w:color w:val="2D2D2D"/>
          <w:sz w:val="19"/>
          <w:szCs w:val="19"/>
        </w:rPr>
        <w:t xml:space="preserve"> (estructura las curvas KM, el log-rank, la tabla de HR con IC, el diagnóstico de PH y el cálculo de CLV) y </w:t>
      </w:r>
      <w:r>
        <w:rPr>
          <w:rFonts w:ascii="Consolas" w:cs="Consolas" w:eastAsia="Consolas" w:hAnsi="Consolas"/>
          <w:color w:val="7A1526"/>
          <w:sz w:val="17"/>
          <w:szCs w:val="17"/>
        </w:rPr>
        <w:t xml:space="preserve">plantillas/guia_schoenfeld.docx</w:t>
      </w:r>
      <w:r>
        <w:rPr>
          <w:rFonts w:ascii="Cambria" w:cs="Cambria" w:eastAsia="Cambria" w:hAnsi="Cambria"/>
          <w:color w:val="2D2D2D"/>
          <w:sz w:val="19"/>
          <w:szCs w:val="19"/>
        </w:rPr>
        <w:t xml:space="preserve"> (el supuesto de PH, el árbol de decisión y el checklist de diagnóstico).</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carga </w:t>
      </w:r>
      <w:r>
        <w:rPr>
          <w:rFonts w:ascii="Cambria" w:cs="Cambria" w:eastAsia="Cambria" w:hAnsi="Cambria"/>
          <w:b/>
          <w:bCs/>
          <w:color w:val="2D2D2D"/>
          <w:sz w:val="19"/>
          <w:szCs w:val="19"/>
        </w:rPr>
        <w:t xml:space="preserve">Rossi</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load_rossi</w:t>
      </w:r>
      <w:r>
        <w:rPr>
          <w:rFonts w:ascii="Cambria" w:cs="Cambria" w:eastAsia="Cambria" w:hAnsi="Cambria"/>
          <w:color w:val="2D2D2D"/>
          <w:sz w:val="19"/>
          <w:szCs w:val="19"/>
        </w:rPr>
        <w:t xml:space="preserve">, offline), descarga </w:t>
      </w:r>
      <w:r>
        <w:rPr>
          <w:rFonts w:ascii="Cambria" w:cs="Cambria" w:eastAsia="Cambria" w:hAnsi="Cambria"/>
          <w:b/>
          <w:bCs/>
          <w:color w:val="2D2D2D"/>
          <w:sz w:val="19"/>
          <w:szCs w:val="19"/>
        </w:rPr>
        <w:t xml:space="preserve">Veterans</w:t>
      </w:r>
      <w:r>
        <w:rPr>
          <w:rFonts w:ascii="Cambria" w:cs="Cambria" w:eastAsia="Cambria" w:hAnsi="Cambria"/>
          <w:color w:val="2D2D2D"/>
          <w:sz w:val="19"/>
          <w:szCs w:val="19"/>
        </w:rPr>
        <w:t xml:space="preserve"> del mirror Rdatasets y obtiene </w:t>
      </w:r>
      <w:r>
        <w:rPr>
          <w:rFonts w:ascii="Cambria" w:cs="Cambria" w:eastAsia="Cambria" w:hAnsi="Cambria"/>
          <w:b/>
          <w:bCs/>
          <w:color w:val="2D2D2D"/>
          <w:sz w:val="19"/>
          <w:szCs w:val="19"/>
        </w:rPr>
        <w:t xml:space="preserve">Telco churn</w:t>
      </w:r>
      <w:r>
        <w:rPr>
          <w:rFonts w:ascii="Cambria" w:cs="Cambria" w:eastAsia="Cambria" w:hAnsi="Cambria"/>
          <w:color w:val="2D2D2D"/>
          <w:sz w:val="19"/>
          <w:szCs w:val="19"/>
        </w:rPr>
        <w:t xml:space="preserve"> del mirror abierto byte-idéntico; verifica esquema y checksum SHA256 (</w:t>
      </w:r>
      <w:r>
        <w:rPr>
          <w:rFonts w:ascii="Consolas" w:cs="Consolas" w:eastAsia="Consolas" w:hAnsi="Consolas"/>
          <w:color w:val="7A1526"/>
          <w:sz w:val="17"/>
          <w:szCs w:val="17"/>
        </w:rPr>
        <w:t xml:space="preserve">diccionario_datos.md</w:t>
      </w:r>
      <w:r>
        <w:rPr>
          <w:rFonts w:ascii="Cambria" w:cs="Cambria" w:eastAsia="Cambria" w:hAnsi="Cambria"/>
          <w:color w:val="2D2D2D"/>
          <w:sz w:val="19"/>
          <w:szCs w:val="19"/>
        </w:rPr>
        <w:t xml:space="preserve">: Rossi 432×9; Veterans 137×9; Telco 7043×21, 7032 tras limpieza).</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Convención del curso: toda cifra citada existe en el cuaderno, en </w:t>
      </w:r>
      <w:r>
        <w:rPr>
          <w:rFonts w:ascii="Consolas" w:cs="Consolas" w:eastAsia="Consolas" w:hAnsi="Consolas"/>
          <w:color w:val="7A1526"/>
          <w:sz w:val="17"/>
          <w:szCs w:val="17"/>
        </w:rPr>
        <w:t xml:space="preserve">resultados/S13_resultados.xlsx</w:t>
      </w:r>
      <w:r>
        <w:rPr>
          <w:rFonts w:ascii="Cambria" w:cs="Cambria" w:eastAsia="Cambria" w:hAnsi="Cambria"/>
          <w:color w:val="2D2D2D"/>
          <w:sz w:val="19"/>
          <w:szCs w:val="19"/>
        </w:rPr>
        <w:t xml:space="preserve"> (hoja survival) o está certificada por el validador (el material de referencia de la sesión); las gráficas de resultados se generan leyendo ese Excel, excepto la visualización de datos crudos (histograma de week/tenure, conteo de eventos), que se traza directamente de los datos por ser EDA exploratorio.</w:t>
      </w:r>
    </w:p>
    <w:p>
      <w:r>
        <w:br w:type="page"/>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RÉPLICA DE LA REGRESIÓN DE COX (1972) SOBRE ROSSI, CON REFUERZO EN VETERANS</w:t>
      </w:r>
    </w:p>
    <w:p>
      <w:pPr>
        <w:keepNext/>
        <w:pBdr>
          <w:bottom w:val="single" w:color="E4002B" w:sz="14" w:space="8"/>
        </w:pBdr>
        <w:spacing w:after="140"/>
      </w:pPr>
      <w:r>
        <w:rPr>
          <w:rFonts w:ascii="Cambria" w:cs="Cambria" w:eastAsia="Cambria" w:hAnsi="Cambria"/>
          <w:i/>
          <w:iCs/>
          <w:color w:val="6E6E6E"/>
          <w:sz w:val="19"/>
          <w:szCs w:val="19"/>
        </w:rPr>
        <w:t xml:space="preserve">Rossi + Veterans, sección de Replicación del cuaderno (pasos 0–5)</w:t>
      </w:r>
      <w:r>
        <w:rPr>
          <w:rFonts w:ascii="Cambria" w:cs="Cambria" w:eastAsia="Cambria" w:hAnsi="Cambria"/>
          <w:b/>
          <w:bCs/>
          <w:color w:val="7A1526"/>
          <w:sz w:val="19"/>
          <w:szCs w:val="19"/>
        </w:rPr>
        <w:t xml:space="preserve">   |   ~95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P0   </w:t>
            </w:r>
            <w:r>
              <w:rPr>
                <w:rFonts w:ascii="Calibri" w:cs="Calibri" w:eastAsia="Calibri" w:hAnsi="Calibri"/>
                <w:b/>
                <w:bCs/>
                <w:color w:val="7A1526"/>
                <w:sz w:val="19"/>
                <w:szCs w:val="19"/>
              </w:rPr>
              <w:t xml:space="preserve">Contexto del paper</w:t>
            </w:r>
          </w:p>
          <w:p>
            <w:pPr>
              <w:spacing w:line="265"/>
            </w:pPr>
            <w:r>
              <w:rPr>
                <w:rFonts w:ascii="Cambria" w:cs="Cambria" w:eastAsia="Cambria" w:hAnsi="Cambria"/>
                <w:color w:val="2D2D2D"/>
                <w:sz w:val="19"/>
                <w:szCs w:val="19"/>
              </w:rPr>
              <w:t xml:space="preserve">En </w:t>
            </w:r>
            <w:r>
              <w:rPr>
                <w:rFonts w:ascii="Cambria" w:cs="Cambria" w:eastAsia="Cambria" w:hAnsi="Cambria"/>
                <w:b/>
                <w:bCs/>
                <w:color w:val="2D2D2D"/>
                <w:sz w:val="19"/>
                <w:szCs w:val="19"/>
              </w:rPr>
              <w:t xml:space="preserve">1972</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David R. Cox</w:t>
            </w:r>
            <w:r>
              <w:rPr>
                <w:rFonts w:ascii="Cambria" w:cs="Cambria" w:eastAsia="Cambria" w:hAnsi="Cambria"/>
                <w:color w:val="2D2D2D"/>
                <w:sz w:val="19"/>
                <w:szCs w:val="19"/>
              </w:rPr>
              <w:t xml:space="preserve">, en </w:t>
            </w:r>
            <w:r>
              <w:rPr>
                <w:rFonts w:ascii="Cambria" w:cs="Cambria" w:eastAsia="Cambria" w:hAnsi="Cambria"/>
                <w:i/>
                <w:iCs/>
                <w:color w:val="2D2D2D"/>
                <w:sz w:val="19"/>
                <w:szCs w:val="19"/>
              </w:rPr>
              <w:t xml:space="preserve">Regression Models and Life-Tables</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JRSS-B 34(2):187-220</w:t>
            </w:r>
            <w:r>
              <w:rPr>
                <w:rFonts w:ascii="Cambria" w:cs="Cambria" w:eastAsia="Cambria" w:hAnsi="Cambria"/>
                <w:color w:val="2D2D2D"/>
                <w:sz w:val="19"/>
                <w:szCs w:val="19"/>
              </w:rPr>
              <w:t xml:space="preserve">), introdujo el modelo de </w:t>
            </w:r>
            <w:r>
              <w:rPr>
                <w:rFonts w:ascii="Cambria" w:cs="Cambria" w:eastAsia="Cambria" w:hAnsi="Cambria"/>
                <w:b/>
                <w:bCs/>
                <w:color w:val="2D2D2D"/>
                <w:sz w:val="19"/>
                <w:szCs w:val="19"/>
              </w:rPr>
              <w:t xml:space="preserve">riesgos proporcionales</w:t>
            </w:r>
            <w:r>
              <w:rPr>
                <w:rFonts w:ascii="Cambria" w:cs="Cambria" w:eastAsia="Cambria" w:hAnsi="Cambria"/>
                <w:color w:val="2D2D2D"/>
                <w:sz w:val="19"/>
                <w:szCs w:val="19"/>
              </w:rPr>
              <w:t xml:space="preserve">: el hazard de un sujeto se escribe h(t|x) = h₀(t)·exp(x'β), donde el efecto de las covariables es </w:t>
            </w:r>
            <w:r>
              <w:rPr>
                <w:rFonts w:ascii="Cambria" w:cs="Cambria" w:eastAsia="Cambria" w:hAnsi="Cambria"/>
                <w:b/>
                <w:bCs/>
                <w:color w:val="2D2D2D"/>
                <w:sz w:val="19"/>
                <w:szCs w:val="19"/>
              </w:rPr>
              <w:t xml:space="preserve">multiplicativo</w:t>
            </w:r>
            <w:r>
              <w:rPr>
                <w:rFonts w:ascii="Cambria" w:cs="Cambria" w:eastAsia="Cambria" w:hAnsi="Cambria"/>
                <w:color w:val="2D2D2D"/>
                <w:sz w:val="19"/>
                <w:szCs w:val="19"/>
              </w:rPr>
              <w:t xml:space="preserve"> sobre el hazard y el </w:t>
            </w:r>
            <w:r>
              <w:rPr>
                <w:rFonts w:ascii="Cambria" w:cs="Cambria" w:eastAsia="Cambria" w:hAnsi="Cambria"/>
                <w:b/>
                <w:bCs/>
                <w:color w:val="2D2D2D"/>
                <w:sz w:val="19"/>
                <w:szCs w:val="19"/>
              </w:rPr>
              <w:t xml:space="preserve">hazard base</w:t>
            </w:r>
            <w:r>
              <w:rPr>
                <w:rFonts w:ascii="Cambria" w:cs="Cambria" w:eastAsia="Cambria" w:hAnsi="Cambria"/>
                <w:color w:val="2D2D2D"/>
                <w:sz w:val="19"/>
                <w:szCs w:val="19"/>
              </w:rPr>
              <w:t xml:space="preserve"> h₀(t) queda </w:t>
            </w:r>
            <w:r>
              <w:rPr>
                <w:rFonts w:ascii="Cambria" w:cs="Cambria" w:eastAsia="Cambria" w:hAnsi="Cambria"/>
                <w:b/>
                <w:bCs/>
                <w:color w:val="2D2D2D"/>
                <w:sz w:val="19"/>
                <w:szCs w:val="19"/>
              </w:rPr>
              <w:t xml:space="preserve">sin especificar</w:t>
            </w:r>
            <w:r>
              <w:rPr>
                <w:rFonts w:ascii="Cambria" w:cs="Cambria" w:eastAsia="Cambria" w:hAnsi="Cambria"/>
                <w:color w:val="2D2D2D"/>
                <w:sz w:val="19"/>
                <w:szCs w:val="19"/>
              </w:rPr>
              <w:t xml:space="preserve">. La innovación decisiva fue la </w:t>
            </w:r>
            <w:r>
              <w:rPr>
                <w:rFonts w:ascii="Cambria" w:cs="Cambria" w:eastAsia="Cambria" w:hAnsi="Cambria"/>
                <w:b/>
                <w:bCs/>
                <w:color w:val="2D2D2D"/>
                <w:sz w:val="19"/>
                <w:szCs w:val="19"/>
              </w:rPr>
              <w:t xml:space="preserve">verosimilitud parcial</w:t>
            </w:r>
            <w:r>
              <w:rPr>
                <w:rFonts w:ascii="Cambria" w:cs="Cambria" w:eastAsia="Cambria" w:hAnsi="Cambria"/>
                <w:color w:val="2D2D2D"/>
                <w:sz w:val="19"/>
                <w:szCs w:val="19"/>
              </w:rPr>
              <w:t xml:space="preserve">, que estima los β </w:t>
            </w:r>
            <w:r>
              <w:rPr>
                <w:rFonts w:ascii="Cambria" w:cs="Cambria" w:eastAsia="Cambria" w:hAnsi="Cambria"/>
                <w:b/>
                <w:bCs/>
                <w:color w:val="2D2D2D"/>
                <w:sz w:val="19"/>
                <w:szCs w:val="19"/>
              </w:rPr>
              <w:t xml:space="preserve">sin</w:t>
            </w:r>
            <w:r>
              <w:rPr>
                <w:rFonts w:ascii="Cambria" w:cs="Cambria" w:eastAsia="Cambria" w:hAnsi="Cambria"/>
                <w:color w:val="2D2D2D"/>
                <w:sz w:val="19"/>
                <w:szCs w:val="19"/>
              </w:rPr>
              <w:t xml:space="preserve"> modelar h₀(t): es el método más citado de la estadística aplicada del siglo XX y el estándar para modelar tiempo-hasta-evento con censura. </w:t>
            </w:r>
            <w:r>
              <w:rPr>
                <w:rFonts w:ascii="Cambria" w:cs="Cambria" w:eastAsia="Cambria" w:hAnsi="Cambria"/>
                <w:b/>
                <w:bCs/>
                <w:color w:val="2D2D2D"/>
                <w:sz w:val="19"/>
                <w:szCs w:val="19"/>
              </w:rPr>
              <w:t xml:space="preserve">Precisión histórica (transparencia obligatoria):</w:t>
            </w:r>
            <w:r>
              <w:rPr>
                <w:rFonts w:ascii="Cambria" w:cs="Cambria" w:eastAsia="Cambria" w:hAnsi="Cambria"/>
                <w:color w:val="2D2D2D"/>
                <w:sz w:val="19"/>
                <w:szCs w:val="19"/>
              </w:rPr>
              <w:t xml:space="preserve"> el paper </w:t>
            </w:r>
            <w:r>
              <w:rPr>
                <w:rFonts w:ascii="Cambria" w:cs="Cambria" w:eastAsia="Cambria" w:hAnsi="Cambria"/>
                <w:b/>
                <w:bCs/>
                <w:color w:val="2D2D2D"/>
                <w:sz w:val="19"/>
                <w:szCs w:val="19"/>
              </w:rPr>
              <w:t xml:space="preserve">seminal del método</w:t>
            </w:r>
            <w:r>
              <w:rPr>
                <w:rFonts w:ascii="Cambria" w:cs="Cambria" w:eastAsia="Cambria" w:hAnsi="Cambria"/>
                <w:color w:val="2D2D2D"/>
                <w:sz w:val="19"/>
                <w:szCs w:val="19"/>
              </w:rPr>
              <w:t xml:space="preserve"> es Cox (1972), pero </w:t>
            </w:r>
            <w:r>
              <w:rPr>
                <w:rFonts w:ascii="Cambria" w:cs="Cambria" w:eastAsia="Cambria" w:hAnsi="Cambria"/>
                <w:b/>
                <w:bCs/>
                <w:color w:val="2D2D2D"/>
                <w:sz w:val="19"/>
                <w:szCs w:val="19"/>
              </w:rPr>
              <w:t xml:space="preserve">Rossi no es la tabla numérica de ese paper</w:t>
            </w:r>
            <w:r>
              <w:rPr>
                <w:rFonts w:ascii="Cambria" w:cs="Cambria" w:eastAsia="Cambria" w:hAnsi="Cambria"/>
                <w:color w:val="2D2D2D"/>
                <w:sz w:val="19"/>
                <w:szCs w:val="19"/>
              </w:rPr>
              <w:t xml:space="preserve"> (Cox ilustró la teoría con ejemplos propios) — </w:t>
            </w:r>
            <w:r>
              <w:rPr>
                <w:rFonts w:ascii="Cambria" w:cs="Cambria" w:eastAsia="Cambria" w:hAnsi="Cambria"/>
                <w:b/>
                <w:bCs/>
                <w:color w:val="2D2D2D"/>
                <w:sz w:val="19"/>
                <w:szCs w:val="19"/>
              </w:rPr>
              <w:t xml:space="preserve">Rossi es el dataset canónico de enseñanza</w:t>
            </w:r>
            <w:r>
              <w:rPr>
                <w:rFonts w:ascii="Cambria" w:cs="Cambria" w:eastAsia="Cambria" w:hAnsi="Cambria"/>
                <w:color w:val="2D2D2D"/>
                <w:sz w:val="19"/>
                <w:szCs w:val="19"/>
              </w:rPr>
              <w:t xml:space="preserve"> del modelo de Cox (Allison 1995; Fox &amp; Weisberg), cuya salida reproduce verbatim la propia documentación de lifelines; «base original: sí» se refiere a que el dataframe usado es el </w:t>
            </w:r>
            <w:r>
              <w:rPr>
                <w:rFonts w:ascii="Cambria" w:cs="Cambria" w:eastAsia="Cambria" w:hAnsi="Cambria"/>
                <w:b/>
                <w:bCs/>
                <w:color w:val="2D2D2D"/>
                <w:sz w:val="19"/>
                <w:szCs w:val="19"/>
              </w:rPr>
              <w:t xml:space="preserve">original de Rossi</w:t>
            </w:r>
            <w:r>
              <w:rPr>
                <w:rFonts w:ascii="Cambria" w:cs="Cambria" w:eastAsia="Cambria" w:hAnsi="Cambria"/>
                <w:color w:val="2D2D2D"/>
                <w:sz w:val="19"/>
                <w:szCs w:val="19"/>
              </w:rPr>
              <w:t xml:space="preserve"> (Rossi, Berk &amp; Lenihan 1980), no a que Rossi sea la tabla de Cox-1972. Declarar por escrito los seis targets de la réplica (tabla adjunta) que se reproducen sobre Rossi y sobre Veterans.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tres elementos por escrito: (1) los targets de la réplica (qué se reproduce y de dónde proviene); (2) una frase que explique, con honestidad, la relación entre Cox (1972) y el dataset Rossi; y (3) </w:t>
            </w:r>
            <w:r>
              <w:rPr>
                <w:rFonts w:ascii="Cambria" w:cs="Cambria" w:eastAsia="Cambria" w:hAnsi="Cambria"/>
                <w:b/>
                <w:bCs/>
                <w:color w:val="2D2D2D"/>
                <w:sz w:val="19"/>
                <w:szCs w:val="19"/>
              </w:rPr>
              <w:t xml:space="preserve">la reconstrucción de una de las decisiones de método</w:t>
            </w:r>
            <w:r>
              <w:rPr>
                <w:rFonts w:ascii="Cambria" w:cs="Cambria" w:eastAsia="Cambria" w:hAnsi="Cambria"/>
                <w:color w:val="2D2D2D"/>
                <w:sz w:val="19"/>
                <w:szCs w:val="19"/>
              </w:rPr>
              <w:t xml:space="preserve"> de los autores: cuál era la alternativa que descartaron y qué habría salido mal con ella.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Por qué esto le importa a un analista de negocios (vínculo con la actualidad)</w:t>
            </w:r>
          </w:p>
          <w:p>
            <w:pPr>
              <w:spacing w:after="70" w:line="265"/>
            </w:pPr>
            <w:r>
              <w:rPr>
                <w:rFonts w:ascii="Cambria" w:cs="Cambria" w:eastAsia="Cambria" w:hAnsi="Cambria"/>
                <w:color w:val="3A3A3A"/>
                <w:sz w:val="18"/>
                <w:szCs w:val="18"/>
              </w:rPr>
              <w:t xml:space="preserve">No basta predecir </w:t>
            </w:r>
            <w:r>
              <w:rPr>
                <w:rFonts w:ascii="Cambria" w:cs="Cambria" w:eastAsia="Cambria" w:hAnsi="Cambria"/>
                <w:i/>
                <w:iCs/>
                <w:color w:val="3A3A3A"/>
                <w:sz w:val="18"/>
                <w:szCs w:val="18"/>
              </w:rPr>
              <w:t xml:space="preserve">si</w:t>
            </w:r>
            <w:r>
              <w:rPr>
                <w:rFonts w:ascii="Cambria" w:cs="Cambria" w:eastAsia="Cambria" w:hAnsi="Cambria"/>
                <w:color w:val="3A3A3A"/>
                <w:sz w:val="18"/>
                <w:szCs w:val="18"/>
              </w:rPr>
              <w:t xml:space="preserve"> un cliente se irá (clasificación, S09); el negocio necesita </w:t>
            </w:r>
            <w:r>
              <w:rPr>
                <w:rFonts w:ascii="Cambria" w:cs="Cambria" w:eastAsia="Cambria" w:hAnsi="Cambria"/>
                <w:i/>
                <w:iCs/>
                <w:color w:val="3A3A3A"/>
                <w:sz w:val="18"/>
                <w:szCs w:val="18"/>
              </w:rPr>
              <w:t xml:space="preserve">cuándo</w:t>
            </w:r>
            <w:r>
              <w:rPr>
                <w:rFonts w:ascii="Cambria" w:cs="Cambria" w:eastAsia="Cambria" w:hAnsi="Cambria"/>
                <w:color w:val="3A3A3A"/>
                <w:sz w:val="18"/>
                <w:szCs w:val="18"/>
              </w:rPr>
              <w:t xml:space="preserve">, para decidir el momento de la intervención. Los informes recientes leen la retención por periodo de facturación como una </w:t>
            </w:r>
            <w:r>
              <w:rPr>
                <w:rFonts w:ascii="Cambria" w:cs="Cambria" w:eastAsia="Cambria" w:hAnsi="Cambria"/>
                <w:b/>
                <w:bCs/>
                <w:color w:val="3A3A3A"/>
                <w:sz w:val="18"/>
                <w:szCs w:val="18"/>
              </w:rPr>
              <w:t xml:space="preserve">curva de supervivencia por segmento</w:t>
            </w:r>
            <w:r>
              <w:rPr>
                <w:rFonts w:ascii="Cambria" w:cs="Cambria" w:eastAsia="Cambria" w:hAnsi="Cambria"/>
                <w:color w:val="3A3A3A"/>
                <w:sz w:val="18"/>
                <w:szCs w:val="18"/>
              </w:rPr>
              <w:t xml:space="preserve"> (mensual 5–8 %/mes de churn vs. anual 0,5–1,5 %; retención a 12 meses 11 % mensual vs. 28 % anual — Eightx, 29/05/2026) y justifican calcular el </w:t>
            </w:r>
            <w:r>
              <w:rPr>
                <w:rFonts w:ascii="Cambria" w:cs="Cambria" w:eastAsia="Cambria" w:hAnsi="Cambria"/>
                <w:b/>
                <w:bCs/>
                <w:color w:val="3A3A3A"/>
                <w:sz w:val="18"/>
                <w:szCs w:val="18"/>
              </w:rPr>
              <w:t xml:space="preserve">CLV por tipo de contrato</w:t>
            </w:r>
            <w:r>
              <w:rPr>
                <w:rFonts w:ascii="Cambria" w:cs="Cambria" w:eastAsia="Cambria" w:hAnsi="Cambria"/>
                <w:color w:val="3A3A3A"/>
                <w:sz w:val="18"/>
                <w:szCs w:val="18"/>
              </w:rPr>
              <w:t xml:space="preserve">; la literatura aplicada usa Kaplan-Meier + Cox sobre telecom para identificar como drivers el tipo de contrato, el método de pago y los servicios agrupados (IJLTEMAS 2025). Dominar la regresión de Cox y el diagnóstico de PH es la base de esas prácticas.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Qué preguntaban Kaplan-Meier y Cox, y por qué usaron lo que usaron</w:t>
            </w:r>
          </w:p>
          <w:p>
            <w:pPr>
              <w:spacing w:after="70" w:line="265"/>
            </w:pPr>
            <w:r>
              <w:rPr>
                <w:rFonts w:ascii="Cambria" w:cs="Cambria" w:eastAsia="Cambria" w:hAnsi="Cambria"/>
                <w:b/>
                <w:bCs/>
                <w:color w:val="3A3A3A"/>
                <w:sz w:val="18"/>
                <w:szCs w:val="18"/>
              </w:rPr>
              <w:t xml:space="preserve">Ninguno de los dos papers se propuso lo que el alumno supone.</w:t>
            </w:r>
            <w:r>
              <w:rPr>
                <w:rFonts w:ascii="Cambria" w:cs="Cambria" w:eastAsia="Cambria" w:hAnsi="Cambria"/>
                <w:color w:val="3A3A3A"/>
                <w:sz w:val="18"/>
                <w:szCs w:val="18"/>
              </w:rPr>
              <w:t xml:space="preserve"> Kaplan y Meier no quisieron dibujar una curva escalonada, y Cox no quiso construir un modelo de churn: los dos atacan la misma anomalía del dato. Kaplan y Meier la enuncian en la primera línea de su resumen — «In lifetesting, medical follow-up, and other fields the observation of the time of occurrence of the event of interest (called a death) may be prevented for some of the items of the sample by the previous occurrence of some other event (called a loss)» (p. 457) —, es decir, </w:t>
            </w:r>
            <w:r>
              <w:rPr>
                <w:rFonts w:ascii="Cambria" w:cs="Cambria" w:eastAsia="Cambria" w:hAnsi="Cambria"/>
                <w:i/>
                <w:iCs/>
                <w:color w:val="3A3A3A"/>
                <w:sz w:val="18"/>
                <w:szCs w:val="18"/>
              </w:rPr>
              <w:t xml:space="preserve">la observación del momento del evento puede quedar impedida por la ocurrencia previa de otro evento</w:t>
            </w:r>
            <w:r>
              <w:rPr>
                <w:rFonts w:ascii="Cambria" w:cs="Cambria" w:eastAsia="Cambria" w:hAnsi="Cambria"/>
                <w:color w:val="3A3A3A"/>
                <w:sz w:val="18"/>
                <w:szCs w:val="18"/>
              </w:rPr>
              <w:t xml:space="preserve">. Eso es </w:t>
            </w:r>
            <w:r>
              <w:rPr>
                <w:rFonts w:ascii="Cambria" w:cs="Cambria" w:eastAsia="Cambria" w:hAnsi="Cambria"/>
                <w:b/>
                <w:bCs/>
                <w:color w:val="3A3A3A"/>
                <w:sz w:val="18"/>
                <w:szCs w:val="18"/>
              </w:rPr>
              <w:t xml:space="preserve">la censura</w:t>
            </w:r>
            <w:r>
              <w:rPr>
                <w:rFonts w:ascii="Cambria" w:cs="Cambria" w:eastAsia="Cambria" w:hAnsi="Cambria"/>
                <w:color w:val="3A3A3A"/>
                <w:sz w:val="18"/>
                <w:szCs w:val="18"/>
              </w:rPr>
              <w:t xml:space="preserve">: del sujeto censurado no se sabe nada completo, pero tampoco nada vacío; se sabe algo estricto y verdadero, que su tiempo hasta el evento es </w:t>
            </w:r>
            <w:r>
              <w:rPr>
                <w:rFonts w:ascii="Cambria" w:cs="Cambria" w:eastAsia="Cambria" w:hAnsi="Cambria"/>
                <w:b/>
                <w:bCs/>
                <w:color w:val="3A3A3A"/>
                <w:sz w:val="18"/>
                <w:szCs w:val="18"/>
              </w:rPr>
              <w:t xml:space="preserve">mayor</w:t>
            </w:r>
            <w:r>
              <w:rPr>
                <w:rFonts w:ascii="Cambria" w:cs="Cambria" w:eastAsia="Cambria" w:hAnsi="Cambria"/>
                <w:color w:val="3A3A3A"/>
                <w:sz w:val="18"/>
                <w:szCs w:val="18"/>
              </w:rPr>
              <w:t xml:space="preserve"> que el observado. Y la decisión que dependía de la respuesta era muy concreta: Kaplan medía la vida de los tubos de vacío de los repetidores de cables telefónicos hundidos en el océano, donde el reemplazo cuesta una fortuna; Meier venía de la duración del cáncer, donde lo que está en juego es qué se le dice a un paciente. El mismo obstáculo apareció, de forma independiente, en ingeniería y en medicina.</w:t>
            </w:r>
          </w:p>
          <w:p>
            <w:pPr>
              <w:spacing w:after="70" w:line="265"/>
            </w:pPr>
            <w:r>
              <w:rPr>
                <w:rFonts w:ascii="Cambria" w:cs="Cambria" w:eastAsia="Cambria" w:hAnsi="Cambria"/>
                <w:b/>
                <w:bCs/>
                <w:color w:val="3A3A3A"/>
                <w:sz w:val="18"/>
                <w:szCs w:val="18"/>
              </w:rPr>
              <w:t xml:space="preserve">Por qué la censura rompe los dos atajos intuitivos.</w:t>
            </w:r>
            <w:r>
              <w:rPr>
                <w:rFonts w:ascii="Cambria" w:cs="Cambria" w:eastAsia="Cambria" w:hAnsi="Cambria"/>
                <w:color w:val="3A3A3A"/>
                <w:sz w:val="18"/>
                <w:szCs w:val="18"/>
              </w:rPr>
              <w:t xml:space="preserve"> El primer atajo consiste en descartar a los censurados y analizar solo a quienes vivieron el evento: además de descartar la mayor parte de la muestra, sesga, porque quien sale sin evento es justo quien más tarda, y así la supervivencia estimada queda </w:t>
            </w:r>
            <w:r>
              <w:rPr>
                <w:rFonts w:ascii="Cambria" w:cs="Cambria" w:eastAsia="Cambria" w:hAnsi="Cambria"/>
                <w:b/>
                <w:bCs/>
                <w:color w:val="3A3A3A"/>
                <w:sz w:val="18"/>
                <w:szCs w:val="18"/>
              </w:rPr>
              <w:t xml:space="preserve">demasiado baja</w:t>
            </w:r>
            <w:r>
              <w:rPr>
                <w:rFonts w:ascii="Cambria" w:cs="Cambria" w:eastAsia="Cambria" w:hAnsi="Cambria"/>
                <w:color w:val="3A3A3A"/>
                <w:sz w:val="18"/>
                <w:szCs w:val="18"/>
              </w:rPr>
              <w:t xml:space="preserve">. El segundo consiste en tratar la observación truncada como si el evento hubiera ocurrido en ese instante —en negocio, contar la antigüedad de un cliente todavía activo como si fuese su vida final—, lo que declara eventos que nadie observó e infla la mortalidad; y su variante opuesta, dar por hecho que el censurado jamás vivirá el evento, empuja el error al lado contrario y sobreestima la retención. Ninguna de las tres lecturas usa lo único que el dato censurado sí contiene: que el sujeto </w:t>
            </w:r>
            <w:r>
              <w:rPr>
                <w:rFonts w:ascii="Cambria" w:cs="Cambria" w:eastAsia="Cambria" w:hAnsi="Cambria"/>
                <w:b/>
                <w:bCs/>
                <w:color w:val="3A3A3A"/>
                <w:sz w:val="18"/>
                <w:szCs w:val="18"/>
              </w:rPr>
              <w:t xml:space="preserve">estuvo en riesgo y no falló</w:t>
            </w:r>
            <w:r>
              <w:rPr>
                <w:rFonts w:ascii="Cambria" w:cs="Cambria" w:eastAsia="Cambria" w:hAnsi="Cambria"/>
                <w:color w:val="3A3A3A"/>
                <w:sz w:val="18"/>
                <w:szCs w:val="18"/>
              </w:rPr>
              <w:t xml:space="preserve"> durante todo el tramo observado.</w:t>
            </w:r>
          </w:p>
          <w:p>
            <w:pPr>
              <w:spacing w:after="70" w:line="265"/>
            </w:pPr>
            <w:r>
              <w:rPr>
                <w:rFonts w:ascii="Cambria" w:cs="Cambria" w:eastAsia="Cambria" w:hAnsi="Cambria"/>
                <w:b/>
                <w:bCs/>
                <w:color w:val="3A3A3A"/>
                <w:sz w:val="18"/>
                <w:szCs w:val="18"/>
              </w:rPr>
              <w:t xml:space="preserve">La pregunta de Cox, catorce años después.</w:t>
            </w:r>
            <w:r>
              <w:rPr>
                <w:rFonts w:ascii="Cambria" w:cs="Cambria" w:eastAsia="Cambria" w:hAnsi="Cambria"/>
                <w:color w:val="3A3A3A"/>
                <w:sz w:val="18"/>
                <w:szCs w:val="18"/>
              </w:rPr>
              <w:t xml:space="preserve"> Kaplan y Meier resolvieron cómo estimar la supervivencia de </w:t>
            </w:r>
            <w:r>
              <w:rPr>
                <w:rFonts w:ascii="Cambria" w:cs="Cambria" w:eastAsia="Cambria" w:hAnsi="Cambria"/>
                <w:b/>
                <w:bCs/>
                <w:color w:val="3A3A3A"/>
                <w:sz w:val="18"/>
                <w:szCs w:val="18"/>
              </w:rPr>
              <w:t xml:space="preserve">un</w:t>
            </w:r>
            <w:r>
              <w:rPr>
                <w:rFonts w:ascii="Cambria" w:cs="Cambria" w:eastAsia="Cambria" w:hAnsi="Cambria"/>
                <w:color w:val="3A3A3A"/>
                <w:sz w:val="18"/>
                <w:szCs w:val="18"/>
              </w:rPr>
              <w:t xml:space="preserve"> grupo. Cox se planteó la pregunta siguiente: cómo medir el efecto de </w:t>
            </w:r>
            <w:r>
              <w:rPr>
                <w:rFonts w:ascii="Cambria" w:cs="Cambria" w:eastAsia="Cambria" w:hAnsi="Cambria"/>
                <w:b/>
                <w:bCs/>
                <w:color w:val="3A3A3A"/>
                <w:sz w:val="18"/>
                <w:szCs w:val="18"/>
              </w:rPr>
              <w:t xml:space="preserve">varias variables explicativas</w:t>
            </w:r>
            <w:r>
              <w:rPr>
                <w:rFonts w:ascii="Cambria" w:cs="Cambria" w:eastAsia="Cambria" w:hAnsi="Cambria"/>
                <w:color w:val="3A3A3A"/>
                <w:sz w:val="18"/>
                <w:szCs w:val="18"/>
              </w:rPr>
              <w:t xml:space="preserve"> sobre el tiempo hasta el evento sin renunciar a los censurados. Su resumen lo declara sin rodeos — «The analysis of censored failure times is considered […] The hazard function […] is taken to be a function of the explanatory variables and unknown regression coefficients multiplied by an arbitrary and unknown function of time. A conditional likelihood is obtained» —, y el estímulo del trabajo fue una decisión, no una curiosidad metodológica: hacía falta saber si un tratamiento alarga la vida cuando, para parte de los pacientes, «only a lower limit to survival time is known». Es exactamente la situación de una cartera de clientes al cierre del trimestre.</w:t>
            </w:r>
          </w:p>
          <w:p>
            <w:pPr>
              <w:spacing w:after="70" w:line="265"/>
            </w:pPr>
            <w:r>
              <w:rPr>
                <w:rFonts w:ascii="Cambria" w:cs="Cambria" w:eastAsia="Cambria" w:hAnsi="Cambria"/>
                <w:b/>
                <w:bCs/>
                <w:color w:val="3A3A3A"/>
                <w:sz w:val="18"/>
                <w:szCs w:val="18"/>
              </w:rPr>
              <w:t xml:space="preserve">Las tres decisiones de método que hay que poder reconstruir.</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(a) Un producto de probabilidades condicionales, no una proporción.</w:t>
            </w:r>
            <w:r>
              <w:rPr>
                <w:rFonts w:ascii="Cambria" w:cs="Cambria" w:eastAsia="Cambria" w:hAnsi="Cambria"/>
                <w:color w:val="3A3A3A"/>
                <w:sz w:val="18"/>
                <w:szCs w:val="18"/>
              </w:rPr>
              <w:t xml:space="preserve"> Con censura, el denominador «cuántos hay» cambia a cada instante, así que la proporción de supervivientes deja de ser calculable de forma directa; la única cantidad que </w:t>
            </w:r>
            <w:r>
              <w:rPr>
                <w:rFonts w:ascii="Cambria" w:cs="Cambria" w:eastAsia="Cambria" w:hAnsi="Cambria"/>
                <w:b/>
                <w:bCs/>
                <w:color w:val="3A3A3A"/>
                <w:sz w:val="18"/>
                <w:szCs w:val="18"/>
              </w:rPr>
              <w:t xml:space="preserve">todo</w:t>
            </w:r>
            <w:r>
              <w:rPr>
                <w:rFonts w:ascii="Cambria" w:cs="Cambria" w:eastAsia="Cambria" w:hAnsi="Cambria"/>
                <w:color w:val="3A3A3A"/>
                <w:sz w:val="18"/>
                <w:szCs w:val="18"/>
              </w:rPr>
              <w:t xml:space="preserve"> sujeto puede alimentar es local: la probabilidad de no fallar en tᵢ, condicionada a haber llegado vivo hasta ahí, 1 − dᵢ/nᵢ. El censurado participa en el conjunto en riesgo de todos los instantes anteriores a su salida y luego desaparece del denominador </w:t>
            </w:r>
            <w:r>
              <w:rPr>
                <w:rFonts w:ascii="Cambria" w:cs="Cambria" w:eastAsia="Cambria" w:hAnsi="Cambria"/>
                <w:b/>
                <w:bCs/>
                <w:color w:val="3A3A3A"/>
                <w:sz w:val="18"/>
                <w:szCs w:val="18"/>
              </w:rPr>
              <w:t xml:space="preserve">sin contar como muerte</w:t>
            </w:r>
            <w:r>
              <w:rPr>
                <w:rFonts w:ascii="Cambria" w:cs="Cambria" w:eastAsia="Cambria" w:hAnsi="Cambria"/>
                <w:color w:val="3A3A3A"/>
                <w:sz w:val="18"/>
                <w:szCs w:val="18"/>
              </w:rPr>
              <w:t xml:space="preserve">; de ahí S(t) = ∏(1 − dᵢ/nᵢ). La alternativa descartada —los intervalos fijos del método actuarial— no era falsa, era menos fina: obligaba a un reparto convencional de las pérdidas dentro de cada intervalo, y ese reparto es justo lo que el producto-límite deja de necesitar. </w:t>
            </w:r>
            <w:r>
              <w:rPr>
                <w:rFonts w:ascii="Cambria" w:cs="Cambria" w:eastAsia="Cambria" w:hAnsi="Cambria"/>
                <w:b/>
                <w:bCs/>
                <w:color w:val="3A3A3A"/>
                <w:sz w:val="18"/>
                <w:szCs w:val="18"/>
              </w:rPr>
              <w:t xml:space="preserve">(b) El riesgo, y no el tiempo, como respuesta.</w:t>
            </w:r>
            <w:r>
              <w:rPr>
                <w:rFonts w:ascii="Cambria" w:cs="Cambria" w:eastAsia="Cambria" w:hAnsi="Cambria"/>
                <w:color w:val="3A3A3A"/>
                <w:sz w:val="18"/>
                <w:szCs w:val="18"/>
              </w:rPr>
              <w:t xml:space="preserve"> Cox pudo poner el tiempo hasta el evento como variable dependiente de una regresión; eligió el hazard porque está definido </w:t>
            </w:r>
            <w:r>
              <w:rPr>
                <w:rFonts w:ascii="Cambria" w:cs="Cambria" w:eastAsia="Cambria" w:hAnsi="Cambria"/>
                <w:b/>
                <w:bCs/>
                <w:color w:val="3A3A3A"/>
                <w:sz w:val="18"/>
                <w:szCs w:val="18"/>
              </w:rPr>
              <w:t xml:space="preserve">condicionado a seguir vivo</w:t>
            </w:r>
            <w:r>
              <w:rPr>
                <w:rFonts w:ascii="Cambria" w:cs="Cambria" w:eastAsia="Cambria" w:hAnsi="Cambria"/>
                <w:color w:val="3A3A3A"/>
                <w:sz w:val="18"/>
                <w:szCs w:val="18"/>
              </w:rPr>
              <w:t xml:space="preserve">, que es precisamente la información que aporta un censurado, y porque una </w:t>
            </w:r>
            <w:r>
              <w:rPr>
                <w:rFonts w:ascii="Cambria" w:cs="Cambria" w:eastAsia="Cambria" w:hAnsi="Cambria"/>
                <w:b/>
                <w:bCs/>
                <w:color w:val="3A3A3A"/>
                <w:sz w:val="18"/>
                <w:szCs w:val="18"/>
              </w:rPr>
              <w:t xml:space="preserve">forma de producto</w:t>
            </w:r>
            <w:r>
              <w:rPr>
                <w:rFonts w:ascii="Cambria" w:cs="Cambria" w:eastAsia="Cambria" w:hAnsi="Cambria"/>
                <w:color w:val="3A3A3A"/>
                <w:sz w:val="18"/>
                <w:szCs w:val="18"/>
              </w:rPr>
              <w:t xml:space="preserve"> deja que cada covariable entre como un factor que multiplica el riesgo, con lectura física inmediata. </w:t>
            </w:r>
            <w:r>
              <w:rPr>
                <w:rFonts w:ascii="Cambria" w:cs="Cambria" w:eastAsia="Cambria" w:hAnsi="Cambria"/>
                <w:b/>
                <w:bCs/>
                <w:color w:val="3A3A3A"/>
                <w:sz w:val="18"/>
                <w:szCs w:val="18"/>
              </w:rPr>
              <w:t xml:space="preserve">(c) El riesgo base sin especificar.</w:t>
            </w:r>
            <w:r>
              <w:rPr>
                <w:rFonts w:ascii="Cambria" w:cs="Cambria" w:eastAsia="Cambria" w:hAnsi="Cambria"/>
                <w:color w:val="3A3A3A"/>
                <w:sz w:val="18"/>
                <w:szCs w:val="18"/>
              </w:rPr>
              <w:t xml:space="preserve"> En h(t|x) = h₀(t) exp(x′β), el término h₀(t) es «an arbitrary and unknown function of time». </w:t>
            </w:r>
            <w:r>
              <w:rPr>
                <w:rFonts w:ascii="Cambria" w:cs="Cambria" w:eastAsia="Cambria" w:hAnsi="Cambria"/>
                <w:b/>
                <w:bCs/>
                <w:color w:val="3A3A3A"/>
                <w:sz w:val="18"/>
                <w:szCs w:val="18"/>
              </w:rPr>
              <w:t xml:space="preserve">Se gana</w:t>
            </w:r>
            <w:r>
              <w:rPr>
                <w:rFonts w:ascii="Cambria" w:cs="Cambria" w:eastAsia="Cambria" w:hAnsi="Cambria"/>
                <w:color w:val="3A3A3A"/>
                <w:sz w:val="18"/>
                <w:szCs w:val="18"/>
              </w:rPr>
              <w:t xml:space="preserve"> no tener que decidir si la curva base es exponencial, Weibull o cualquier otra, decisión para la que casi nunca hay evidencia. </w:t>
            </w:r>
            <w:r>
              <w:rPr>
                <w:rFonts w:ascii="Cambria" w:cs="Cambria" w:eastAsia="Cambria" w:hAnsi="Cambria"/>
                <w:b/>
                <w:bCs/>
                <w:color w:val="3A3A3A"/>
                <w:sz w:val="18"/>
                <w:szCs w:val="18"/>
              </w:rPr>
              <w:t xml:space="preserve">Se paga</w:t>
            </w:r>
            <w:r>
              <w:rPr>
                <w:rFonts w:ascii="Cambria" w:cs="Cambria" w:eastAsia="Cambria" w:hAnsi="Cambria"/>
                <w:color w:val="3A3A3A"/>
                <w:sz w:val="18"/>
                <w:szCs w:val="18"/>
              </w:rPr>
              <w:t xml:space="preserve"> que el efecto de cada covariable ya no puede depender del tiempo: el cociente de riesgos entre dos sujetos queda constante, y ese es el supuesto de </w:t>
            </w:r>
            <w:r>
              <w:rPr>
                <w:rFonts w:ascii="Cambria" w:cs="Cambria" w:eastAsia="Cambria" w:hAnsi="Cambria"/>
                <w:b/>
                <w:bCs/>
                <w:color w:val="3A3A3A"/>
                <w:sz w:val="18"/>
                <w:szCs w:val="18"/>
              </w:rPr>
              <w:t xml:space="preserve">riesgos proporcionales</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Por qué una verosimilitud parcial y no la completa.</w:t>
            </w:r>
            <w:r>
              <w:rPr>
                <w:rFonts w:ascii="Cambria" w:cs="Cambria" w:eastAsia="Cambria" w:hAnsi="Cambria"/>
                <w:color w:val="3A3A3A"/>
                <w:sz w:val="18"/>
                <w:szCs w:val="18"/>
              </w:rPr>
              <w:t xml:space="preserve"> Aquí está el hallazgo, y Cox lo contó como el atasco que fue: «It took some years of thought (on and off) to come to the sudden realization that most of the likelihood was irrelevant to the main purpose» — </w:t>
            </w:r>
            <w:r>
              <w:rPr>
                <w:rFonts w:ascii="Cambria" w:cs="Cambria" w:eastAsia="Cambria" w:hAnsi="Cambria"/>
                <w:i/>
                <w:iCs/>
                <w:color w:val="3A3A3A"/>
                <w:sz w:val="18"/>
                <w:szCs w:val="18"/>
              </w:rPr>
              <w:t xml:space="preserve">la mayor parte de la verosimilitud era irrelevante para el propósito principal</w:t>
            </w:r>
            <w:r>
              <w:rPr>
                <w:rFonts w:ascii="Cambria" w:cs="Cambria" w:eastAsia="Cambria" w:hAnsi="Cambria"/>
                <w:color w:val="3A3A3A"/>
                <w:sz w:val="18"/>
                <w:szCs w:val="18"/>
              </w:rPr>
              <w:t xml:space="preserve">. Al conservar solo los factores que comparan, en cada instante de fallo, al sujeto que falla contra los que estaban en riesgo, h₀(t) </w:t>
            </w:r>
            <w:r>
              <w:rPr>
                <w:rFonts w:ascii="Cambria" w:cs="Cambria" w:eastAsia="Cambria" w:hAnsi="Cambria"/>
                <w:b/>
                <w:bCs/>
                <w:color w:val="3A3A3A"/>
                <w:sz w:val="18"/>
                <w:szCs w:val="18"/>
              </w:rPr>
              <w:t xml:space="preserve">se cancela</w:t>
            </w:r>
            <w:r>
              <w:rPr>
                <w:rFonts w:ascii="Cambria" w:cs="Cambria" w:eastAsia="Cambria" w:hAnsi="Cambria"/>
                <w:color w:val="3A3A3A"/>
                <w:sz w:val="18"/>
                <w:szCs w:val="18"/>
              </w:rPr>
              <w:t xml:space="preserve"> y β se estima sin conocerlo. Con la verosimilitud completa la expresión resultaba «of virtually useless complexity»: la restricción dura fue </w:t>
            </w:r>
            <w:r>
              <w:rPr>
                <w:rFonts w:ascii="Cambria" w:cs="Cambria" w:eastAsia="Cambria" w:hAnsi="Cambria"/>
                <w:b/>
                <w:bCs/>
                <w:color w:val="3A3A3A"/>
                <w:sz w:val="18"/>
                <w:szCs w:val="18"/>
              </w:rPr>
              <w:t xml:space="preserve">algebraica antes que computacional</w:t>
            </w:r>
            <w:r>
              <w:rPr>
                <w:rFonts w:ascii="Cambria" w:cs="Cambria" w:eastAsia="Cambria" w:hAnsi="Cambria"/>
                <w:color w:val="3A3A3A"/>
                <w:sz w:val="18"/>
                <w:szCs w:val="18"/>
              </w:rPr>
              <w:t xml:space="preserve">, no un problema de máquinas lentas.</w:t>
            </w:r>
          </w:p>
          <w:p>
            <w:pPr>
              <w:spacing w:after="70" w:line="265"/>
            </w:pPr>
            <w:r>
              <w:rPr>
                <w:rFonts w:ascii="Cambria" w:cs="Cambria" w:eastAsia="Cambria" w:hAnsi="Cambria"/>
                <w:b/>
                <w:bCs/>
                <w:color w:val="3A3A3A"/>
                <w:sz w:val="18"/>
                <w:szCs w:val="18"/>
              </w:rPr>
              <w:t xml:space="preserve">Lo que ningún método resuelve, y por eso existe el Paso 3.</w:t>
            </w:r>
            <w:r>
              <w:rPr>
                <w:rFonts w:ascii="Cambria" w:cs="Cambria" w:eastAsia="Cambria" w:hAnsi="Cambria"/>
                <w:color w:val="3A3A3A"/>
                <w:sz w:val="18"/>
                <w:szCs w:val="18"/>
              </w:rPr>
              <w:t xml:space="preserve"> El supuesto de que la vida es independiente del momento potencial de pérdida —«in practice this assumption deserves careful scrutiny», advierten Kaplan y Meier— queda intacto en ambos métodos: es un supuesto de </w:t>
            </w:r>
            <w:r>
              <w:rPr>
                <w:rFonts w:ascii="Cambria" w:cs="Cambria" w:eastAsia="Cambria" w:hAnsi="Cambria"/>
                <w:b/>
                <w:bCs/>
                <w:color w:val="3A3A3A"/>
                <w:sz w:val="18"/>
                <w:szCs w:val="18"/>
              </w:rPr>
              <w:t xml:space="preserve">diseño del dato</w:t>
            </w:r>
            <w:r>
              <w:rPr>
                <w:rFonts w:ascii="Cambria" w:cs="Cambria" w:eastAsia="Cambria" w:hAnsi="Cambria"/>
                <w:color w:val="3A3A3A"/>
                <w:sz w:val="18"/>
                <w:szCs w:val="18"/>
              </w:rPr>
              <w:t xml:space="preserve">, no de ajuste, y ningún test de este laboratorio lo pone a prueba. Si los clientes que desaparecen del panel son justo los que estaban a punto de abandonar, la curva y los hazard ratios inducen a error a la vez. Lo que sí se somete a prueba es el precio de la decisión (c): el diagnóstico por residuales de Schoenfeld, que llega </w:t>
            </w:r>
            <w:r>
              <w:rPr>
                <w:rFonts w:ascii="Cambria" w:cs="Cambria" w:eastAsia="Cambria" w:hAnsi="Cambria"/>
                <w:b/>
                <w:bCs/>
                <w:color w:val="3A3A3A"/>
                <w:sz w:val="18"/>
                <w:szCs w:val="18"/>
              </w:rPr>
              <w:t xml:space="preserve">después</w:t>
            </w:r>
            <w:r>
              <w:rPr>
                <w:rFonts w:ascii="Cambria" w:cs="Cambria" w:eastAsia="Cambria" w:hAnsi="Cambria"/>
                <w:color w:val="3A3A3A"/>
                <w:sz w:val="18"/>
                <w:szCs w:val="18"/>
              </w:rPr>
              <w:t xml:space="preserve"> de Cox (Therneau y Grambsch, 2000) y que en esta réplica delata a </w:t>
            </w:r>
            <w:r>
              <w:rPr>
                <w:rFonts w:ascii="Consolas" w:cs="Consolas" w:eastAsia="Consolas" w:hAnsi="Consolas"/>
                <w:color w:val="7A1526"/>
                <w:sz w:val="16"/>
                <w:szCs w:val="16"/>
              </w:rPr>
              <w:t xml:space="preserve">age</w:t>
            </w:r>
            <w:r>
              <w:rPr>
                <w:rFonts w:ascii="Cambria" w:cs="Cambria" w:eastAsia="Cambria" w:hAnsi="Cambria"/>
                <w:color w:val="3A3A3A"/>
                <w:sz w:val="18"/>
                <w:szCs w:val="18"/>
              </w:rPr>
              <w:t xml:space="preserve">. Esa deuda histórica es, literalmente, el Paso 3 de esta guía.</w:t>
            </w:r>
          </w:p>
          <w:p>
            <w:pPr>
              <w:spacing w:after="70" w:line="265"/>
            </w:pPr>
            <w:r>
              <w:rPr>
                <w:rFonts w:ascii="Cambria" w:cs="Cambria" w:eastAsia="Cambria" w:hAnsi="Cambria"/>
                <w:b/>
                <w:bCs/>
                <w:color w:val="3A3A3A"/>
                <w:sz w:val="18"/>
                <w:szCs w:val="18"/>
              </w:rPr>
              <w:t xml:space="preserve">De ahí la elección de Rossi y del número que se mira primero.</w:t>
            </w:r>
            <w:r>
              <w:rPr>
                <w:rFonts w:ascii="Cambria" w:cs="Cambria" w:eastAsia="Cambria" w:hAnsi="Cambria"/>
                <w:color w:val="3A3A3A"/>
                <w:sz w:val="18"/>
                <w:szCs w:val="18"/>
              </w:rPr>
              <w:t xml:space="preserve"> Rossi no es la tabla numérica de Cox (1972) —él ilustró la teoría con ejemplos propios—, sino el escenario que mejor reproduce el problema de 1958: la ayuda financiera está </w:t>
            </w:r>
            <w:r>
              <w:rPr>
                <w:rFonts w:ascii="Cambria" w:cs="Cambria" w:eastAsia="Cambria" w:hAnsi="Cambria"/>
                <w:b/>
                <w:bCs/>
                <w:color w:val="3A3A3A"/>
                <w:sz w:val="18"/>
                <w:szCs w:val="18"/>
              </w:rPr>
              <w:t xml:space="preserve">aleatorizada</w:t>
            </w:r>
            <w:r>
              <w:rPr>
                <w:rFonts w:ascii="Cambria" w:cs="Cambria" w:eastAsia="Cambria" w:hAnsi="Cambria"/>
                <w:color w:val="3A3A3A"/>
                <w:sz w:val="18"/>
                <w:szCs w:val="18"/>
              </w:rPr>
              <w:t xml:space="preserve"> (mitad de los liberados la recibió al azar) y la censura es estructural y mayoritaria, porque todos los no reincidentes quedan cortados en la semana 52. Por eso el número que responde la pregunta del experimento es el </w:t>
            </w:r>
            <w:r>
              <w:rPr>
                <w:rFonts w:ascii="Cambria" w:cs="Cambria" w:eastAsia="Cambria" w:hAnsi="Cambria"/>
                <w:b/>
                <w:bCs/>
                <w:color w:val="3A3A3A"/>
                <w:sz w:val="18"/>
                <w:szCs w:val="18"/>
              </w:rPr>
              <w:t xml:space="preserve">HR de </w:t>
            </w:r>
            <w:r>
              <w:rPr>
                <w:rFonts w:ascii="Consolas" w:cs="Consolas" w:eastAsia="Consolas" w:hAnsi="Consolas"/>
                <w:b/>
                <w:bCs/>
                <w:color w:val="7A1526"/>
                <w:sz w:val="16"/>
                <w:szCs w:val="16"/>
              </w:rPr>
              <w:t xml:space="preserve">fin</w:t>
            </w:r>
            <w:r>
              <w:rPr>
                <w:rFonts w:ascii="Cambria" w:cs="Cambria" w:eastAsia="Cambria" w:hAnsi="Cambria"/>
                <w:color w:val="3A3A3A"/>
                <w:sz w:val="18"/>
                <w:szCs w:val="18"/>
              </w:rPr>
              <w:t xml:space="preserve">: si valiera 1, el programa no movería la aguja y no se financiaría; por debajo de 1, la ayuda reduce el riesgo instantáneo de re-arresto. Con un matiz que no debe suavizarse: el intervalo roza 1, así que la lectura honesta es «hay efecto y va en la dirección esperada, pero se financia con evaluación adicional». Y el segundo resultado obligatorio —la violación de riesgos proporcionales en </w:t>
            </w:r>
            <w:r>
              <w:rPr>
                <w:rFonts w:ascii="Consolas" w:cs="Consolas" w:eastAsia="Consolas" w:hAnsi="Consolas"/>
                <w:color w:val="7A1526"/>
                <w:sz w:val="16"/>
                <w:szCs w:val="16"/>
              </w:rPr>
              <w:t xml:space="preserve">age</w:t>
            </w:r>
            <w:r>
              <w:rPr>
                <w:rFonts w:ascii="Cambria" w:cs="Cambria" w:eastAsia="Cambria" w:hAnsi="Cambria"/>
                <w:color w:val="3A3A3A"/>
                <w:sz w:val="18"/>
                <w:szCs w:val="18"/>
              </w:rPr>
              <w:t xml:space="preserve">— no es un accidente del dataset: es el examen del precio que se pagó en la decisión (c).</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 a reproducir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Dataset</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w:t>
            </w:r>
            <w:r>
              <w:rPr>
                <w:rFonts w:ascii="Calibri" w:cs="Calibri" w:eastAsia="Calibri" w:hAnsi="Calibri"/>
                <w:b/>
                <w:bCs/>
                <w:color w:val="2D2D2D"/>
                <w:sz w:val="18"/>
                <w:szCs w:val="18"/>
              </w:rPr>
              <w:t xml:space="preserve">HR </w:t>
            </w:r>
            <w:r>
              <w:rPr>
                <w:rFonts w:ascii="Consolas" w:cs="Consolas" w:eastAsia="Consolas" w:hAnsi="Consolas"/>
                <w:b/>
                <w:bCs/>
                <w:color w:val="7A1526"/>
                <w:sz w:val="16"/>
                <w:szCs w:val="16"/>
              </w:rPr>
              <w:t xml:space="preserve">fin</w:t>
            </w:r>
            <w:r>
              <w:rPr>
                <w:rFonts w:ascii="Calibri" w:cs="Calibri" w:eastAsia="Calibri" w:hAnsi="Calibri"/>
                <w:b w:val="false"/>
                <w:bCs w:val="false"/>
                <w:color w:val="2D2D2D"/>
                <w:sz w:val="18"/>
                <w:szCs w:val="18"/>
              </w:rPr>
              <w:t xml:space="preserve"> (ayuda financiera, protector)</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0,684</w:t>
            </w:r>
            <w:r>
              <w:rPr>
                <w:rFonts w:ascii="Calibri" w:cs="Calibri" w:eastAsia="Calibri" w:hAnsi="Calibri"/>
                <w:b w:val="false"/>
                <w:bCs w:val="false"/>
                <w:color w:val="2D2D2D"/>
                <w:sz w:val="18"/>
                <w:szCs w:val="18"/>
              </w:rPr>
              <w:t xml:space="preserve"> (β −0,38)</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 — </w:t>
            </w:r>
            <w:r>
              <w:rPr>
                <w:rFonts w:ascii="Calibri" w:cs="Calibri" w:eastAsia="Calibri" w:hAnsi="Calibri"/>
                <w:b/>
                <w:bCs/>
                <w:color w:val="2D2D2D"/>
                <w:sz w:val="18"/>
                <w:szCs w:val="18"/>
              </w:rPr>
              <w:t xml:space="preserve">HR &lt; 1 obligatorio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w:t>
            </w:r>
            <w:r>
              <w:rPr>
                <w:rFonts w:ascii="Calibri" w:cs="Calibri" w:eastAsia="Calibri" w:hAnsi="Calibri"/>
                <w:b/>
                <w:bCs/>
                <w:color w:val="2D2D2D"/>
                <w:sz w:val="18"/>
                <w:szCs w:val="18"/>
              </w:rPr>
              <w:t xml:space="preserve">HR </w:t>
            </w:r>
            <w:r>
              <w:rPr>
                <w:rFonts w:ascii="Consolas" w:cs="Consolas" w:eastAsia="Consolas" w:hAnsi="Consolas"/>
                <w:b/>
                <w:bCs/>
                <w:color w:val="7A1526"/>
                <w:sz w:val="16"/>
                <w:szCs w:val="16"/>
              </w:rPr>
              <w:t xml:space="preserve">age</w:t>
            </w:r>
            <w:r>
              <w:rPr>
                <w:rFonts w:ascii="Calibri" w:cs="Calibri" w:eastAsia="Calibri" w:hAnsi="Calibri"/>
                <w:b w:val="false"/>
                <w:bCs w:val="false"/>
                <w:color w:val="2D2D2D"/>
                <w:sz w:val="18"/>
                <w:szCs w:val="18"/>
              </w:rPr>
              <w:t xml:space="preserve"> (edad, protector)</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0,944</w:t>
            </w:r>
            <w:r>
              <w:rPr>
                <w:rFonts w:ascii="Calibri" w:cs="Calibri" w:eastAsia="Calibri" w:hAnsi="Calibri"/>
                <w:b w:val="false"/>
                <w:bCs w:val="false"/>
                <w:color w:val="2D2D2D"/>
                <w:sz w:val="18"/>
                <w:szCs w:val="18"/>
              </w:rPr>
              <w:t xml:space="preserve"> (β −0,06)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 — </w:t>
            </w:r>
            <w:r>
              <w:rPr>
                <w:rFonts w:ascii="Calibri" w:cs="Calibri" w:eastAsia="Calibri" w:hAnsi="Calibri"/>
                <w:b/>
                <w:bCs/>
                <w:color w:val="2D2D2D"/>
                <w:sz w:val="18"/>
                <w:szCs w:val="18"/>
              </w:rPr>
              <w:t xml:space="preserve">HR &lt; 1</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w:t>
            </w:r>
            <w:r>
              <w:rPr>
                <w:rFonts w:ascii="Calibri" w:cs="Calibri" w:eastAsia="Calibri" w:hAnsi="Calibri"/>
                <w:b/>
                <w:bCs/>
                <w:color w:val="2D2D2D"/>
                <w:sz w:val="18"/>
                <w:szCs w:val="18"/>
              </w:rPr>
              <w:t xml:space="preserve">HR </w:t>
            </w:r>
            <w:r>
              <w:rPr>
                <w:rFonts w:ascii="Consolas" w:cs="Consolas" w:eastAsia="Consolas" w:hAnsi="Consolas"/>
                <w:b/>
                <w:bCs/>
                <w:color w:val="7A1526"/>
                <w:sz w:val="16"/>
                <w:szCs w:val="16"/>
              </w:rPr>
              <w:t xml:space="preserve">prio</w:t>
            </w:r>
            <w:r>
              <w:rPr>
                <w:rFonts w:ascii="Calibri" w:cs="Calibri" w:eastAsia="Calibri" w:hAnsi="Calibri"/>
                <w:b w:val="false"/>
                <w:bCs w:val="false"/>
                <w:color w:val="2D2D2D"/>
                <w:sz w:val="18"/>
                <w:szCs w:val="18"/>
              </w:rPr>
              <w:t xml:space="preserve"> (antecedentes, riesgo)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1,096</w:t>
            </w:r>
            <w:r>
              <w:rPr>
                <w:rFonts w:ascii="Calibri" w:cs="Calibri" w:eastAsia="Calibri" w:hAnsi="Calibri"/>
                <w:b w:val="false"/>
                <w:bCs w:val="false"/>
                <w:color w:val="2D2D2D"/>
                <w:sz w:val="18"/>
                <w:szCs w:val="18"/>
              </w:rPr>
              <w:t xml:space="preserve"> (β 0,09)</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 — </w:t>
            </w:r>
            <w:r>
              <w:rPr>
                <w:rFonts w:ascii="Calibri" w:cs="Calibri" w:eastAsia="Calibri" w:hAnsi="Calibri"/>
                <w:b/>
                <w:bCs/>
                <w:color w:val="2D2D2D"/>
                <w:sz w:val="18"/>
                <w:szCs w:val="18"/>
              </w:rPr>
              <w:t xml:space="preserve">HR &gt; 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Schoenfeld — </w:t>
            </w:r>
            <w:r>
              <w:rPr>
                <w:rFonts w:ascii="Consolas" w:cs="Consolas" w:eastAsia="Consolas" w:hAnsi="Consolas"/>
                <w:b/>
                <w:bCs/>
                <w:color w:val="7A1526"/>
                <w:sz w:val="16"/>
                <w:szCs w:val="16"/>
              </w:rPr>
              <w:t xml:space="preserve">age</w:t>
            </w:r>
            <w:r>
              <w:rPr>
                <w:rFonts w:ascii="Calibri" w:cs="Calibri" w:eastAsia="Calibri" w:hAnsi="Calibri"/>
                <w:b/>
                <w:bCs/>
                <w:color w:val="2D2D2D"/>
                <w:sz w:val="18"/>
                <w:szCs w:val="18"/>
              </w:rPr>
              <w:t xml:space="preserve"> viola PH</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p ≈ 0,0007</w:t>
            </w:r>
            <w:r>
              <w:rPr>
                <w:rFonts w:ascii="Calibri" w:cs="Calibri" w:eastAsia="Calibri" w:hAnsi="Calibri"/>
                <w:b w:val="false"/>
                <w:bCs w:val="false"/>
                <w:color w:val="2D2D2D"/>
                <w:sz w:val="18"/>
                <w:szCs w:val="18"/>
              </w:rPr>
              <w:t xml:space="preserve"> (&lt; 0,01); resto &gt; 0,10</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p_age</w:t>
            </w:r>
            <w:r>
              <w:rPr>
                <w:rFonts w:ascii="Calibri" w:cs="Calibri" w:eastAsia="Calibri" w:hAnsi="Calibri"/>
                <w:b w:val="false"/>
                <w:bCs w:val="false"/>
                <w:color w:val="2D2D2D"/>
                <w:sz w:val="18"/>
                <w:szCs w:val="18"/>
              </w:rPr>
              <w:t xml:space="preserve"> &lt; 0,01</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KM S(52) por </w:t>
            </w:r>
            <w:r>
              <w:rPr>
                <w:rFonts w:ascii="Consolas" w:cs="Consolas" w:eastAsia="Consolas" w:hAnsi="Consolas"/>
                <w:b/>
                <w:bCs/>
                <w:color w:val="7A1526"/>
                <w:sz w:val="16"/>
                <w:szCs w:val="16"/>
              </w:rPr>
              <w:t xml:space="preserve">fin</w:t>
            </w:r>
            <w:r>
              <w:rPr>
                <w:rFonts w:ascii="Calibri" w:cs="Calibri" w:eastAsia="Calibri" w:hAnsi="Calibri"/>
                <w:b w:val="false"/>
                <w:bCs w:val="false"/>
                <w:color w:val="2D2D2D"/>
                <w:sz w:val="18"/>
                <w:szCs w:val="18"/>
              </w:rPr>
              <w:t xml:space="preserve"> + log-rank (con-ayuda sobrevive mejor)</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S(52|</w:t>
            </w:r>
            <w:r>
              <w:rPr>
                <w:rFonts w:ascii="Consolas" w:cs="Consolas" w:eastAsia="Consolas" w:hAnsi="Consolas"/>
                <w:b w:val="false"/>
                <w:bCs w:val="false"/>
                <w:color w:val="7A1526"/>
                <w:sz w:val="16"/>
                <w:szCs w:val="16"/>
              </w:rPr>
              <w:t xml:space="preserve">fin</w:t>
            </w:r>
            <w:r>
              <w:rPr>
                <w:rFonts w:ascii="Calibri" w:cs="Calibri" w:eastAsia="Calibri" w:hAnsi="Calibri"/>
                <w:b w:val="false"/>
                <w:bCs w:val="false"/>
                <w:color w:val="2D2D2D"/>
                <w:sz w:val="18"/>
                <w:szCs w:val="18"/>
              </w:rPr>
              <w:t xml:space="preserve">=1) 0,778 &gt; S(52|</w:t>
            </w:r>
            <w:r>
              <w:rPr>
                <w:rFonts w:ascii="Consolas" w:cs="Consolas" w:eastAsia="Consolas" w:hAnsi="Consolas"/>
                <w:b w:val="false"/>
                <w:bCs w:val="false"/>
                <w:color w:val="7A1526"/>
                <w:sz w:val="16"/>
                <w:szCs w:val="16"/>
              </w:rPr>
              <w:t xml:space="preserve">fin</w:t>
            </w:r>
            <w:r>
              <w:rPr>
                <w:rFonts w:ascii="Calibri" w:cs="Calibri" w:eastAsia="Calibri" w:hAnsi="Calibri"/>
                <w:b w:val="false"/>
                <w:bCs w:val="false"/>
                <w:color w:val="2D2D2D"/>
                <w:sz w:val="18"/>
                <w:szCs w:val="18"/>
              </w:rPr>
              <w:t xml:space="preserve">=0) 0,694; log-rank p 0,0501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dirección anclada</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w:t>
            </w:r>
            <w:r>
              <w:rPr>
                <w:rFonts w:ascii="Calibri" w:cs="Calibri" w:eastAsia="Calibri" w:hAnsi="Calibri"/>
                <w:b/>
                <w:bCs/>
                <w:color w:val="2D2D2D"/>
                <w:sz w:val="18"/>
                <w:szCs w:val="18"/>
              </w:rPr>
              <w:t xml:space="preserve">HR </w:t>
            </w:r>
            <w:r>
              <w:rPr>
                <w:rFonts w:ascii="Consolas" w:cs="Consolas" w:eastAsia="Consolas" w:hAnsi="Consolas"/>
                <w:b/>
                <w:bCs/>
                <w:color w:val="7A1526"/>
                <w:sz w:val="16"/>
                <w:szCs w:val="16"/>
              </w:rPr>
              <w:t xml:space="preserve">karno</w:t>
            </w:r>
            <w:r>
              <w:rPr>
                <w:rFonts w:ascii="Calibri" w:cs="Calibri" w:eastAsia="Calibri" w:hAnsi="Calibri"/>
                <w:b w:val="false"/>
                <w:bCs w:val="false"/>
                <w:color w:val="2D2D2D"/>
                <w:sz w:val="18"/>
                <w:szCs w:val="18"/>
              </w:rPr>
              <w:t xml:space="preserve"> protector y </w:t>
            </w:r>
            <w:r>
              <w:rPr>
                <w:rFonts w:ascii="Consolas" w:cs="Consolas" w:eastAsia="Consolas" w:hAnsi="Consolas"/>
                <w:b w:val="false"/>
                <w:bCs w:val="false"/>
                <w:color w:val="7A1526"/>
                <w:sz w:val="16"/>
                <w:szCs w:val="16"/>
              </w:rPr>
              <w:t xml:space="preserve">trt</w:t>
            </w:r>
            <w:r>
              <w:rPr>
                <w:rFonts w:ascii="Calibri" w:cs="Calibri" w:eastAsia="Calibri" w:hAnsi="Calibri"/>
                <w:b w:val="false"/>
                <w:bCs w:val="false"/>
                <w:color w:val="2D2D2D"/>
                <w:sz w:val="18"/>
                <w:szCs w:val="18"/>
              </w:rPr>
              <w:t xml:space="preserve"> no significativo</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karno</w:t>
            </w:r>
            <w:r>
              <w:rPr>
                <w:rFonts w:ascii="Calibri" w:cs="Calibri" w:eastAsia="Calibri" w:hAnsi="Calibri"/>
                <w:b w:val="false"/>
                <w:bCs w:val="false"/>
                <w:color w:val="2D2D2D"/>
                <w:sz w:val="18"/>
                <w:szCs w:val="18"/>
              </w:rPr>
              <w:t xml:space="preserve"> 0,968 (&lt; 1); </w:t>
            </w:r>
            <w:r>
              <w:rPr>
                <w:rFonts w:ascii="Consolas" w:cs="Consolas" w:eastAsia="Consolas" w:hAnsi="Consolas"/>
                <w:b w:val="false"/>
                <w:bCs w:val="false"/>
                <w:color w:val="7A1526"/>
                <w:sz w:val="16"/>
                <w:szCs w:val="16"/>
              </w:rPr>
              <w:t xml:space="preserve">trt</w:t>
            </w:r>
            <w:r>
              <w:rPr>
                <w:rFonts w:ascii="Calibri" w:cs="Calibri" w:eastAsia="Calibri" w:hAnsi="Calibri"/>
                <w:b w:val="false"/>
                <w:bCs w:val="false"/>
                <w:color w:val="2D2D2D"/>
                <w:sz w:val="18"/>
                <w:szCs w:val="18"/>
              </w:rPr>
              <w:t xml:space="preserve"> p 0,156 (&gt; 0,10)</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dirección/significancia anclada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Veterans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Regla de oro de la sesión, actividad en parejas y pregunta de discusión (Paso 0)</w:t>
            </w:r>
          </w:p>
          <w:p>
            <w:pPr>
              <w:spacing w:after="70" w:line="265"/>
            </w:pPr>
            <w:r>
              <w:rPr>
                <w:rFonts w:ascii="Cambria" w:cs="Cambria" w:eastAsia="Cambria" w:hAnsi="Cambria"/>
                <w:b/>
                <w:bCs/>
                <w:color w:val="3A3A3A"/>
                <w:sz w:val="18"/>
                <w:szCs w:val="18"/>
              </w:rPr>
              <w:t xml:space="preserve">Regla de oro de la sesión (valor operativo vs. publicado).</w:t>
            </w:r>
            <w:r>
              <w:rPr>
                <w:rFonts w:ascii="Cambria" w:cs="Cambria" w:eastAsia="Cambria" w:hAnsi="Cambria"/>
                <w:color w:val="3A3A3A"/>
                <w:sz w:val="18"/>
                <w:szCs w:val="18"/>
              </w:rPr>
              <w:t xml:space="preserve"> El número de la sesión es el que produce el </w:t>
            </w:r>
            <w:r>
              <w:rPr>
                <w:rFonts w:ascii="Cambria" w:cs="Cambria" w:eastAsia="Cambria" w:hAnsi="Cambria"/>
                <w:b/>
                <w:bCs/>
                <w:color w:val="3A3A3A"/>
                <w:sz w:val="18"/>
                <w:szCs w:val="18"/>
              </w:rPr>
              <w:t xml:space="preserve">venv/Excel</w:t>
            </w:r>
            <w:r>
              <w:rPr>
                <w:rFonts w:ascii="Cambria" w:cs="Cambria" w:eastAsia="Cambria" w:hAnsi="Cambria"/>
                <w:color w:val="3A3A3A"/>
                <w:sz w:val="18"/>
                <w:szCs w:val="18"/>
              </w:rPr>
              <w:t xml:space="preserve">; cualquier cifra de la literatura (salida de lifelines sobre Rossi, HR de la documentación de Cox/Kalbfleisch &amp; Prentice) se muestra </w:t>
            </w:r>
            <w:r>
              <w:rPr>
                <w:rFonts w:ascii="Cambria" w:cs="Cambria" w:eastAsia="Cambria" w:hAnsi="Cambria"/>
                <w:b/>
                <w:bCs/>
                <w:color w:val="3A3A3A"/>
                <w:sz w:val="18"/>
                <w:szCs w:val="18"/>
              </w:rPr>
              <w:t xml:space="preserve">etiquetada como benchmark publicado</w:t>
            </w:r>
            <w:r>
              <w:rPr>
                <w:rFonts w:ascii="Cambria" w:cs="Cambria" w:eastAsia="Cambria" w:hAnsi="Cambria"/>
                <w:color w:val="3A3A3A"/>
                <w:sz w:val="18"/>
                <w:szCs w:val="18"/>
              </w:rPr>
              <w:t xml:space="preserve">, nunca mezclada como resultado propio. La confirmación numérica con tolerancias vive en </w:t>
            </w:r>
            <w:r>
              <w:rPr>
                <w:rFonts w:ascii="Consolas" w:cs="Consolas" w:eastAsia="Consolas" w:hAnsi="Consolas"/>
                <w:color w:val="7A1526"/>
                <w:sz w:val="16"/>
                <w:szCs w:val="16"/>
              </w:rPr>
              <w:t xml:space="preserve">verify_s13.py</w:t>
            </w:r>
            <w:r>
              <w:rPr>
                <w:rFonts w:ascii="Cambria" w:cs="Cambria" w:eastAsia="Cambria" w:hAnsi="Cambria"/>
                <w:color w:val="3A3A3A"/>
                <w:sz w:val="18"/>
                <w:szCs w:val="18"/>
              </w:rPr>
              <w:t xml:space="preserve"> / el cuaderno de la sesión, que el notebook/QA ejecuta con el venv; en el laboratorio los valores se contrastan </w:t>
            </w:r>
            <w:r>
              <w:rPr>
                <w:rFonts w:ascii="Cambria" w:cs="Cambria" w:eastAsia="Cambria" w:hAnsi="Cambria"/>
                <w:b/>
                <w:bCs/>
                <w:color w:val="3A3A3A"/>
                <w:sz w:val="18"/>
                <w:szCs w:val="18"/>
              </w:rPr>
              <w:t xml:space="preserve">por lectura</w:t>
            </w:r>
            <w:r>
              <w:rPr>
                <w:rFonts w:ascii="Cambria" w:cs="Cambria" w:eastAsia="Cambria" w:hAnsi="Cambria"/>
                <w:color w:val="3A3A3A"/>
                <w:sz w:val="18"/>
                <w:szCs w:val="18"/>
              </w:rPr>
              <w:t xml:space="preserve"> contra la tabla, sin assert en las celdas.</w:t>
            </w:r>
          </w:p>
          <w:p>
            <w:pPr>
              <w:spacing w:after="70" w:line="265"/>
            </w:pPr>
            <w:r>
              <w:rPr>
                <w:rFonts w:ascii="Cambria" w:cs="Cambria" w:eastAsia="Cambria" w:hAnsi="Cambria"/>
                <w:b/>
                <w:bCs/>
                <w:color w:val="3A3A3A"/>
                <w:sz w:val="18"/>
                <w:szCs w:val="18"/>
              </w:rPr>
              <w:t xml:space="preserve">Actividad en parejas:</w:t>
            </w:r>
            <w:r>
              <w:rPr>
                <w:rFonts w:ascii="Cambria" w:cs="Cambria" w:eastAsia="Cambria" w:hAnsi="Cambria"/>
                <w:color w:val="3A3A3A"/>
                <w:sz w:val="18"/>
                <w:szCs w:val="18"/>
              </w:rPr>
              <w:t xml:space="preserve"> anotar, con las propias palabras, tres respuestas. (1) </w:t>
            </w:r>
            <w:r>
              <w:rPr>
                <w:rFonts w:ascii="Cambria" w:cs="Cambria" w:eastAsia="Cambria" w:hAnsi="Cambria"/>
                <w:b/>
                <w:bCs/>
                <w:color w:val="3A3A3A"/>
                <w:sz w:val="18"/>
                <w:szCs w:val="18"/>
              </w:rPr>
              <w:t xml:space="preserve">¿Qué problema del dato obligó a inventar estos dos métodos?</w:t>
            </w:r>
            <w:r>
              <w:rPr>
                <w:rFonts w:ascii="Cambria" w:cs="Cambria" w:eastAsia="Cambria" w:hAnsi="Cambria"/>
                <w:color w:val="3A3A3A"/>
                <w:sz w:val="18"/>
                <w:szCs w:val="18"/>
              </w:rPr>
              <w:t xml:space="preserve"> — la censura: del sujeto que sale sin evento no se sabe nada completo, pero sí algo verdadero, que su tiempo es mayor que el observado; descartarlo subestima la supervivencia, contarlo como evento infla la mortalidad y tratarlo como vida completa sobreestima la retención. (2) </w:t>
            </w:r>
            <w:r>
              <w:rPr>
                <w:rFonts w:ascii="Cambria" w:cs="Cambria" w:eastAsia="Cambria" w:hAnsi="Cambria"/>
                <w:b/>
                <w:bCs/>
                <w:color w:val="3A3A3A"/>
                <w:sz w:val="18"/>
                <w:szCs w:val="18"/>
              </w:rPr>
              <w:t xml:space="preserve">Reconstruir una decisión de método</w:t>
            </w:r>
            <w:r>
              <w:rPr>
                <w:rFonts w:ascii="Cambria" w:cs="Cambria" w:eastAsia="Cambria" w:hAnsi="Cambria"/>
                <w:color w:val="3A3A3A"/>
                <w:sz w:val="18"/>
                <w:szCs w:val="18"/>
              </w:rPr>
              <w:t xml:space="preserve">: elegir </w:t>
            </w:r>
            <w:r>
              <w:rPr>
                <w:rFonts w:ascii="Cambria" w:cs="Cambria" w:eastAsia="Cambria" w:hAnsi="Cambria"/>
                <w:b/>
                <w:bCs/>
                <w:color w:val="3A3A3A"/>
                <w:sz w:val="18"/>
                <w:szCs w:val="18"/>
              </w:rPr>
              <w:t xml:space="preserve">una</w:t>
            </w:r>
            <w:r>
              <w:rPr>
                <w:rFonts w:ascii="Cambria" w:cs="Cambria" w:eastAsia="Cambria" w:hAnsi="Cambria"/>
                <w:color w:val="3A3A3A"/>
                <w:sz w:val="18"/>
                <w:szCs w:val="18"/>
              </w:rPr>
              <w:t xml:space="preserve"> de las tres (el producto de probabilidades condicionales; el hazard en lugar del tiempo; el riesgo base sin especificar), declarar cuál era la alternativa descartada y qué habría salido mal con ella; no vale repetir el enunciado del supuesto, hay que decir qué se gana y qué se paga. (3) </w:t>
            </w:r>
            <w:r>
              <w:rPr>
                <w:rFonts w:ascii="Cambria" w:cs="Cambria" w:eastAsia="Cambria" w:hAnsi="Cambria"/>
                <w:b/>
                <w:bCs/>
                <w:color w:val="3A3A3A"/>
                <w:sz w:val="18"/>
                <w:szCs w:val="18"/>
              </w:rPr>
              <w:t xml:space="preserve">¿Cuáles son los seis targets y de dónde provienen?</w:t>
            </w:r>
            <w:r>
              <w:rPr>
                <w:rFonts w:ascii="Cambria" w:cs="Cambria" w:eastAsia="Cambria" w:hAnsi="Cambria"/>
                <w:color w:val="3A3A3A"/>
                <w:sz w:val="18"/>
                <w:szCs w:val="18"/>
              </w:rPr>
              <w:t xml:space="preserve"> — con la fuente de cada uno y la razón por la que el HR de </w:t>
            </w:r>
            <w:r>
              <w:rPr>
                <w:rFonts w:ascii="Consolas" w:cs="Consolas" w:eastAsia="Consolas" w:hAnsi="Consolas"/>
                <w:color w:val="7A1526"/>
                <w:sz w:val="16"/>
                <w:szCs w:val="16"/>
              </w:rPr>
              <w:t xml:space="preserve">fin</w:t>
            </w:r>
            <w:r>
              <w:rPr>
                <w:rFonts w:ascii="Cambria" w:cs="Cambria" w:eastAsia="Cambria" w:hAnsi="Cambria"/>
                <w:color w:val="3A3A3A"/>
                <w:sz w:val="18"/>
                <w:szCs w:val="18"/>
              </w:rPr>
              <w:t xml:space="preserve"> es el número que responde la pregunta del experimento de Rossi.</w:t>
            </w:r>
          </w:p>
          <w:p>
            <w:pPr>
              <w:spacing w:after="70" w:line="265"/>
            </w:pPr>
            <w:r>
              <w:rPr>
                <w:rFonts w:ascii="Cambria" w:cs="Cambria" w:eastAsia="Cambria" w:hAnsi="Cambria"/>
                <w:b/>
                <w:bCs/>
                <w:color w:val="3A3A3A"/>
                <w:sz w:val="18"/>
                <w:szCs w:val="18"/>
              </w:rPr>
              <w:t xml:space="preserve">Pregunta para discutir en voz alta (2 min):</w:t>
            </w:r>
            <w:r>
              <w:rPr>
                <w:rFonts w:ascii="Cambria" w:cs="Cambria" w:eastAsia="Cambria" w:hAnsi="Cambria"/>
                <w:color w:val="3A3A3A"/>
                <w:sz w:val="18"/>
                <w:szCs w:val="18"/>
              </w:rPr>
              <w:t xml:space="preserve"> con los ordenadores de hoy, ¿se habría ahorrado Cox la verosimilitud parcial? </w:t>
            </w:r>
            <w:r>
              <w:rPr>
                <w:rFonts w:ascii="Cambria" w:cs="Cambria" w:eastAsia="Cambria" w:hAnsi="Cambria"/>
                <w:i/>
                <w:iCs/>
                <w:color w:val="3A3A3A"/>
                <w:sz w:val="18"/>
                <w:szCs w:val="18"/>
              </w:rPr>
              <w:t xml:space="preserve">No: el obstáculo era algebraico antes que computacional — con h₀(t) sin especificar, la verosimilitud completa resultaba «of virtually useless complexity», imposible de escribir, no ya de maximizar. Lo que la potencia de cálculo sí cambió fue la velocidad de adopción: «remarkably quickly», dice Cox, los paquetes estadísticos incorporaron el método a sus librerías.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P1   </w:t>
            </w:r>
            <w:r>
              <w:rPr>
                <w:rFonts w:ascii="Calibri" w:cs="Calibri" w:eastAsia="Calibri" w:hAnsi="Calibri"/>
                <w:b/>
                <w:bCs/>
                <w:color w:val="7A1526"/>
                <w:sz w:val="19"/>
                <w:szCs w:val="19"/>
              </w:rPr>
              <w:t xml:space="preserve">Cargar Rossi y verificar</w:t>
            </w:r>
          </w:p>
          <w:p>
            <w:pPr>
              <w:spacing w:line="265"/>
            </w:pPr>
            <w:r>
              <w:rPr>
                <w:rFonts w:ascii="Cambria" w:cs="Cambria" w:eastAsia="Cambria" w:hAnsi="Cambria"/>
                <w:color w:val="2D2D2D"/>
                <w:sz w:val="19"/>
                <w:szCs w:val="19"/>
              </w:rPr>
              <w:t xml:space="preserve">Cargar el dataset ejecutando from lifelines.datasets import </w:t>
            </w:r>
            <w:r>
              <w:rPr>
                <w:rFonts w:ascii="Consolas" w:cs="Consolas" w:eastAsia="Consolas" w:hAnsi="Consolas"/>
                <w:color w:val="7A1526"/>
                <w:sz w:val="17"/>
                <w:szCs w:val="17"/>
              </w:rPr>
              <w:t xml:space="preserve">load_rossi</w:t>
            </w:r>
            <w:r>
              <w:rPr>
                <w:rFonts w:ascii="Cambria" w:cs="Cambria" w:eastAsia="Cambria" w:hAnsi="Cambria"/>
                <w:color w:val="2D2D2D"/>
                <w:sz w:val="19"/>
                <w:szCs w:val="19"/>
              </w:rPr>
              <w:t xml:space="preserve">; rossi = </w:t>
            </w:r>
            <w:r>
              <w:rPr>
                <w:rFonts w:ascii="Consolas" w:cs="Consolas" w:eastAsia="Consolas" w:hAnsi="Consolas"/>
                <w:color w:val="7A1526"/>
                <w:sz w:val="17"/>
                <w:szCs w:val="17"/>
              </w:rPr>
              <w:t xml:space="preserve">load_rossi</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no requiere red</w:t>
            </w:r>
            <w:r>
              <w:rPr>
                <w:rFonts w:ascii="Cambria" w:cs="Cambria" w:eastAsia="Cambria" w:hAnsi="Cambria"/>
                <w:color w:val="2D2D2D"/>
                <w:sz w:val="19"/>
                <w:szCs w:val="19"/>
              </w:rPr>
              <w:t xml:space="preserve">: empaquetado en lifelines). Verificar por código </w:t>
            </w:r>
            <w:r>
              <w:rPr>
                <w:rFonts w:ascii="Cambria" w:cs="Cambria" w:eastAsia="Cambria" w:hAnsi="Cambria"/>
                <w:b/>
                <w:bCs/>
                <w:color w:val="2D2D2D"/>
                <w:sz w:val="19"/>
                <w:szCs w:val="19"/>
              </w:rPr>
              <w:t xml:space="preserve">432 filas × 9 columnas</w:t>
            </w:r>
            <w:r>
              <w:rPr>
                <w:rFonts w:ascii="Cambria" w:cs="Cambria" w:eastAsia="Cambria" w:hAnsi="Cambria"/>
                <w:color w:val="2D2D2D"/>
                <w:sz w:val="19"/>
                <w:szCs w:val="19"/>
              </w:rPr>
              <w:t xml:space="preserve"> y anotar la fecha de verificación (DD/MM/YYYY). Contar eventos y censurados (A1-A2): </w:t>
            </w:r>
            <w:r>
              <w:rPr>
                <w:rFonts w:ascii="Consolas" w:cs="Consolas" w:eastAsia="Consolas" w:hAnsi="Consolas"/>
                <w:color w:val="7A1526"/>
                <w:sz w:val="17"/>
                <w:szCs w:val="17"/>
              </w:rPr>
              <w:t xml:space="preserve">arrest</w:t>
            </w:r>
            <w:r>
              <w:rPr>
                <w:rFonts w:ascii="Cambria" w:cs="Cambria" w:eastAsia="Cambria" w:hAnsi="Cambria"/>
                <w:color w:val="2D2D2D"/>
                <w:sz w:val="19"/>
                <w:szCs w:val="19"/>
              </w:rPr>
              <w:t xml:space="preserve">.sum = </w:t>
            </w:r>
            <w:r>
              <w:rPr>
                <w:rFonts w:ascii="Cambria" w:cs="Cambria" w:eastAsia="Cambria" w:hAnsi="Cambria"/>
                <w:b/>
                <w:bCs/>
                <w:color w:val="2D2D2D"/>
                <w:sz w:val="19"/>
                <w:szCs w:val="19"/>
              </w:rPr>
              <w:t xml:space="preserve">114 eventos</w:t>
            </w:r>
            <w:r>
              <w:rPr>
                <w:rFonts w:ascii="Cambria" w:cs="Cambria" w:eastAsia="Cambria" w:hAnsi="Cambria"/>
                <w:color w:val="2D2D2D"/>
                <w:sz w:val="19"/>
                <w:szCs w:val="19"/>
              </w:rPr>
              <w:t xml:space="preserve"> (re-arrestos); (</w:t>
            </w:r>
            <w:r>
              <w:rPr>
                <w:rFonts w:ascii="Consolas" w:cs="Consolas" w:eastAsia="Consolas" w:hAnsi="Consolas"/>
                <w:color w:val="7A1526"/>
                <w:sz w:val="17"/>
                <w:szCs w:val="17"/>
              </w:rPr>
              <w:t xml:space="preserve">arrest</w:t>
            </w:r>
            <w:r>
              <w:rPr>
                <w:rFonts w:ascii="Cambria" w:cs="Cambria" w:eastAsia="Cambria" w:hAnsi="Cambria"/>
                <w:color w:val="2D2D2D"/>
                <w:sz w:val="19"/>
                <w:szCs w:val="19"/>
              </w:rPr>
              <w:t xml:space="preserve">==0).sum = </w:t>
            </w:r>
            <w:r>
              <w:rPr>
                <w:rFonts w:ascii="Cambria" w:cs="Cambria" w:eastAsia="Cambria" w:hAnsi="Cambria"/>
                <w:b/>
                <w:bCs/>
                <w:color w:val="2D2D2D"/>
                <w:sz w:val="19"/>
                <w:szCs w:val="19"/>
              </w:rPr>
              <w:t xml:space="preserve">318 censurados</w:t>
            </w:r>
            <w:r>
              <w:rPr>
                <w:rFonts w:ascii="Cambria" w:cs="Cambria" w:eastAsia="Cambria" w:hAnsi="Cambria"/>
                <w:color w:val="2D2D2D"/>
                <w:sz w:val="19"/>
                <w:szCs w:val="19"/>
              </w:rPr>
              <w:t xml:space="preserve"> (no re-arrestados en 52 semanas) — el </w:t>
            </w:r>
            <w:r>
              <w:rPr>
                <w:rFonts w:ascii="Cambria" w:cs="Cambria" w:eastAsia="Cambria" w:hAnsi="Cambria"/>
                <w:b/>
                <w:bCs/>
                <w:color w:val="2D2D2D"/>
                <w:sz w:val="19"/>
                <w:szCs w:val="19"/>
              </w:rPr>
              <w:t xml:space="preserve">74 %</w:t>
            </w:r>
            <w:r>
              <w:rPr>
                <w:rFonts w:ascii="Cambria" w:cs="Cambria" w:eastAsia="Cambria" w:hAnsi="Cambria"/>
                <w:color w:val="2D2D2D"/>
                <w:sz w:val="19"/>
                <w:szCs w:val="19"/>
              </w:rPr>
              <w:t xml:space="preserve"> está censurado, justo el escenario que la supervivencia resuelve. Describir las columnas: </w:t>
            </w:r>
            <w:r>
              <w:rPr>
                <w:rFonts w:ascii="Consolas" w:cs="Consolas" w:eastAsia="Consolas" w:hAnsi="Consolas"/>
                <w:color w:val="7A1526"/>
                <w:sz w:val="17"/>
                <w:szCs w:val="17"/>
              </w:rPr>
              <w:t xml:space="preserve">week</w:t>
            </w:r>
            <w:r>
              <w:rPr>
                <w:rFonts w:ascii="Cambria" w:cs="Cambria" w:eastAsia="Cambria" w:hAnsi="Cambria"/>
                <w:color w:val="2D2D2D"/>
                <w:sz w:val="19"/>
                <w:szCs w:val="19"/>
              </w:rPr>
              <w:t xml:space="preserve"> (duración 1–52), </w:t>
            </w:r>
            <w:r>
              <w:rPr>
                <w:rFonts w:ascii="Consolas" w:cs="Consolas" w:eastAsia="Consolas" w:hAnsi="Consolas"/>
                <w:color w:val="7A1526"/>
                <w:sz w:val="17"/>
                <w:szCs w:val="17"/>
              </w:rPr>
              <w:t xml:space="preserve">arrest</w:t>
            </w:r>
            <w:r>
              <w:rPr>
                <w:rFonts w:ascii="Cambria" w:cs="Cambria" w:eastAsia="Cambria" w:hAnsi="Cambria"/>
                <w:color w:val="2D2D2D"/>
                <w:sz w:val="19"/>
                <w:szCs w:val="19"/>
              </w:rPr>
              <w:t xml:space="preserve"> (evento 0/1), y las covariables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(ayuda financiera 0/1),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(edad), </w:t>
            </w:r>
            <w:r>
              <w:rPr>
                <w:rFonts w:ascii="Consolas" w:cs="Consolas" w:eastAsia="Consolas" w:hAnsi="Consolas"/>
                <w:color w:val="7A1526"/>
                <w:sz w:val="17"/>
                <w:szCs w:val="17"/>
              </w:rPr>
              <w:t xml:space="preserve">race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wexp</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mar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paro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(nº de condenas previas).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serie cargada y verificada (432 obs × 9 columnas, 114 eventos, 318 censurados) con su fecha de verificación, y la identificación de qué columna es la duración y cuál el evento.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P2   </w:t>
            </w:r>
            <w:r>
              <w:rPr>
                <w:rFonts w:ascii="Calibri" w:cs="Calibri" w:eastAsia="Calibri" w:hAnsi="Calibri"/>
                <w:b/>
                <w:bCs/>
                <w:color w:val="7A1526"/>
                <w:sz w:val="19"/>
                <w:szCs w:val="19"/>
              </w:rPr>
              <w:t xml:space="preserve">Preparar: evento, duración y censura</w:t>
            </w:r>
          </w:p>
          <w:p>
            <w:pPr>
              <w:spacing w:line="265"/>
            </w:pPr>
            <w:r>
              <w:rPr>
                <w:rFonts w:ascii="Cambria" w:cs="Cambria" w:eastAsia="Cambria" w:hAnsi="Cambria"/>
                <w:color w:val="2D2D2D"/>
                <w:sz w:val="19"/>
                <w:szCs w:val="19"/>
              </w:rPr>
              <w:t xml:space="preserve">Fijar </w:t>
            </w:r>
            <w:r>
              <w:rPr>
                <w:rFonts w:ascii="Consolas" w:cs="Consolas" w:eastAsia="Consolas" w:hAnsi="Consolas"/>
                <w:color w:val="7A1526"/>
                <w:sz w:val="17"/>
                <w:szCs w:val="17"/>
              </w:rPr>
              <w:t xml:space="preserve">duration_col="week", event_col="arrest"</w:t>
            </w:r>
            <w:r>
              <w:rPr>
                <w:rFonts w:ascii="Cambria" w:cs="Cambria" w:eastAsia="Cambria" w:hAnsi="Cambria"/>
                <w:color w:val="2D2D2D"/>
                <w:sz w:val="19"/>
                <w:szCs w:val="19"/>
              </w:rPr>
              <w:t xml:space="preserve"> (crítico): invertirlos (usar </w:t>
            </w:r>
            <w:r>
              <w:rPr>
                <w:rFonts w:ascii="Consolas" w:cs="Consolas" w:eastAsia="Consolas" w:hAnsi="Consolas"/>
                <w:color w:val="7A1526"/>
                <w:sz w:val="17"/>
                <w:szCs w:val="17"/>
              </w:rPr>
              <w:t xml:space="preserve">arrest</w:t>
            </w:r>
            <w:r>
              <w:rPr>
                <w:rFonts w:ascii="Cambria" w:cs="Cambria" w:eastAsia="Cambria" w:hAnsi="Cambria"/>
                <w:color w:val="2D2D2D"/>
                <w:sz w:val="19"/>
                <w:szCs w:val="19"/>
              </w:rPr>
              <w:t xml:space="preserve"> como duración) rompe todo el análisis </w:t>
            </w:r>
            <w:r>
              <w:rPr>
                <w:rFonts w:ascii="Cambria" w:cs="Cambria" w:eastAsia="Cambria" w:hAnsi="Cambria"/>
                <w:b/>
                <w:bCs/>
                <w:color w:val="2D2D2D"/>
                <w:sz w:val="19"/>
                <w:szCs w:val="19"/>
              </w:rPr>
              <w:t xml:space="preserve">en silencio</w:t>
            </w:r>
            <w:r>
              <w:rPr>
                <w:rFonts w:ascii="Cambria" w:cs="Cambria" w:eastAsia="Cambria" w:hAnsi="Cambria"/>
                <w:color w:val="2D2D2D"/>
                <w:sz w:val="19"/>
                <w:szCs w:val="19"/>
              </w:rPr>
              <w:t xml:space="preserve">, por lo que conviene verificar con A1-A2 antes de modelar. Motivar la censura por la derecha: un ex-recluso que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fue re-arrestado en 52 semanas está </w:t>
            </w:r>
            <w:r>
              <w:rPr>
                <w:rFonts w:ascii="Cambria" w:cs="Cambria" w:eastAsia="Cambria" w:hAnsi="Cambria"/>
                <w:b/>
                <w:bCs/>
                <w:color w:val="2D2D2D"/>
                <w:sz w:val="19"/>
                <w:szCs w:val="19"/>
              </w:rPr>
              <w:t xml:space="preserve">censurado</w:t>
            </w:r>
            <w:r>
              <w:rPr>
                <w:rFonts w:ascii="Cambria" w:cs="Cambria" w:eastAsia="Cambria" w:hAnsi="Cambria"/>
                <w:color w:val="2D2D2D"/>
                <w:sz w:val="19"/>
                <w:szCs w:val="19"/>
              </w:rPr>
              <w:t xml:space="preserve"> en la semana 52 — solo se sabe que su tiempo real a la reincidencia es </w:t>
            </w:r>
            <w:r>
              <w:rPr>
                <w:rFonts w:ascii="Cambria" w:cs="Cambria" w:eastAsia="Cambria" w:hAnsi="Cambria"/>
                <w:b/>
                <w:bCs/>
                <w:color w:val="2D2D2D"/>
                <w:sz w:val="19"/>
                <w:szCs w:val="19"/>
              </w:rPr>
              <w:t xml:space="preserve">mayor que 52</w:t>
            </w:r>
            <w:r>
              <w:rPr>
                <w:rFonts w:ascii="Cambria" w:cs="Cambria" w:eastAsia="Cambria" w:hAnsi="Cambria"/>
                <w:color w:val="2D2D2D"/>
                <w:sz w:val="19"/>
                <w:szCs w:val="19"/>
              </w:rPr>
              <w:t xml:space="preserve">, no cuándo (o si) ocurrirá; descartar a esos 318 (mirar solo a quienes ya reincidieron) sesga la reincidencia hacia arriba, y tratarlos como «nunca reincidirán» la sesga hacia abajo. Explicar por qué la regresión clásica no sirve: (a) </w:t>
            </w:r>
            <w:r>
              <w:rPr>
                <w:rFonts w:ascii="Cambria" w:cs="Cambria" w:eastAsia="Cambria" w:hAnsi="Cambria"/>
                <w:b/>
                <w:bCs/>
                <w:color w:val="2D2D2D"/>
                <w:sz w:val="19"/>
                <w:szCs w:val="19"/>
              </w:rPr>
              <w:t xml:space="preserve">no puede representar</w:t>
            </w:r>
            <w:r>
              <w:rPr>
                <w:rFonts w:ascii="Cambria" w:cs="Cambria" w:eastAsia="Cambria" w:hAnsi="Cambria"/>
                <w:color w:val="2D2D2D"/>
                <w:sz w:val="19"/>
                <w:szCs w:val="19"/>
              </w:rPr>
              <w:t xml:space="preserve"> «&gt; 52 semanas» (descarta o distorsiona los censurados), (b) el tiempo es no negativo y asimétrico, y (c) ignora que el riesgo cambia con el tiempo; la supervivencia modela </w:t>
            </w:r>
            <w:r>
              <w:rPr>
                <w:rFonts w:ascii="Cambria" w:cs="Cambria" w:eastAsia="Cambria" w:hAnsi="Cambria"/>
                <w:b/>
                <w:bCs/>
                <w:color w:val="2D2D2D"/>
                <w:sz w:val="19"/>
                <w:szCs w:val="19"/>
              </w:rPr>
              <w:t xml:space="preserve">tiempo y censura conjuntamente</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configuración </w:t>
            </w:r>
            <w:r>
              <w:rPr>
                <w:rFonts w:ascii="Consolas" w:cs="Consolas" w:eastAsia="Consolas" w:hAnsi="Consolas"/>
                <w:color w:val="7A1526"/>
                <w:sz w:val="17"/>
                <w:szCs w:val="17"/>
              </w:rPr>
              <w:t xml:space="preserve">duration_col="week", event_col="arrest"</w:t>
            </w:r>
            <w:r>
              <w:rPr>
                <w:rFonts w:ascii="Cambria" w:cs="Cambria" w:eastAsia="Cambria" w:hAnsi="Cambria"/>
                <w:color w:val="2D2D2D"/>
                <w:sz w:val="19"/>
                <w:szCs w:val="19"/>
              </w:rPr>
              <w:t xml:space="preserve"> fijada, y una frase que explique la censura por la derecha y por qué la regresión clásica no maneja «&gt; 52 semanas».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Errores a evitar (Paso 2)</w:t>
            </w:r>
          </w:p>
          <w:p>
            <w:pPr>
              <w:spacing w:after="70" w:line="265"/>
            </w:pPr>
            <w:r>
              <w:rPr>
                <w:rFonts w:ascii="Cambria" w:cs="Cambria" w:eastAsia="Cambria" w:hAnsi="Cambria"/>
                <w:color w:val="3A3A3A"/>
                <w:sz w:val="18"/>
                <w:szCs w:val="18"/>
              </w:rPr>
              <w:t xml:space="preserve">Confundir «censurado» con «evento»: un censurado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 alguien que sufrió el evento. Intercambiar duración y evento. Filtrar los censurados «para simplificar» — destruye el análisis.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P3   </w:t>
            </w:r>
            <w:r>
              <w:rPr>
                <w:rFonts w:ascii="Calibri" w:cs="Calibri" w:eastAsia="Calibri" w:hAnsi="Calibri"/>
                <w:b/>
                <w:bCs/>
                <w:color w:val="7A1526"/>
                <w:sz w:val="19"/>
                <w:szCs w:val="19"/>
              </w:rPr>
              <w:t xml:space="preserve">Kaplan-Meier + log-rank y regresión de Cox + Schoenfeld</w:t>
            </w:r>
          </w:p>
          <w:p>
            <w:pPr>
              <w:spacing w:line="265"/>
            </w:pPr>
            <w:r>
              <w:rPr>
                <w:rFonts w:ascii="Cambria" w:cs="Cambria" w:eastAsia="Cambria" w:hAnsi="Cambria"/>
                <w:color w:val="2D2D2D"/>
                <w:sz w:val="19"/>
                <w:szCs w:val="19"/>
              </w:rPr>
              <w:t xml:space="preserve">Estimar Kaplan-Meier por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 log-rank (T5, drill 2): ajustar </w:t>
            </w:r>
            <w:r>
              <w:rPr>
                <w:rFonts w:ascii="Consolas" w:cs="Consolas" w:eastAsia="Consolas" w:hAnsi="Consolas"/>
                <w:color w:val="7A1526"/>
                <w:sz w:val="17"/>
                <w:szCs w:val="17"/>
              </w:rPr>
              <w:t xml:space="preserve">KaplanMeierFitter</w:t>
            </w:r>
            <w:r>
              <w:rPr>
                <w:rFonts w:ascii="Cambria" w:cs="Cambria" w:eastAsia="Cambria" w:hAnsi="Cambria"/>
                <w:color w:val="2D2D2D"/>
                <w:sz w:val="19"/>
                <w:szCs w:val="19"/>
              </w:rPr>
              <w:t xml:space="preserve"> a cada grupo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=0 sin ayuda,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=1 con ayuda) y leer S(52): </w:t>
            </w:r>
            <w:r>
              <w:rPr>
                <w:rFonts w:ascii="Cambria" w:cs="Cambria" w:eastAsia="Cambria" w:hAnsi="Cambria"/>
                <w:b/>
                <w:bCs/>
                <w:color w:val="2D2D2D"/>
                <w:sz w:val="19"/>
                <w:szCs w:val="19"/>
              </w:rPr>
              <w:t xml:space="preserve">sin ayuda 0,6944</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con ayuda 0,7778</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el grupo </w:t>
            </w:r>
            <w:r>
              <w:rPr>
                <w:rFonts w:ascii="Cambria" w:cs="Cambria" w:eastAsia="Cambria" w:hAnsi="Cambria"/>
                <w:b/>
                <w:bCs/>
                <w:color w:val="2D2D2D"/>
                <w:sz w:val="19"/>
                <w:szCs w:val="19"/>
              </w:rPr>
              <w:t xml:space="preserve">con ayuda financiera sobrevive mejor</w:t>
            </w:r>
            <w:r>
              <w:rPr>
                <w:rFonts w:ascii="Cambria" w:cs="Cambria" w:eastAsia="Cambria" w:hAnsi="Cambria"/>
                <w:color w:val="2D2D2D"/>
                <w:sz w:val="19"/>
                <w:szCs w:val="19"/>
              </w:rPr>
              <w:t xml:space="preserve"> (menos reincidencia); correr </w:t>
            </w:r>
            <w:r>
              <w:rPr>
                <w:rFonts w:ascii="Consolas" w:cs="Consolas" w:eastAsia="Consolas" w:hAnsi="Consolas"/>
                <w:color w:val="7A1526"/>
                <w:sz w:val="17"/>
                <w:szCs w:val="17"/>
              </w:rPr>
              <w:t xml:space="preserve">logrank_test</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χ² = 3,838, p = 0,0501</w:t>
            </w:r>
            <w:r>
              <w:rPr>
                <w:rFonts w:ascii="Cambria" w:cs="Cambria" w:eastAsia="Cambria" w:hAnsi="Cambria"/>
                <w:color w:val="2D2D2D"/>
                <w:sz w:val="19"/>
                <w:szCs w:val="19"/>
              </w:rPr>
              <w:t xml:space="preserve"> — al </w:t>
            </w:r>
            <w:r>
              <w:rPr>
                <w:rFonts w:ascii="Cambria" w:cs="Cambria" w:eastAsia="Cambria" w:hAnsi="Cambria"/>
                <w:b/>
                <w:bCs/>
                <w:color w:val="2D2D2D"/>
                <w:sz w:val="19"/>
                <w:szCs w:val="19"/>
              </w:rPr>
              <w:t xml:space="preserve">límite</w:t>
            </w:r>
            <w:r>
              <w:rPr>
                <w:rFonts w:ascii="Cambria" w:cs="Cambria" w:eastAsia="Cambria" w:hAnsi="Cambria"/>
                <w:color w:val="2D2D2D"/>
                <w:sz w:val="19"/>
                <w:szCs w:val="19"/>
              </w:rPr>
              <w:t xml:space="preserve"> de la significancia; la diferencia S(52) con-menos-sin ayuda = </w:t>
            </w:r>
            <w:r>
              <w:rPr>
                <w:rFonts w:ascii="Cambria" w:cs="Cambria" w:eastAsia="Cambria" w:hAnsi="Cambria"/>
                <w:b/>
                <w:bCs/>
                <w:color w:val="2D2D2D"/>
                <w:sz w:val="19"/>
                <w:szCs w:val="19"/>
              </w:rPr>
              <w:t xml:space="preserve">+0,083</w:t>
            </w:r>
            <w:r>
              <w:rPr>
                <w:rFonts w:ascii="Cambria" w:cs="Cambria" w:eastAsia="Cambria" w:hAnsi="Cambria"/>
                <w:color w:val="2D2D2D"/>
                <w:sz w:val="19"/>
                <w:szCs w:val="19"/>
              </w:rPr>
              <w:t xml:space="preserve"> (celda survival!B6). Ajustar la regresión de Cox de 7 covariables (T1-T3, A3-A5): </w:t>
            </w:r>
            <w:r>
              <w:rPr>
                <w:rFonts w:ascii="Consolas" w:cs="Consolas" w:eastAsia="Consolas" w:hAnsi="Consolas"/>
                <w:color w:val="7A1526"/>
                <w:sz w:val="17"/>
                <w:szCs w:val="17"/>
              </w:rPr>
              <w:t xml:space="preserve">CoxPHFitter.fit(rossi, duration_col="week", event_col="arrest")</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sin penalización</w:t>
            </w:r>
            <w:r>
              <w:rPr>
                <w:rFonts w:ascii="Cambria" w:cs="Cambria" w:eastAsia="Cambria" w:hAnsi="Cambria"/>
                <w:color w:val="2D2D2D"/>
                <w:sz w:val="19"/>
                <w:szCs w:val="19"/>
              </w:rPr>
              <w:t xml:space="preserve">; leer exp(coef) = HR: </w:t>
            </w:r>
            <w:r>
              <w:rPr>
                <w:rFonts w:ascii="Consolas" w:cs="Consolas" w:eastAsia="Consolas" w:hAnsi="Consolas"/>
                <w:b/>
                <w:bCs/>
                <w:color w:val="7A1526"/>
                <w:sz w:val="17"/>
                <w:szCs w:val="17"/>
              </w:rPr>
              <w:t xml:space="preserve">fin</w:t>
            </w:r>
            <w:r>
              <w:rPr>
                <w:rFonts w:ascii="Cambria" w:cs="Cambria" w:eastAsia="Cambria" w:hAnsi="Cambria"/>
                <w:b/>
                <w:bCs/>
                <w:color w:val="2D2D2D"/>
                <w:sz w:val="19"/>
                <w:szCs w:val="19"/>
              </w:rPr>
              <w:t xml:space="preserve"> 0,684</w:t>
            </w:r>
            <w:r>
              <w:rPr>
                <w:rFonts w:ascii="Cambria" w:cs="Cambria" w:eastAsia="Cambria" w:hAnsi="Cambria"/>
                <w:color w:val="2D2D2D"/>
                <w:sz w:val="19"/>
                <w:szCs w:val="19"/>
              </w:rPr>
              <w:t xml:space="preserve"> (protector, −32 % de hazard), </w:t>
            </w:r>
            <w:r>
              <w:rPr>
                <w:rFonts w:ascii="Consolas" w:cs="Consolas" w:eastAsia="Consolas" w:hAnsi="Consolas"/>
                <w:b/>
                <w:bCs/>
                <w:color w:val="7A1526"/>
                <w:sz w:val="17"/>
                <w:szCs w:val="17"/>
              </w:rPr>
              <w:t xml:space="preserve">age</w:t>
            </w:r>
            <w:r>
              <w:rPr>
                <w:rFonts w:ascii="Cambria" w:cs="Cambria" w:eastAsia="Cambria" w:hAnsi="Cambria"/>
                <w:b/>
                <w:bCs/>
                <w:color w:val="2D2D2D"/>
                <w:sz w:val="19"/>
                <w:szCs w:val="19"/>
              </w:rPr>
              <w:t xml:space="preserve"> 0,944</w:t>
            </w:r>
            <w:r>
              <w:rPr>
                <w:rFonts w:ascii="Cambria" w:cs="Cambria" w:eastAsia="Cambria" w:hAnsi="Cambria"/>
                <w:color w:val="2D2D2D"/>
                <w:sz w:val="19"/>
                <w:szCs w:val="19"/>
              </w:rPr>
              <w:t xml:space="preserve"> (−6 % por año), </w:t>
            </w:r>
            <w:r>
              <w:rPr>
                <w:rFonts w:ascii="Consolas" w:cs="Consolas" w:eastAsia="Consolas" w:hAnsi="Consolas"/>
                <w:b/>
                <w:bCs/>
                <w:color w:val="7A1526"/>
                <w:sz w:val="17"/>
                <w:szCs w:val="17"/>
              </w:rPr>
              <w:t xml:space="preserve">prio</w:t>
            </w:r>
            <w:r>
              <w:rPr>
                <w:rFonts w:ascii="Cambria" w:cs="Cambria" w:eastAsia="Cambria" w:hAnsi="Cambria"/>
                <w:b/>
                <w:bCs/>
                <w:color w:val="2D2D2D"/>
                <w:sz w:val="19"/>
                <w:szCs w:val="19"/>
              </w:rPr>
              <w:t xml:space="preserve"> 1,096</w:t>
            </w:r>
            <w:r>
              <w:rPr>
                <w:rFonts w:ascii="Cambria" w:cs="Cambria" w:eastAsia="Cambria" w:hAnsi="Cambria"/>
                <w:color w:val="2D2D2D"/>
                <w:sz w:val="19"/>
                <w:szCs w:val="19"/>
              </w:rPr>
              <w:t xml:space="preserve"> (+10 % por antecedente); </w:t>
            </w:r>
            <w:r>
              <w:rPr>
                <w:rFonts w:ascii="Consolas" w:cs="Consolas" w:eastAsia="Consolas" w:hAnsi="Consolas"/>
                <w:color w:val="7A1526"/>
                <w:sz w:val="17"/>
                <w:szCs w:val="17"/>
              </w:rPr>
              <w:t xml:space="preserve">race</w:t>
            </w:r>
            <w:r>
              <w:rPr>
                <w:rFonts w:ascii="Cambria" w:cs="Cambria" w:eastAsia="Cambria" w:hAnsi="Cambria"/>
                <w:color w:val="2D2D2D"/>
                <w:sz w:val="19"/>
                <w:szCs w:val="19"/>
              </w:rPr>
              <w:t xml:space="preserve"> 1,37, </w:t>
            </w:r>
            <w:r>
              <w:rPr>
                <w:rFonts w:ascii="Consolas" w:cs="Consolas" w:eastAsia="Consolas" w:hAnsi="Consolas"/>
                <w:color w:val="7A1526"/>
                <w:sz w:val="17"/>
                <w:szCs w:val="17"/>
              </w:rPr>
              <w:t xml:space="preserve">wexp</w:t>
            </w:r>
            <w:r>
              <w:rPr>
                <w:rFonts w:ascii="Cambria" w:cs="Cambria" w:eastAsia="Cambria" w:hAnsi="Cambria"/>
                <w:color w:val="2D2D2D"/>
                <w:sz w:val="19"/>
                <w:szCs w:val="19"/>
              </w:rPr>
              <w:t xml:space="preserve"> 0,86, </w:t>
            </w:r>
            <w:r>
              <w:rPr>
                <w:rFonts w:ascii="Consolas" w:cs="Consolas" w:eastAsia="Consolas" w:hAnsi="Consolas"/>
                <w:color w:val="7A1526"/>
                <w:sz w:val="17"/>
                <w:szCs w:val="17"/>
              </w:rPr>
              <w:t xml:space="preserve">mar</w:t>
            </w:r>
            <w:r>
              <w:rPr>
                <w:rFonts w:ascii="Cambria" w:cs="Cambria" w:eastAsia="Cambria" w:hAnsi="Cambria"/>
                <w:color w:val="2D2D2D"/>
                <w:sz w:val="19"/>
                <w:szCs w:val="19"/>
              </w:rPr>
              <w:t xml:space="preserve"> 0,65, </w:t>
            </w:r>
            <w:r>
              <w:rPr>
                <w:rFonts w:ascii="Consolas" w:cs="Consolas" w:eastAsia="Consolas" w:hAnsi="Consolas"/>
                <w:color w:val="7A1526"/>
                <w:sz w:val="17"/>
                <w:szCs w:val="17"/>
              </w:rPr>
              <w:t xml:space="preserve">paro</w:t>
            </w:r>
            <w:r>
              <w:rPr>
                <w:rFonts w:ascii="Cambria" w:cs="Cambria" w:eastAsia="Cambria" w:hAnsi="Cambria"/>
                <w:color w:val="2D2D2D"/>
                <w:sz w:val="19"/>
                <w:szCs w:val="19"/>
              </w:rPr>
              <w:t xml:space="preserve"> 0,92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son significativas; reportar </w:t>
            </w:r>
            <w:r>
              <w:rPr>
                <w:rFonts w:ascii="Cambria" w:cs="Cambria" w:eastAsia="Cambria" w:hAnsi="Cambria"/>
                <w:b/>
                <w:bCs/>
                <w:color w:val="2D2D2D"/>
                <w:sz w:val="19"/>
                <w:szCs w:val="19"/>
              </w:rPr>
              <w:t xml:space="preserve">concordancia = 0,640</w:t>
            </w:r>
            <w:r>
              <w:rPr>
                <w:rFonts w:ascii="Cambria" w:cs="Cambria" w:eastAsia="Cambria" w:hAnsi="Cambria"/>
                <w:color w:val="2D2D2D"/>
                <w:sz w:val="19"/>
                <w:szCs w:val="19"/>
              </w:rPr>
              <w:t xml:space="preserve"> (A3), </w:t>
            </w:r>
            <w:r>
              <w:rPr>
                <w:rFonts w:ascii="Cambria" w:cs="Cambria" w:eastAsia="Cambria" w:hAnsi="Cambria"/>
                <w:b/>
                <w:bCs/>
                <w:color w:val="2D2D2D"/>
                <w:sz w:val="19"/>
                <w:szCs w:val="19"/>
              </w:rPr>
              <w:t xml:space="preserve">LR test = 33,27</w:t>
            </w:r>
            <w:r>
              <w:rPr>
                <w:rFonts w:ascii="Cambria" w:cs="Cambria" w:eastAsia="Cambria" w:hAnsi="Cambria"/>
                <w:color w:val="2D2D2D"/>
                <w:sz w:val="19"/>
                <w:szCs w:val="19"/>
              </w:rPr>
              <w:t xml:space="preserve"> (7 gl, A4) y </w:t>
            </w:r>
            <w:r>
              <w:rPr>
                <w:rFonts w:ascii="Cambria" w:cs="Cambria" w:eastAsia="Cambria" w:hAnsi="Cambria"/>
                <w:b/>
                <w:bCs/>
                <w:color w:val="2D2D2D"/>
                <w:sz w:val="19"/>
                <w:szCs w:val="19"/>
              </w:rPr>
              <w:t xml:space="preserve">log-verosimilitud parcial = −658,75</w:t>
            </w:r>
            <w:r>
              <w:rPr>
                <w:rFonts w:ascii="Cambria" w:cs="Cambria" w:eastAsia="Cambria" w:hAnsi="Cambria"/>
                <w:color w:val="2D2D2D"/>
                <w:sz w:val="19"/>
                <w:szCs w:val="19"/>
              </w:rPr>
              <w:t xml:space="preserve"> (A5). Diagnosticar con Schoenfeld (T4, drill 3): </w:t>
            </w:r>
            <w:r>
              <w:rPr>
                <w:rFonts w:ascii="Consolas" w:cs="Consolas" w:eastAsia="Consolas" w:hAnsi="Consolas"/>
                <w:color w:val="7A1526"/>
                <w:sz w:val="17"/>
                <w:szCs w:val="17"/>
              </w:rPr>
              <w:t xml:space="preserve">proportional_hazard_test(cph, rossi, time_transform="rank")</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age</w:t>
            </w:r>
            <w:r>
              <w:rPr>
                <w:rFonts w:ascii="Cambria" w:cs="Cambria" w:eastAsia="Cambria" w:hAnsi="Cambria"/>
                <w:b/>
                <w:bCs/>
                <w:color w:val="2D2D2D"/>
                <w:sz w:val="19"/>
                <w:szCs w:val="19"/>
              </w:rPr>
              <w:t xml:space="preserve"> </w:t>
            </w:r>
            <w:r>
              <w:rPr>
                <w:rFonts w:ascii="Consolas" w:cs="Consolas" w:eastAsia="Consolas" w:hAnsi="Consolas"/>
                <w:b/>
                <w:bCs/>
                <w:color w:val="7A1526"/>
                <w:sz w:val="17"/>
                <w:szCs w:val="17"/>
              </w:rPr>
              <w:t xml:space="preserve">test_stat</w:t>
            </w:r>
            <w:r>
              <w:rPr>
                <w:rFonts w:ascii="Cambria" w:cs="Cambria" w:eastAsia="Cambria" w:hAnsi="Cambria"/>
                <w:b/>
                <w:bCs/>
                <w:color w:val="2D2D2D"/>
                <w:sz w:val="19"/>
                <w:szCs w:val="19"/>
              </w:rPr>
              <w:t xml:space="preserve"> = 11,45, p = 0,0007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viola PH</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wexp</w:t>
            </w:r>
            <w:r>
              <w:rPr>
                <w:rFonts w:ascii="Cambria" w:cs="Cambria" w:eastAsia="Cambria" w:hAnsi="Cambria"/>
                <w:color w:val="2D2D2D"/>
                <w:sz w:val="19"/>
                <w:szCs w:val="19"/>
              </w:rPr>
              <w:t xml:space="preserve"> 7,31/0,0068 (marginal);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0,015/0,902, </w:t>
            </w:r>
            <w:r>
              <w:rPr>
                <w:rFonts w:ascii="Consolas" w:cs="Consolas" w:eastAsia="Consolas" w:hAnsi="Consolas"/>
                <w:color w:val="7A1526"/>
                <w:sz w:val="17"/>
                <w:szCs w:val="17"/>
              </w:rPr>
              <w:t xml:space="preserve">mar</w:t>
            </w:r>
            <w:r>
              <w:rPr>
                <w:rFonts w:ascii="Cambria" w:cs="Cambria" w:eastAsia="Cambria" w:hAnsi="Cambria"/>
                <w:color w:val="2D2D2D"/>
                <w:sz w:val="19"/>
                <w:szCs w:val="19"/>
              </w:rPr>
              <w:t xml:space="preserve"> 0,71/0,400, </w:t>
            </w:r>
            <w:r>
              <w:rPr>
                <w:rFonts w:ascii="Consolas" w:cs="Consolas" w:eastAsia="Consolas" w:hAnsi="Consolas"/>
                <w:color w:val="7A1526"/>
                <w:sz w:val="17"/>
                <w:szCs w:val="17"/>
              </w:rPr>
              <w:t xml:space="preserve">paro</w:t>
            </w:r>
            <w:r>
              <w:rPr>
                <w:rFonts w:ascii="Cambria" w:cs="Cambria" w:eastAsia="Cambria" w:hAnsi="Cambria"/>
                <w:color w:val="2D2D2D"/>
                <w:sz w:val="19"/>
                <w:szCs w:val="19"/>
              </w:rPr>
              <w:t xml:space="preserve"> 0,13/0,714,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0,019/0,891, </w:t>
            </w:r>
            <w:r>
              <w:rPr>
                <w:rFonts w:ascii="Consolas" w:cs="Consolas" w:eastAsia="Consolas" w:hAnsi="Consolas"/>
                <w:color w:val="7A1526"/>
                <w:sz w:val="17"/>
                <w:szCs w:val="17"/>
              </w:rPr>
              <w:t xml:space="preserve">race</w:t>
            </w:r>
            <w:r>
              <w:rPr>
                <w:rFonts w:ascii="Cambria" w:cs="Cambria" w:eastAsia="Cambria" w:hAnsi="Cambria"/>
                <w:color w:val="2D2D2D"/>
                <w:sz w:val="19"/>
                <w:szCs w:val="19"/>
              </w:rPr>
              <w:t xml:space="preserve"> 1,43/0,232 (cumplen); mostrar el </w:t>
            </w:r>
            <w:r>
              <w:rPr>
                <w:rFonts w:ascii="Cambria" w:cs="Cambria" w:eastAsia="Cambria" w:hAnsi="Cambria"/>
                <w:b/>
                <w:bCs/>
                <w:color w:val="2D2D2D"/>
                <w:sz w:val="19"/>
                <w:szCs w:val="19"/>
              </w:rPr>
              <w:t xml:space="preserve">gráfico de residuales de </w:t>
            </w:r>
            <w:r>
              <w:rPr>
                <w:rFonts w:ascii="Consolas" w:cs="Consolas" w:eastAsia="Consolas" w:hAnsi="Consolas"/>
                <w:b/>
                <w:bCs/>
                <w:color w:val="7A1526"/>
                <w:sz w:val="17"/>
                <w:szCs w:val="17"/>
              </w:rPr>
              <w:t xml:space="preserve">age</w:t>
            </w:r>
            <w:r>
              <w:rPr>
                <w:rFonts w:ascii="Cambria" w:cs="Cambria" w:eastAsia="Cambria" w:hAnsi="Cambria"/>
                <w:color w:val="2D2D2D"/>
                <w:sz w:val="19"/>
                <w:szCs w:val="19"/>
              </w:rPr>
              <w:t xml:space="preserve"> y comentar que su efecto se vuelve más negativo con el tiempo (protege más a largo plazo); </w:t>
            </w:r>
            <w:r>
              <w:rPr>
                <w:rFonts w:ascii="Cambria" w:cs="Cambria" w:eastAsia="Cambria" w:hAnsi="Cambria"/>
                <w:b/>
                <w:bCs/>
                <w:color w:val="2D2D2D"/>
                <w:sz w:val="19"/>
                <w:szCs w:val="19"/>
              </w:rPr>
              <w:t xml:space="preserve">corregir</w:t>
            </w:r>
            <w:r>
              <w:rPr>
                <w:rFonts w:ascii="Cambria" w:cs="Cambria" w:eastAsia="Cambria" w:hAnsi="Cambria"/>
                <w:color w:val="2D2D2D"/>
                <w:sz w:val="19"/>
                <w:szCs w:val="19"/>
              </w:rPr>
              <w:t xml:space="preserve"> estratificando por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binada o interactuando con el tiempo —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borrar la variable.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las dos curvas KM por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con su log-rank (S(52) 0,694 vs. 0,778, p 0,0501), la tabla de HR de Cox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0,684,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0,944,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1,096 — </w:t>
            </w:r>
            <w:r>
              <w:rPr>
                <w:rFonts w:ascii="Cambria" w:cs="Cambria" w:eastAsia="Cambria" w:hAnsi="Cambria"/>
                <w:b/>
                <w:bCs/>
                <w:color w:val="2D2D2D"/>
                <w:sz w:val="19"/>
                <w:szCs w:val="19"/>
              </w:rPr>
              <w:t xml:space="preserve">T1-T3</w:t>
            </w:r>
            <w:r>
              <w:rPr>
                <w:rFonts w:ascii="Cambria" w:cs="Cambria" w:eastAsia="Cambria" w:hAnsi="Cambria"/>
                <w:color w:val="2D2D2D"/>
                <w:sz w:val="19"/>
                <w:szCs w:val="19"/>
              </w:rPr>
              <w:t xml:space="preserve">) con concordancia 0,640, LR 33,27 y log-verosimilitud −658,75 (A3-A5), y el diagnóstico de Schoenfeld que muestra que </w:t>
            </w:r>
            <w:r>
              <w:rPr>
                <w:rFonts w:ascii="Consolas" w:cs="Consolas" w:eastAsia="Consolas" w:hAnsi="Consolas"/>
                <w:b/>
                <w:bCs/>
                <w:color w:val="7A1526"/>
                <w:sz w:val="17"/>
                <w:szCs w:val="17"/>
              </w:rPr>
              <w:t xml:space="preserve">age</w:t>
            </w:r>
            <w:r>
              <w:rPr>
                <w:rFonts w:ascii="Cambria" w:cs="Cambria" w:eastAsia="Cambria" w:hAnsi="Cambria"/>
                <w:b/>
                <w:bCs/>
                <w:color w:val="2D2D2D"/>
                <w:sz w:val="19"/>
                <w:szCs w:val="19"/>
              </w:rPr>
              <w:t xml:space="preserve"> viola PH</w:t>
            </w:r>
            <w:r>
              <w:rPr>
                <w:rFonts w:ascii="Cambria" w:cs="Cambria" w:eastAsia="Cambria" w:hAnsi="Cambria"/>
                <w:color w:val="2D2D2D"/>
                <w:sz w:val="19"/>
                <w:szCs w:val="19"/>
              </w:rPr>
              <w:t xml:space="preserve"> (p 0,0007, </w:t>
            </w:r>
            <w:r>
              <w:rPr>
                <w:rFonts w:ascii="Cambria" w:cs="Cambria" w:eastAsia="Cambria" w:hAnsi="Cambria"/>
                <w:b/>
                <w:bCs/>
                <w:color w:val="2D2D2D"/>
                <w:sz w:val="19"/>
                <w:szCs w:val="19"/>
              </w:rPr>
              <w:t xml:space="preserve">T4</w:t>
            </w:r>
            <w:r>
              <w:rPr>
                <w:rFonts w:ascii="Cambria" w:cs="Cambria" w:eastAsia="Cambria" w:hAnsi="Cambria"/>
                <w:color w:val="2D2D2D"/>
                <w:sz w:val="19"/>
                <w:szCs w:val="19"/>
              </w:rPr>
              <w:t xml:space="preserve">) — drills 2 y 3.</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La lectura invertida de Schoenfeld y la convención Excel del curso</w:t>
            </w:r>
          </w:p>
          <w:p>
            <w:pPr>
              <w:spacing w:after="70" w:line="265"/>
            </w:pPr>
            <w:r>
              <w:rPr>
                <w:rFonts w:ascii="Cambria" w:cs="Cambria" w:eastAsia="Cambria" w:hAnsi="Cambria"/>
                <w:b/>
                <w:bCs/>
                <w:color w:val="3A3A3A"/>
                <w:sz w:val="18"/>
                <w:szCs w:val="18"/>
              </w:rPr>
              <w:t xml:space="preserve">La lectura clave (no confundir).</w:t>
            </w:r>
            <w:r>
              <w:rPr>
                <w:rFonts w:ascii="Cambria" w:cs="Cambria" w:eastAsia="Cambria" w:hAnsi="Cambria"/>
                <w:color w:val="3A3A3A"/>
                <w:sz w:val="18"/>
                <w:szCs w:val="18"/>
              </w:rPr>
              <w:t xml:space="preserve"> En Schoenfeld un p </w:t>
            </w:r>
            <w:r>
              <w:rPr>
                <w:rFonts w:ascii="Cambria" w:cs="Cambria" w:eastAsia="Cambria" w:hAnsi="Cambria"/>
                <w:b/>
                <w:bCs/>
                <w:color w:val="3A3A3A"/>
                <w:sz w:val="18"/>
                <w:szCs w:val="18"/>
              </w:rPr>
              <w:t xml:space="preserve">bajo</w:t>
            </w:r>
            <w:r>
              <w:rPr>
                <w:rFonts w:ascii="Cambria" w:cs="Cambria" w:eastAsia="Cambria" w:hAnsi="Cambria"/>
                <w:color w:val="3A3A3A"/>
                <w:sz w:val="18"/>
                <w:szCs w:val="18"/>
              </w:rPr>
              <w:t xml:space="preserve"> es </w:t>
            </w:r>
            <w:r>
              <w:rPr>
                <w:rFonts w:ascii="Cambria" w:cs="Cambria" w:eastAsia="Cambria" w:hAnsi="Cambria"/>
                <w:b/>
                <w:bCs/>
                <w:color w:val="3A3A3A"/>
                <w:sz w:val="18"/>
                <w:szCs w:val="18"/>
              </w:rPr>
              <w:t xml:space="preserve">malo</w:t>
            </w:r>
            <w:r>
              <w:rPr>
                <w:rFonts w:ascii="Cambria" w:cs="Cambria" w:eastAsia="Cambria" w:hAnsi="Cambria"/>
                <w:color w:val="3A3A3A"/>
                <w:sz w:val="18"/>
                <w:szCs w:val="18"/>
              </w:rPr>
              <w:t xml:space="preserve"> (viola PH); en la tabla de Cox un p </w:t>
            </w:r>
            <w:r>
              <w:rPr>
                <w:rFonts w:ascii="Cambria" w:cs="Cambria" w:eastAsia="Cambria" w:hAnsi="Cambria"/>
                <w:b/>
                <w:bCs/>
                <w:color w:val="3A3A3A"/>
                <w:sz w:val="18"/>
                <w:szCs w:val="18"/>
              </w:rPr>
              <w:t xml:space="preserve">bajo</w:t>
            </w:r>
            <w:r>
              <w:rPr>
                <w:rFonts w:ascii="Cambria" w:cs="Cambria" w:eastAsia="Cambria" w:hAnsi="Cambria"/>
                <w:color w:val="3A3A3A"/>
                <w:sz w:val="18"/>
                <w:szCs w:val="18"/>
              </w:rPr>
              <w:t xml:space="preserve"> es </w:t>
            </w:r>
            <w:r>
              <w:rPr>
                <w:rFonts w:ascii="Cambria" w:cs="Cambria" w:eastAsia="Cambria" w:hAnsi="Cambria"/>
                <w:b/>
                <w:bCs/>
                <w:color w:val="3A3A3A"/>
                <w:sz w:val="18"/>
                <w:szCs w:val="18"/>
              </w:rPr>
              <w:t xml:space="preserve">bueno</w:t>
            </w:r>
            <w:r>
              <w:rPr>
                <w:rFonts w:ascii="Cambria" w:cs="Cambria" w:eastAsia="Cambria" w:hAnsi="Cambria"/>
                <w:color w:val="3A3A3A"/>
                <w:sz w:val="18"/>
                <w:szCs w:val="18"/>
              </w:rPr>
              <w:t xml:space="preserve"> (variable significativa). </w:t>
            </w:r>
            <w:r>
              <w:rPr>
                <w:rFonts w:ascii="Consolas" w:cs="Consolas" w:eastAsia="Consolas" w:hAnsi="Consolas"/>
                <w:color w:val="7A1526"/>
                <w:sz w:val="16"/>
                <w:szCs w:val="16"/>
              </w:rPr>
              <w:t xml:space="preserve">age</w:t>
            </w:r>
            <w:r>
              <w:rPr>
                <w:rFonts w:ascii="Cambria" w:cs="Cambria" w:eastAsia="Cambria" w:hAnsi="Cambria"/>
                <w:color w:val="3A3A3A"/>
                <w:sz w:val="18"/>
                <w:szCs w:val="18"/>
              </w:rPr>
              <w:t xml:space="preserve"> tiene ambos: p ≈ 0,01 en Cox (significativa) y p ≈ 0,0007 en Schoenfeld (viola PH). Son pruebas de lectura invertida.</w:t>
            </w:r>
          </w:p>
          <w:p>
            <w:pPr>
              <w:spacing w:after="70" w:line="265"/>
            </w:pPr>
            <w:r>
              <w:rPr>
                <w:rFonts w:ascii="Cambria" w:cs="Cambria" w:eastAsia="Cambria" w:hAnsi="Cambria"/>
                <w:b/>
                <w:bCs/>
                <w:color w:val="3A3A3A"/>
                <w:sz w:val="18"/>
                <w:szCs w:val="18"/>
              </w:rPr>
              <w:t xml:space="preserve">Convención Excel del curso.</w:t>
            </w:r>
            <w:r>
              <w:rPr>
                <w:rFonts w:ascii="Cambria" w:cs="Cambria" w:eastAsia="Cambria" w:hAnsi="Cambria"/>
                <w:color w:val="3A3A3A"/>
                <w:sz w:val="18"/>
                <w:szCs w:val="18"/>
              </w:rPr>
              <w:t xml:space="preserve"> Los HR de fin/age/prio (survival!B2-B4), la p de Schoenfeld de </w:t>
            </w:r>
            <w:r>
              <w:rPr>
                <w:rFonts w:ascii="Consolas" w:cs="Consolas" w:eastAsia="Consolas" w:hAnsi="Consolas"/>
                <w:color w:val="7A1526"/>
                <w:sz w:val="16"/>
                <w:szCs w:val="16"/>
              </w:rPr>
              <w:t xml:space="preserve">age</w:t>
            </w:r>
            <w:r>
              <w:rPr>
                <w:rFonts w:ascii="Cambria" w:cs="Cambria" w:eastAsia="Cambria" w:hAnsi="Cambria"/>
                <w:color w:val="3A3A3A"/>
                <w:sz w:val="18"/>
                <w:szCs w:val="18"/>
              </w:rPr>
              <w:t xml:space="preserve"> (B5), la diferencia de S(52) (B6), la log-rank p (B7), y las tablas KM/Cox se vuelcan al Excel; las gráficas (curvas KM, forest de HR, residuales de Schoenfeld) se generan </w:t>
            </w:r>
            <w:r>
              <w:rPr>
                <w:rFonts w:ascii="Cambria" w:cs="Cambria" w:eastAsia="Cambria" w:hAnsi="Cambria"/>
                <w:b/>
                <w:bCs/>
                <w:color w:val="3A3A3A"/>
                <w:sz w:val="18"/>
                <w:szCs w:val="18"/>
              </w:rPr>
              <w:t xml:space="preserve">al leer ese Excel</w:t>
            </w:r>
            <w:r>
              <w:rPr>
                <w:rFonts w:ascii="Cambria" w:cs="Cambria" w:eastAsia="Cambria" w:hAnsi="Cambria"/>
                <w:color w:val="3A3A3A"/>
                <w:sz w:val="18"/>
                <w:szCs w:val="18"/>
              </w:rPr>
              <w:t xml:space="preserve">. La visualización de datos crudos (histograma de </w:t>
            </w:r>
            <w:r>
              <w:rPr>
                <w:rFonts w:ascii="Consolas" w:cs="Consolas" w:eastAsia="Consolas" w:hAnsi="Consolas"/>
                <w:color w:val="7A1526"/>
                <w:sz w:val="16"/>
                <w:szCs w:val="16"/>
              </w:rPr>
              <w:t xml:space="preserve">week</w:t>
            </w:r>
            <w:r>
              <w:rPr>
                <w:rFonts w:ascii="Cambria" w:cs="Cambria" w:eastAsia="Cambria" w:hAnsi="Cambria"/>
                <w:color w:val="3A3A3A"/>
                <w:sz w:val="18"/>
                <w:szCs w:val="18"/>
              </w:rPr>
              <w:t xml:space="preserve">, conteo de eventos) sí se traza directo, por ser EDA exploratorio.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P4   </w:t>
            </w:r>
            <w:r>
              <w:rPr>
                <w:rFonts w:ascii="Calibri" w:cs="Calibri" w:eastAsia="Calibri" w:hAnsi="Calibri"/>
                <w:b/>
                <w:bCs/>
                <w:color w:val="7A1526"/>
                <w:sz w:val="19"/>
                <w:szCs w:val="19"/>
              </w:rPr>
              <w:t xml:space="preserve">Comparar contra los targets (T1-T6) y reforzar con Veterans</w:t>
            </w:r>
          </w:p>
          <w:p>
            <w:pPr>
              <w:spacing w:line="265"/>
            </w:pPr>
            <w:r>
              <w:rPr>
                <w:rFonts w:ascii="Cambria" w:cs="Cambria" w:eastAsia="Cambria" w:hAnsi="Cambria"/>
                <w:color w:val="2D2D2D"/>
                <w:sz w:val="19"/>
                <w:szCs w:val="19"/>
              </w:rPr>
              <w:t xml:space="preserve">Confrontar T1-T5 y A1-A5: comprobar por lectura que cada operativo cae en su banda —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0,684 (±0,03, HR&lt;1),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0,944 (±0,02, HR&lt;1),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1,096 (±0,03, HR&gt;1), Schoenfeld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p 0,0007 (&lt;0,01), KM S(52) con-ayuda &gt; sin-ayuda, n=432, eventos=114, concordancia 0,640; el </w:t>
            </w:r>
            <w:r>
              <w:rPr>
                <w:rFonts w:ascii="Cambria" w:cs="Cambria" w:eastAsia="Cambria" w:hAnsi="Cambria"/>
                <w:b/>
                <w:bCs/>
                <w:color w:val="2D2D2D"/>
                <w:sz w:val="19"/>
                <w:szCs w:val="19"/>
              </w:rPr>
              <w:t xml:space="preserve">signo/HR≷1 es no negociable</w:t>
            </w:r>
            <w:r>
              <w:rPr>
                <w:rFonts w:ascii="Cambria" w:cs="Cambria" w:eastAsia="Cambria" w:hAnsi="Cambria"/>
                <w:color w:val="2D2D2D"/>
                <w:sz w:val="19"/>
                <w:szCs w:val="19"/>
              </w:rPr>
              <w:t xml:space="preserve"> (es el mensaje del modelo); fuera de banda = error de protocolo (columnas mal asignadas, evento/duración invertidos, penalización activada). Reforzar con una segunda Cox sobre Veterans (T6): cargar veteran.csv (Rdatasets, 137 pacientes), recodificar </w:t>
            </w:r>
            <w:r>
              <w:rPr>
                <w:rFonts w:ascii="Consolas" w:cs="Consolas" w:eastAsia="Consolas" w:hAnsi="Consolas"/>
                <w:color w:val="7A1526"/>
                <w:sz w:val="17"/>
                <w:szCs w:val="17"/>
              </w:rPr>
              <w:t xml:space="preserve">trt</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0/1, generar dummies de </w:t>
            </w:r>
            <w:r>
              <w:rPr>
                <w:rFonts w:ascii="Consolas" w:cs="Consolas" w:eastAsia="Consolas" w:hAnsi="Consolas"/>
                <w:color w:val="7A1526"/>
                <w:sz w:val="17"/>
                <w:szCs w:val="17"/>
              </w:rPr>
              <w:t xml:space="preserve">celltype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drop_first</w:t>
            </w:r>
            <w:r>
              <w:rPr>
                <w:rFonts w:ascii="Cambria" w:cs="Cambria" w:eastAsia="Cambria" w:hAnsi="Cambria"/>
                <w:color w:val="2D2D2D"/>
                <w:sz w:val="19"/>
                <w:szCs w:val="19"/>
              </w:rPr>
              <w:t xml:space="preserve">), ajustar </w:t>
            </w:r>
            <w:r>
              <w:rPr>
                <w:rFonts w:ascii="Consolas" w:cs="Consolas" w:eastAsia="Consolas" w:hAnsi="Consolas"/>
                <w:color w:val="7A1526"/>
                <w:sz w:val="17"/>
                <w:szCs w:val="17"/>
              </w:rPr>
              <w:t xml:space="preserve">fit(duration_col="time", event_col="status")</w:t>
            </w:r>
            <w:r>
              <w:rPr>
                <w:rFonts w:ascii="Cambria" w:cs="Cambria" w:eastAsia="Cambria" w:hAnsi="Cambria"/>
                <w:color w:val="2D2D2D"/>
                <w:sz w:val="19"/>
                <w:szCs w:val="19"/>
              </w:rPr>
              <w:t xml:space="preserve">; leer </w:t>
            </w:r>
            <w:r>
              <w:rPr>
                <w:rFonts w:ascii="Consolas" w:cs="Consolas" w:eastAsia="Consolas" w:hAnsi="Consolas"/>
                <w:b/>
                <w:bCs/>
                <w:color w:val="7A1526"/>
                <w:sz w:val="17"/>
                <w:szCs w:val="17"/>
              </w:rPr>
              <w:t xml:space="preserve">karno</w:t>
            </w:r>
            <w:r>
              <w:rPr>
                <w:rFonts w:ascii="Cambria" w:cs="Cambria" w:eastAsia="Cambria" w:hAnsi="Cambria"/>
                <w:b/>
                <w:bCs/>
                <w:color w:val="2D2D2D"/>
                <w:sz w:val="19"/>
                <w:szCs w:val="19"/>
              </w:rPr>
              <w:t xml:space="preserve"> HR = 0,968</w:t>
            </w:r>
            <w:r>
              <w:rPr>
                <w:rFonts w:ascii="Cambria" w:cs="Cambria" w:eastAsia="Cambria" w:hAnsi="Cambria"/>
                <w:color w:val="2D2D2D"/>
                <w:sz w:val="19"/>
                <w:szCs w:val="19"/>
              </w:rPr>
              <w:t xml:space="preserve"> (protector, p &lt; 0,001 — mejor estado funcional, menor hazard de muerte), </w:t>
            </w:r>
            <w:r>
              <w:rPr>
                <w:rFonts w:ascii="Consolas" w:cs="Consolas" w:eastAsia="Consolas" w:hAnsi="Consolas"/>
                <w:b/>
                <w:bCs/>
                <w:color w:val="7A1526"/>
                <w:sz w:val="17"/>
                <w:szCs w:val="17"/>
              </w:rPr>
              <w:t xml:space="preserve">trt</w:t>
            </w:r>
            <w:r>
              <w:rPr>
                <w:rFonts w:ascii="Cambria" w:cs="Cambria" w:eastAsia="Cambria" w:hAnsi="Cambria"/>
                <w:b/>
                <w:bCs/>
                <w:color w:val="2D2D2D"/>
                <w:sz w:val="19"/>
                <w:szCs w:val="19"/>
              </w:rPr>
              <w:t xml:space="preserve"> p = 0,156</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significativo), </w:t>
            </w:r>
            <w:r>
              <w:rPr>
                <w:rFonts w:ascii="Consolas" w:cs="Consolas" w:eastAsia="Consolas" w:hAnsi="Consolas"/>
                <w:color w:val="7A1526"/>
                <w:sz w:val="17"/>
                <w:szCs w:val="17"/>
              </w:rPr>
              <w:t xml:space="preserve">celltype_squamous</w:t>
            </w:r>
            <w:r>
              <w:rPr>
                <w:rFonts w:ascii="Cambria" w:cs="Cambria" w:eastAsia="Cambria" w:hAnsi="Cambria"/>
                <w:color w:val="2D2D2D"/>
                <w:sz w:val="19"/>
                <w:szCs w:val="19"/>
              </w:rPr>
              <w:t xml:space="preserve"> 0,302 (p 0,0001), </w:t>
            </w:r>
            <w:r>
              <w:rPr>
                <w:rFonts w:ascii="Consolas" w:cs="Consolas" w:eastAsia="Consolas" w:hAnsi="Consolas"/>
                <w:color w:val="7A1526"/>
                <w:sz w:val="17"/>
                <w:szCs w:val="17"/>
              </w:rPr>
              <w:t xml:space="preserve">celltype_large</w:t>
            </w:r>
            <w:r>
              <w:rPr>
                <w:rFonts w:ascii="Cambria" w:cs="Cambria" w:eastAsia="Cambria" w:hAnsi="Cambria"/>
                <w:color w:val="2D2D2D"/>
                <w:sz w:val="19"/>
                <w:szCs w:val="19"/>
              </w:rPr>
              <w:t xml:space="preserve"> 0,452 (p 0,009), </w:t>
            </w:r>
            <w:r>
              <w:rPr>
                <w:rFonts w:ascii="Consolas" w:cs="Consolas" w:eastAsia="Consolas" w:hAnsi="Consolas"/>
                <w:color w:val="7A1526"/>
                <w:sz w:val="17"/>
                <w:szCs w:val="17"/>
              </w:rPr>
              <w:t xml:space="preserve">celltype_smallcell</w:t>
            </w:r>
            <w:r>
              <w:rPr>
                <w:rFonts w:ascii="Cambria" w:cs="Cambria" w:eastAsia="Cambria" w:hAnsi="Cambria"/>
                <w:color w:val="2D2D2D"/>
                <w:sz w:val="19"/>
                <w:szCs w:val="19"/>
              </w:rPr>
              <w:t xml:space="preserve"> 0,716 (p 0,23); concordancia = 0,736. Escribir la lección: el tratamiento nuevo no mejora la supervivencia una vez ajustado por el estado funcional.</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operativos confrontados con la tabla de targets dentro de tolerancia (T1-T5, A1-A5), y la segunda Cox sobre Veterans (</w:t>
            </w:r>
            <w:r>
              <w:rPr>
                <w:rFonts w:ascii="Consolas" w:cs="Consolas" w:eastAsia="Consolas" w:hAnsi="Consolas"/>
                <w:color w:val="7A1526"/>
                <w:sz w:val="17"/>
                <w:szCs w:val="17"/>
              </w:rPr>
              <w:t xml:space="preserve">karno</w:t>
            </w:r>
            <w:r>
              <w:rPr>
                <w:rFonts w:ascii="Cambria" w:cs="Cambria" w:eastAsia="Cambria" w:hAnsi="Cambria"/>
                <w:color w:val="2D2D2D"/>
                <w:sz w:val="19"/>
                <w:szCs w:val="19"/>
              </w:rPr>
              <w:t xml:space="preserve"> 0,968 protector, </w:t>
            </w:r>
            <w:r>
              <w:rPr>
                <w:rFonts w:ascii="Consolas" w:cs="Consolas" w:eastAsia="Consolas" w:hAnsi="Consolas"/>
                <w:color w:val="7A1526"/>
                <w:sz w:val="17"/>
                <w:szCs w:val="17"/>
              </w:rPr>
              <w:t xml:space="preserve">trt</w:t>
            </w:r>
            <w:r>
              <w:rPr>
                <w:rFonts w:ascii="Cambria" w:cs="Cambria" w:eastAsia="Cambria" w:hAnsi="Cambria"/>
                <w:color w:val="2D2D2D"/>
                <w:sz w:val="19"/>
                <w:szCs w:val="19"/>
              </w:rPr>
              <w:t xml:space="preserve"> p 0,156 no significativo — </w:t>
            </w:r>
            <w:r>
              <w:rPr>
                <w:rFonts w:ascii="Cambria" w:cs="Cambria" w:eastAsia="Cambria" w:hAnsi="Cambria"/>
                <w:b/>
                <w:bCs/>
                <w:color w:val="2D2D2D"/>
                <w:sz w:val="19"/>
                <w:szCs w:val="19"/>
              </w:rPr>
              <w:t xml:space="preserve">T6</w:t>
            </w:r>
            <w:r>
              <w:rPr>
                <w:rFonts w:ascii="Cambria" w:cs="Cambria" w:eastAsia="Cambria" w:hAnsi="Cambria"/>
                <w:color w:val="2D2D2D"/>
                <w:sz w:val="19"/>
                <w:szCs w:val="19"/>
              </w:rPr>
              <w:t xml:space="preserve">, concordancia 0,736) con la lección escrita.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1.6   </w:t>
            </w:r>
            <w:r>
              <w:rPr>
                <w:rFonts w:ascii="Calibri" w:cs="Calibri" w:eastAsia="Calibri" w:hAnsi="Calibri"/>
                <w:b/>
                <w:bCs/>
                <w:color w:val="7A1526"/>
                <w:sz w:val="19"/>
                <w:szCs w:val="19"/>
              </w:rPr>
              <w:t xml:space="preserve">Errores a evitar en Veterans</w:t>
            </w:r>
          </w:p>
          <w:p>
            <w:pPr>
              <w:spacing w:after="70" w:line="265"/>
            </w:pPr>
            <w:r>
              <w:rPr>
                <w:rFonts w:ascii="Consolas" w:cs="Consolas" w:eastAsia="Consolas" w:hAnsi="Consolas"/>
                <w:color w:val="7A1526"/>
                <w:sz w:val="16"/>
                <w:szCs w:val="16"/>
              </w:rPr>
              <w:t xml:space="preserve">trt</w:t>
            </w:r>
            <w:r>
              <w:rPr>
                <w:rFonts w:ascii="Cambria" w:cs="Cambria" w:eastAsia="Cambria" w:hAnsi="Cambria"/>
                <w:color w:val="3A3A3A"/>
                <w:sz w:val="18"/>
                <w:szCs w:val="18"/>
              </w:rPr>
              <w:t xml:space="preserve"> está codificado 1/2 (recodificar), prior es 0/10 (no 0/1), </w:t>
            </w:r>
            <w:r>
              <w:rPr>
                <w:rFonts w:ascii="Consolas" w:cs="Consolas" w:eastAsia="Consolas" w:hAnsi="Consolas"/>
                <w:color w:val="7A1526"/>
                <w:sz w:val="16"/>
                <w:szCs w:val="16"/>
              </w:rPr>
              <w:t xml:space="preserve">celltype</w:t>
            </w:r>
            <w:r>
              <w:rPr>
                <w:rFonts w:ascii="Cambria" w:cs="Cambria" w:eastAsia="Cambria" w:hAnsi="Cambria"/>
                <w:color w:val="3A3A3A"/>
                <w:sz w:val="18"/>
                <w:szCs w:val="18"/>
              </w:rPr>
              <w:t xml:space="preserve"> es categórica (dummies). Un olvido cambia los HR; </w:t>
            </w:r>
            <w:r>
              <w:rPr>
                <w:rFonts w:ascii="Consolas" w:cs="Consolas" w:eastAsia="Consolas" w:hAnsi="Consolas"/>
                <w:color w:val="7A1526"/>
                <w:sz w:val="16"/>
                <w:szCs w:val="16"/>
              </w:rPr>
              <w:t xml:space="preserve">trt</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debe salir significativo.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P5   </w:t>
            </w:r>
            <w:r>
              <w:rPr>
                <w:rFonts w:ascii="Calibri" w:cs="Calibri" w:eastAsia="Calibri" w:hAnsi="Calibri"/>
                <w:b/>
                <w:bCs/>
                <w:color w:val="7A1526"/>
                <w:sz w:val="19"/>
                <w:szCs w:val="19"/>
              </w:rPr>
              <w:t xml:space="preserve">Interpretar en negocio</w:t>
            </w:r>
          </w:p>
          <w:p>
            <w:pPr>
              <w:spacing w:line="265"/>
            </w:pPr>
            <w:r>
              <w:rPr>
                <w:rFonts w:ascii="Cambria" w:cs="Cambria" w:eastAsia="Cambria" w:hAnsi="Cambria"/>
                <w:color w:val="2D2D2D"/>
                <w:sz w:val="19"/>
                <w:szCs w:val="19"/>
              </w:rPr>
              <w:t xml:space="preserve">Traducir los HR a acción: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HR 0,684 = la ayuda financiera </w:t>
            </w:r>
            <w:r>
              <w:rPr>
                <w:rFonts w:ascii="Cambria" w:cs="Cambria" w:eastAsia="Cambria" w:hAnsi="Cambria"/>
                <w:b/>
                <w:bCs/>
                <w:color w:val="2D2D2D"/>
                <w:sz w:val="19"/>
                <w:szCs w:val="19"/>
              </w:rPr>
              <w:t xml:space="preserve">reduce</w:t>
            </w:r>
            <w:r>
              <w:rPr>
                <w:rFonts w:ascii="Cambria" w:cs="Cambria" w:eastAsia="Cambria" w:hAnsi="Cambria"/>
                <w:color w:val="2D2D2D"/>
                <w:sz w:val="19"/>
                <w:szCs w:val="19"/>
              </w:rPr>
              <w:t xml:space="preserve"> el hazard de reincidencia ~32 %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es </w:t>
            </w:r>
            <w:r>
              <w:rPr>
                <w:rFonts w:ascii="Cambria" w:cs="Cambria" w:eastAsia="Cambria" w:hAnsi="Cambria"/>
                <w:b/>
                <w:bCs/>
                <w:color w:val="2D2D2D"/>
                <w:sz w:val="19"/>
                <w:szCs w:val="19"/>
              </w:rPr>
              <w:t xml:space="preserve">accionable</w:t>
            </w:r>
            <w:r>
              <w:rPr>
                <w:rFonts w:ascii="Cambria" w:cs="Cambria" w:eastAsia="Cambria" w:hAnsi="Cambria"/>
                <w:color w:val="2D2D2D"/>
                <w:sz w:val="19"/>
                <w:szCs w:val="19"/>
              </w:rPr>
              <w:t xml:space="preserve"> (política de ayuda) y protector: candidato a intervención;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HR 1,096 = +10 % por antecedente, muy significativo pero </w:t>
            </w:r>
            <w:r>
              <w:rPr>
                <w:rFonts w:ascii="Cambria" w:cs="Cambria" w:eastAsia="Cambria" w:hAnsi="Cambria"/>
                <w:b/>
                <w:bCs/>
                <w:color w:val="2D2D2D"/>
                <w:sz w:val="19"/>
                <w:szCs w:val="19"/>
              </w:rPr>
              <w:t xml:space="preserve">no accionable</w:t>
            </w:r>
            <w:r>
              <w:rPr>
                <w:rFonts w:ascii="Cambria" w:cs="Cambria" w:eastAsia="Cambria" w:hAnsi="Cambria"/>
                <w:color w:val="2D2D2D"/>
                <w:sz w:val="19"/>
                <w:szCs w:val="19"/>
              </w:rPr>
              <w:t xml:space="preserve"> (no se cambia el pasado); el salto de «significativo» a «útil» es la </w:t>
            </w:r>
            <w:r>
              <w:rPr>
                <w:rFonts w:ascii="Cambria" w:cs="Cambria" w:eastAsia="Cambria" w:hAnsi="Cambria"/>
                <w:b/>
                <w:bCs/>
                <w:color w:val="2D2D2D"/>
                <w:sz w:val="19"/>
                <w:szCs w:val="19"/>
              </w:rPr>
              <w:t xml:space="preserve">accionabilidad</w:t>
            </w:r>
            <w:r>
              <w:rPr>
                <w:rFonts w:ascii="Cambria" w:cs="Cambria" w:eastAsia="Cambria" w:hAnsi="Cambria"/>
                <w:color w:val="2D2D2D"/>
                <w:sz w:val="19"/>
                <w:szCs w:val="19"/>
              </w:rPr>
              <w:t xml:space="preserve">. Leer la concordancia con criterio: C-index 0,640 = discriminación </w:t>
            </w:r>
            <w:r>
              <w:rPr>
                <w:rFonts w:ascii="Cambria" w:cs="Cambria" w:eastAsia="Cambria" w:hAnsi="Cambria"/>
                <w:b/>
                <w:bCs/>
                <w:color w:val="2D2D2D"/>
                <w:sz w:val="19"/>
                <w:szCs w:val="19"/>
              </w:rPr>
              <w:t xml:space="preserve">modesta</w:t>
            </w:r>
            <w:r>
              <w:rPr>
                <w:rFonts w:ascii="Cambria" w:cs="Cambria" w:eastAsia="Cambria" w:hAnsi="Cambria"/>
                <w:color w:val="2D2D2D"/>
                <w:sz w:val="19"/>
                <w:szCs w:val="19"/>
              </w:rPr>
              <w:t xml:space="preserve">, consistente con un fenómeno social difícil de predecir; aún útil para </w:t>
            </w:r>
            <w:r>
              <w:rPr>
                <w:rFonts w:ascii="Cambria" w:cs="Cambria" w:eastAsia="Cambria" w:hAnsi="Cambria"/>
                <w:b/>
                <w:bCs/>
                <w:color w:val="2D2D2D"/>
                <w:sz w:val="19"/>
                <w:szCs w:val="19"/>
              </w:rPr>
              <w:t xml:space="preserve">ordenar</w:t>
            </w:r>
            <w:r>
              <w:rPr>
                <w:rFonts w:ascii="Cambria" w:cs="Cambria" w:eastAsia="Cambria" w:hAnsi="Cambria"/>
                <w:color w:val="2D2D2D"/>
                <w:sz w:val="19"/>
                <w:szCs w:val="19"/>
              </w:rPr>
              <w:t xml:space="preserve"> por riesgo — no exigir C alto como en clasificación tabular. Mencionar Weibull para extrapolar: ajustar </w:t>
            </w:r>
            <w:r>
              <w:rPr>
                <w:rFonts w:ascii="Consolas" w:cs="Consolas" w:eastAsia="Consolas" w:hAnsi="Consolas"/>
                <w:color w:val="7A1526"/>
                <w:sz w:val="17"/>
                <w:szCs w:val="17"/>
              </w:rPr>
              <w:t xml:space="preserve">WeibullFitter</w:t>
            </w:r>
            <w:r>
              <w:rPr>
                <w:rFonts w:ascii="Cambria" w:cs="Cambria" w:eastAsia="Cambria" w:hAnsi="Cambria"/>
                <w:color w:val="2D2D2D"/>
                <w:sz w:val="19"/>
                <w:szCs w:val="19"/>
              </w:rPr>
              <w:t xml:space="preserve"> a la serie global: forma </w:t>
            </w:r>
            <w:r>
              <w:rPr>
                <w:rFonts w:ascii="Cambria" w:cs="Cambria" w:eastAsia="Cambria" w:hAnsi="Cambria"/>
                <w:b/>
                <w:bCs/>
                <w:color w:val="2D2D2D"/>
                <w:sz w:val="19"/>
                <w:szCs w:val="19"/>
              </w:rPr>
              <w:t xml:space="preserve">ρ = 1,365 &gt; 1</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hazard </w:t>
            </w:r>
            <w:r>
              <w:rPr>
                <w:rFonts w:ascii="Cambria" w:cs="Cambria" w:eastAsia="Cambria" w:hAnsi="Cambria"/>
                <w:b/>
                <w:bCs/>
                <w:color w:val="2D2D2D"/>
                <w:sz w:val="19"/>
                <w:szCs w:val="19"/>
              </w:rPr>
              <w:t xml:space="preserve">creciente</w:t>
            </w:r>
            <w:r>
              <w:rPr>
                <w:rFonts w:ascii="Cambria" w:cs="Cambria" w:eastAsia="Cambria" w:hAnsi="Cambria"/>
                <w:color w:val="2D2D2D"/>
                <w:sz w:val="19"/>
                <w:szCs w:val="19"/>
              </w:rPr>
              <w:t xml:space="preserve"> (desgaste); a diferencia de Kaplan-Meier (que se queda plano/indefinido al final), un modelo paramétrico permite </w:t>
            </w:r>
            <w:r>
              <w:rPr>
                <w:rFonts w:ascii="Cambria" w:cs="Cambria" w:eastAsia="Cambria" w:hAnsi="Cambria"/>
                <w:b/>
                <w:bCs/>
                <w:color w:val="2D2D2D"/>
                <w:sz w:val="19"/>
                <w:szCs w:val="19"/>
              </w:rPr>
              <w:t xml:space="preserve">extrapolar</w:t>
            </w:r>
            <w:r>
              <w:rPr>
                <w:rFonts w:ascii="Cambria" w:cs="Cambria" w:eastAsia="Cambria" w:hAnsi="Cambria"/>
                <w:color w:val="2D2D2D"/>
                <w:sz w:val="19"/>
                <w:szCs w:val="19"/>
              </w:rPr>
              <w:t xml:space="preserve"> más allá del horizonte observado — útil para proyectar CLV a largo plazo.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dos frases de negocio: por qué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(accionable) se prioriza sobre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(no accionable) pese a que ambos son significativos, y para qué sirve el parámetro de forma ρ de Weibull para extrapolar.</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DEL PAPER AL NEGOCIO: CHURN DE TELCO CON KAPLAN-MEIER, COX Y CLV</w:t>
      </w:r>
    </w:p>
    <w:p>
      <w:pPr>
        <w:keepNext/>
        <w:pBdr>
          <w:bottom w:val="single" w:color="E4002B" w:sz="14" w:space="8"/>
        </w:pBdr>
        <w:spacing w:after="140"/>
      </w:pPr>
      <w:r>
        <w:rPr>
          <w:rFonts w:ascii="Cambria" w:cs="Cambria" w:eastAsia="Cambria" w:hAnsi="Cambria"/>
          <w:i/>
          <w:iCs/>
          <w:color w:val="6E6E6E"/>
          <w:sz w:val="19"/>
          <w:szCs w:val="19"/>
        </w:rPr>
        <w:t xml:space="preserve">Telco Customer Churn, sección de Laboratorio de negocio del cuaderno (paso 6)</w:t>
      </w:r>
      <w:r>
        <w:rPr>
          <w:rFonts w:ascii="Cambria" w:cs="Cambria" w:eastAsia="Cambria" w:hAnsi="Cambria"/>
          <w:b/>
          <w:bCs/>
          <w:color w:val="7A1526"/>
          <w:sz w:val="19"/>
          <w:szCs w:val="19"/>
        </w:rPr>
        <w:t xml:space="preserve">   |   ~30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30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P6   </w:t>
            </w:r>
            <w:r>
              <w:rPr>
                <w:rFonts w:ascii="Calibri" w:cs="Calibri" w:eastAsia="Calibri" w:hAnsi="Calibri"/>
                <w:b/>
                <w:bCs/>
                <w:color w:val="7A1526"/>
                <w:sz w:val="19"/>
                <w:szCs w:val="19"/>
              </w:rPr>
              <w:t xml:space="preserve">Supervivencia aplicada al churn (Telco)</w:t>
            </w:r>
          </w:p>
          <w:p>
            <w:pPr>
              <w:spacing w:line="265"/>
            </w:pPr>
            <w:r>
              <w:rPr>
                <w:rFonts w:ascii="Cambria" w:cs="Cambria" w:eastAsia="Cambria" w:hAnsi="Cambria"/>
                <w:color w:val="2D2D2D"/>
                <w:sz w:val="19"/>
                <w:szCs w:val="19"/>
              </w:rPr>
              <w:t xml:space="preserve">Se lleva la supervivencia a un problema real de retención sobre </w:t>
            </w:r>
            <w:r>
              <w:rPr>
                <w:rFonts w:ascii="Cambria" w:cs="Cambria" w:eastAsia="Cambria" w:hAnsi="Cambria"/>
                <w:b/>
                <w:bCs/>
                <w:color w:val="2D2D2D"/>
                <w:sz w:val="19"/>
                <w:szCs w:val="19"/>
              </w:rPr>
              <w:t xml:space="preserve">Telco Customer </w:t>
            </w:r>
            <w:r>
              <w:rPr>
                <w:rFonts w:ascii="Consolas" w:cs="Consolas" w:eastAsia="Consolas" w:hAnsi="Consolas"/>
                <w:b/>
                <w:bCs/>
                <w:color w:val="7A1526"/>
                <w:sz w:val="17"/>
                <w:szCs w:val="17"/>
              </w:rPr>
              <w:t xml:space="preserve">Churn</w:t>
            </w:r>
            <w:r>
              <w:rPr>
                <w:rFonts w:ascii="Cambria" w:cs="Cambria" w:eastAsia="Cambria" w:hAnsi="Cambria"/>
                <w:color w:val="2D2D2D"/>
                <w:sz w:val="19"/>
                <w:szCs w:val="19"/>
              </w:rPr>
              <w:t xml:space="preserve"> (7043 clientes; tras eliminar 11 filas con </w:t>
            </w:r>
            <w:r>
              <w:rPr>
                <w:rFonts w:ascii="Consolas" w:cs="Consolas" w:eastAsia="Consolas" w:hAnsi="Consolas"/>
                <w:color w:val="7A1526"/>
                <w:sz w:val="17"/>
                <w:szCs w:val="17"/>
              </w:rPr>
              <w:t xml:space="preserve">TotalCharges</w:t>
            </w:r>
            <w:r>
              <w:rPr>
                <w:rFonts w:ascii="Cambria" w:cs="Cambria" w:eastAsia="Cambria" w:hAnsi="Cambria"/>
                <w:color w:val="2D2D2D"/>
                <w:sz w:val="19"/>
                <w:szCs w:val="19"/>
              </w:rPr>
              <w:t xml:space="preserve"> vacío /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=0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7032</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 meses de antigüedad = </w:t>
            </w:r>
            <w:r>
              <w:rPr>
                <w:rFonts w:ascii="Cambria" w:cs="Cambria" w:eastAsia="Cambria" w:hAnsi="Cambria"/>
                <w:b/>
                <w:bCs/>
                <w:color w:val="2D2D2D"/>
                <w:sz w:val="19"/>
                <w:szCs w:val="19"/>
              </w:rPr>
              <w:t xml:space="preserve">tiempo al evento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Churn</w:t>
            </w:r>
            <w:r>
              <w:rPr>
                <w:rFonts w:ascii="Cambria" w:cs="Cambria" w:eastAsia="Cambria" w:hAnsi="Cambria"/>
                <w:color w:val="2D2D2D"/>
                <w:sz w:val="19"/>
                <w:szCs w:val="19"/>
              </w:rPr>
              <w:t xml:space="preserve">=="Yes" = evento (26,58 %, </w:t>
            </w:r>
            <w:r>
              <w:rPr>
                <w:rFonts w:ascii="Cambria" w:cs="Cambria" w:eastAsia="Cambria" w:hAnsi="Cambria"/>
                <w:b/>
                <w:bCs/>
                <w:color w:val="2D2D2D"/>
                <w:sz w:val="19"/>
                <w:szCs w:val="19"/>
              </w:rPr>
              <w:t xml:space="preserve">1869</w:t>
            </w:r>
            <w:r>
              <w:rPr>
                <w:rFonts w:ascii="Cambria" w:cs="Cambria" w:eastAsia="Cambria" w:hAnsi="Cambria"/>
                <w:color w:val="2D2D2D"/>
                <w:sz w:val="19"/>
                <w:szCs w:val="19"/>
              </w:rPr>
              <w:t xml:space="preserve"> eventos). Reconocer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como tiempo censurado (crítico): para los clientes que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han hecho churn (</w:t>
            </w:r>
            <w:r>
              <w:rPr>
                <w:rFonts w:ascii="Consolas" w:cs="Consolas" w:eastAsia="Consolas" w:hAnsi="Consolas"/>
                <w:color w:val="7A1526"/>
                <w:sz w:val="17"/>
                <w:szCs w:val="17"/>
              </w:rPr>
              <w:t xml:space="preserve">Churn</w:t>
            </w:r>
            <w:r>
              <w:rPr>
                <w:rFonts w:ascii="Cambria" w:cs="Cambria" w:eastAsia="Cambria" w:hAnsi="Cambria"/>
                <w:color w:val="2D2D2D"/>
                <w:sz w:val="19"/>
                <w:szCs w:val="19"/>
              </w:rPr>
              <w:t xml:space="preserve">=No),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es un tiempo </w:t>
            </w:r>
            <w:r>
              <w:rPr>
                <w:rFonts w:ascii="Cambria" w:cs="Cambria" w:eastAsia="Cambria" w:hAnsi="Cambria"/>
                <w:b/>
                <w:bCs/>
                <w:color w:val="2D2D2D"/>
                <w:sz w:val="19"/>
                <w:szCs w:val="19"/>
              </w:rPr>
              <w:t xml:space="preserve">censurado</w:t>
            </w:r>
            <w:r>
              <w:rPr>
                <w:rFonts w:ascii="Cambria" w:cs="Cambria" w:eastAsia="Cambria" w:hAnsi="Cambria"/>
                <w:color w:val="2D2D2D"/>
                <w:sz w:val="19"/>
                <w:szCs w:val="19"/>
              </w:rPr>
              <w:t xml:space="preserve"> (siguen activos),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el tiempo de vida final — tratarlo como completo sesga la retención, el mismo punto pedagógico que Rossi, ahora en negocio; fijar </w:t>
            </w:r>
            <w:r>
              <w:rPr>
                <w:rFonts w:ascii="Consolas" w:cs="Consolas" w:eastAsia="Consolas" w:hAnsi="Consolas"/>
                <w:color w:val="7A1526"/>
                <w:sz w:val="17"/>
                <w:szCs w:val="17"/>
              </w:rPr>
              <w:t xml:space="preserve">duration_col</w:t>
            </w:r>
            <w:r>
              <w:rPr>
                <w:rFonts w:ascii="Cambria" w:cs="Cambria" w:eastAsia="Cambria" w:hAnsi="Cambria"/>
                <w:color w:val="2D2D2D"/>
                <w:sz w:val="19"/>
                <w:szCs w:val="19"/>
              </w:rPr>
              <w:t xml:space="preserve">="</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event_col</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Churn</w:t>
            </w:r>
            <w:r>
              <w:rPr>
                <w:rFonts w:ascii="Cambria" w:cs="Cambria" w:eastAsia="Cambria" w:hAnsi="Cambria"/>
                <w:color w:val="2D2D2D"/>
                <w:sz w:val="19"/>
                <w:szCs w:val="19"/>
              </w:rPr>
              <w:t xml:space="preserve">=="Yes"). Estimar S(t) por tipo de contrato y leer la retención: </w:t>
            </w:r>
            <w:r>
              <w:rPr>
                <w:rFonts w:ascii="Cambria" w:cs="Cambria" w:eastAsia="Cambria" w:hAnsi="Cambria"/>
                <w:b/>
                <w:bCs/>
                <w:color w:val="2D2D2D"/>
                <w:sz w:val="19"/>
                <w:szCs w:val="19"/>
              </w:rPr>
              <w:t xml:space="preserve">Month-to-month</w:t>
            </w:r>
            <w:r>
              <w:rPr>
                <w:rFonts w:ascii="Cambria" w:cs="Cambria" w:eastAsia="Cambria" w:hAnsi="Cambria"/>
                <w:color w:val="2D2D2D"/>
                <w:sz w:val="19"/>
                <w:szCs w:val="19"/>
              </w:rPr>
              <w:t xml:space="preserve"> S(12)=0,703, S(24)=0,586, S(72)=0,129 (n=3875); </w:t>
            </w:r>
            <w:r>
              <w:rPr>
                <w:rFonts w:ascii="Cambria" w:cs="Cambria" w:eastAsia="Cambria" w:hAnsi="Cambria"/>
                <w:b/>
                <w:bCs/>
                <w:color w:val="2D2D2D"/>
                <w:sz w:val="19"/>
                <w:szCs w:val="19"/>
              </w:rPr>
              <w:t xml:space="preserve">One year</w:t>
            </w:r>
            <w:r>
              <w:rPr>
                <w:rFonts w:ascii="Cambria" w:cs="Cambria" w:eastAsia="Cambria" w:hAnsi="Cambria"/>
                <w:color w:val="2D2D2D"/>
                <w:sz w:val="19"/>
                <w:szCs w:val="19"/>
              </w:rPr>
              <w:t xml:space="preserve"> 0,991 / 0,978 / 0,568 (n=1472); </w:t>
            </w:r>
            <w:r>
              <w:rPr>
                <w:rFonts w:ascii="Cambria" w:cs="Cambria" w:eastAsia="Cambria" w:hAnsi="Cambria"/>
                <w:b/>
                <w:bCs/>
                <w:color w:val="2D2D2D"/>
                <w:sz w:val="19"/>
                <w:szCs w:val="19"/>
              </w:rPr>
              <w:t xml:space="preserve">Two year</w:t>
            </w:r>
            <w:r>
              <w:rPr>
                <w:rFonts w:ascii="Cambria" w:cs="Cambria" w:eastAsia="Cambria" w:hAnsi="Cambria"/>
                <w:color w:val="2D2D2D"/>
                <w:sz w:val="19"/>
                <w:szCs w:val="19"/>
              </w:rPr>
              <w:t xml:space="preserve"> 1,000 / 1,000 / 0,936 (n=1685); el log-rank de los tres grupos da </w:t>
            </w:r>
            <w:r>
              <w:rPr>
                <w:rFonts w:ascii="Cambria" w:cs="Cambria" w:eastAsia="Cambria" w:hAnsi="Cambria"/>
                <w:b/>
                <w:bCs/>
                <w:color w:val="2D2D2D"/>
                <w:sz w:val="19"/>
                <w:szCs w:val="19"/>
              </w:rPr>
              <w:t xml:space="preserve">χ² = 2 352,87, p ≈ 0</w:t>
            </w:r>
            <w:r>
              <w:rPr>
                <w:rFonts w:ascii="Cambria" w:cs="Cambria" w:eastAsia="Cambria" w:hAnsi="Cambria"/>
                <w:color w:val="2D2D2D"/>
                <w:sz w:val="19"/>
                <w:szCs w:val="19"/>
              </w:rPr>
              <w:t xml:space="preserve"> — las curvas difieren de forma abrumadora. Ajustar una Cox con covariables de negocio (</w:t>
            </w:r>
            <w:r>
              <w:rPr>
                <w:rFonts w:ascii="Consolas" w:cs="Consolas" w:eastAsia="Consolas" w:hAnsi="Consolas"/>
                <w:color w:val="7A1526"/>
                <w:sz w:val="17"/>
                <w:szCs w:val="17"/>
              </w:rPr>
              <w:t xml:space="preserve">contract_m2m</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fiber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senior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paperless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MonthlyCharges</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contract_m2m</w:t>
            </w:r>
            <w:r>
              <w:rPr>
                <w:rFonts w:ascii="Cambria" w:cs="Cambria" w:eastAsia="Cambria" w:hAnsi="Cambria"/>
                <w:b/>
                <w:bCs/>
                <w:color w:val="2D2D2D"/>
                <w:sz w:val="19"/>
                <w:szCs w:val="19"/>
              </w:rPr>
              <w:t xml:space="preserve"> HR = 15,74</w:t>
            </w:r>
            <w:r>
              <w:rPr>
                <w:rFonts w:ascii="Cambria" w:cs="Cambria" w:eastAsia="Cambria" w:hAnsi="Cambria"/>
                <w:color w:val="2D2D2D"/>
                <w:sz w:val="19"/>
                <w:szCs w:val="19"/>
              </w:rPr>
              <w:t xml:space="preserve"> (riesgo muy superior al de los demás contratos), </w:t>
            </w:r>
            <w:r>
              <w:rPr>
                <w:rFonts w:ascii="Consolas" w:cs="Consolas" w:eastAsia="Consolas" w:hAnsi="Consolas"/>
                <w:b/>
                <w:bCs/>
                <w:color w:val="7A1526"/>
                <w:sz w:val="17"/>
                <w:szCs w:val="17"/>
              </w:rPr>
              <w:t xml:space="preserve">fiber</w:t>
            </w:r>
            <w:r>
              <w:rPr>
                <w:rFonts w:ascii="Cambria" w:cs="Cambria" w:eastAsia="Cambria" w:hAnsi="Cambria"/>
                <w:b/>
                <w:bCs/>
                <w:color w:val="2D2D2D"/>
                <w:sz w:val="19"/>
                <w:szCs w:val="19"/>
              </w:rPr>
              <w:t xml:space="preserve"> HR = 3,49</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paperless</w:t>
            </w:r>
            <w:r>
              <w:rPr>
                <w:rFonts w:ascii="Cambria" w:cs="Cambria" w:eastAsia="Cambria" w:hAnsi="Cambria"/>
                <w:color w:val="2D2D2D"/>
                <w:sz w:val="19"/>
                <w:szCs w:val="19"/>
              </w:rPr>
              <w:t xml:space="preserve"> HR = 1,31, </w:t>
            </w:r>
            <w:r>
              <w:rPr>
                <w:rFonts w:ascii="Consolas" w:cs="Consolas" w:eastAsia="Consolas" w:hAnsi="Consolas"/>
                <w:b/>
                <w:bCs/>
                <w:color w:val="7A1526"/>
                <w:sz w:val="17"/>
                <w:szCs w:val="17"/>
              </w:rPr>
              <w:t xml:space="preserve">MonthlyCharges</w:t>
            </w:r>
            <w:r>
              <w:rPr>
                <w:rFonts w:ascii="Cambria" w:cs="Cambria" w:eastAsia="Cambria" w:hAnsi="Cambria"/>
                <w:b/>
                <w:bCs/>
                <w:color w:val="2D2D2D"/>
                <w:sz w:val="19"/>
                <w:szCs w:val="19"/>
              </w:rPr>
              <w:t xml:space="preserve"> HR = 0,98</w:t>
            </w:r>
            <w:r>
              <w:rPr>
                <w:rFonts w:ascii="Cambria" w:cs="Cambria" w:eastAsia="Cambria" w:hAnsi="Cambria"/>
                <w:color w:val="2D2D2D"/>
                <w:sz w:val="19"/>
                <w:szCs w:val="19"/>
              </w:rPr>
              <w:t xml:space="preserve"> (efecto de </w:t>
            </w:r>
            <w:r>
              <w:rPr>
                <w:rFonts w:ascii="Cambria" w:cs="Cambria" w:eastAsia="Cambria" w:hAnsi="Cambria"/>
                <w:b/>
                <w:bCs/>
                <w:color w:val="2D2D2D"/>
                <w:sz w:val="19"/>
                <w:szCs w:val="19"/>
              </w:rPr>
              <w:t xml:space="preserve">supresión</w:t>
            </w:r>
            <w:r>
              <w:rPr>
                <w:rFonts w:ascii="Cambria" w:cs="Cambria" w:eastAsia="Cambria" w:hAnsi="Cambria"/>
                <w:color w:val="2D2D2D"/>
                <w:sz w:val="19"/>
                <w:szCs w:val="19"/>
              </w:rPr>
              <w:t xml:space="preserve"> por colinealidad con </w:t>
            </w:r>
            <w:r>
              <w:rPr>
                <w:rFonts w:ascii="Consolas" w:cs="Consolas" w:eastAsia="Consolas" w:hAnsi="Consolas"/>
                <w:color w:val="7A1526"/>
                <w:sz w:val="17"/>
                <w:szCs w:val="17"/>
              </w:rPr>
              <w:t xml:space="preserve">fiber</w:t>
            </w:r>
            <w:r>
              <w:rPr>
                <w:rFonts w:ascii="Cambria" w:cs="Cambria" w:eastAsia="Cambria" w:hAnsi="Cambria"/>
                <w:color w:val="2D2D2D"/>
                <w:sz w:val="19"/>
                <w:szCs w:val="19"/>
              </w:rPr>
              <w:t xml:space="preserve">: aislado subiría el riesgo, pero junto a </w:t>
            </w:r>
            <w:r>
              <w:rPr>
                <w:rFonts w:ascii="Consolas" w:cs="Consolas" w:eastAsia="Consolas" w:hAnsi="Consolas"/>
                <w:color w:val="7A1526"/>
                <w:sz w:val="17"/>
                <w:szCs w:val="17"/>
              </w:rPr>
              <w:t xml:space="preserve">fiber</w:t>
            </w:r>
            <w:r>
              <w:rPr>
                <w:rFonts w:ascii="Cambria" w:cs="Cambria" w:eastAsia="Cambria" w:hAnsi="Cambria"/>
                <w:color w:val="2D2D2D"/>
                <w:sz w:val="19"/>
                <w:szCs w:val="19"/>
              </w:rPr>
              <w:t xml:space="preserve"> el signo se invierte), </w:t>
            </w:r>
            <w:r>
              <w:rPr>
                <w:rFonts w:ascii="Consolas" w:cs="Consolas" w:eastAsia="Consolas" w:hAnsi="Consolas"/>
                <w:color w:val="7A1526"/>
                <w:sz w:val="17"/>
                <w:szCs w:val="17"/>
              </w:rPr>
              <w:t xml:space="preserve">senior</w:t>
            </w:r>
            <w:r>
              <w:rPr>
                <w:rFonts w:ascii="Cambria" w:cs="Cambria" w:eastAsia="Cambria" w:hAnsi="Cambria"/>
                <w:color w:val="2D2D2D"/>
                <w:sz w:val="19"/>
                <w:szCs w:val="19"/>
              </w:rPr>
              <w:t xml:space="preserve"> HR = 0,96 (no significativo); concordancia = </w:t>
            </w:r>
            <w:r>
              <w:rPr>
                <w:rFonts w:ascii="Cambria" w:cs="Cambria" w:eastAsia="Cambria" w:hAnsi="Cambria"/>
                <w:b/>
                <w:bCs/>
                <w:color w:val="2D2D2D"/>
                <w:sz w:val="19"/>
                <w:szCs w:val="19"/>
              </w:rPr>
              <w:t xml:space="preserve">0,807</w:t>
            </w:r>
            <w:r>
              <w:rPr>
                <w:rFonts w:ascii="Cambria" w:cs="Cambria" w:eastAsia="Cambria" w:hAnsi="Cambria"/>
                <w:color w:val="2D2D2D"/>
                <w:sz w:val="19"/>
                <w:szCs w:val="19"/>
              </w:rPr>
              <w:t xml:space="preserve">. Calcular el </w:t>
            </w:r>
            <w:r>
              <w:rPr>
                <w:rFonts w:ascii="Cambria" w:cs="Cambria" w:eastAsia="Cambria" w:hAnsi="Cambria"/>
                <w:b/>
                <w:bCs/>
                <w:color w:val="2D2D2D"/>
                <w:sz w:val="19"/>
                <w:szCs w:val="19"/>
              </w:rPr>
              <w:t xml:space="preserve">ingreso descontado por cliente (LTV bruto)</w:t>
            </w:r>
            <w:r>
              <w:rPr>
                <w:rFonts w:ascii="Cambria" w:cs="Cambria" w:eastAsia="Cambria" w:hAnsi="Cambria"/>
                <w:color w:val="2D2D2D"/>
                <w:sz w:val="19"/>
                <w:szCs w:val="19"/>
              </w:rPr>
              <w:t xml:space="preserve"> por segmento, </w:t>
            </w:r>
            <w:r>
              <w:rPr>
                <w:rFonts w:ascii="Consolas" w:cs="Consolas" w:eastAsia="Consolas" w:hAnsi="Consolas"/>
                <w:color w:val="7A1526"/>
                <w:sz w:val="17"/>
                <w:szCs w:val="17"/>
              </w:rPr>
              <w:t xml:space="preserve">LTV(72) = Σ_t m·S(t)/(1+d)^t</w:t>
            </w:r>
            <w:r>
              <w:rPr>
                <w:rFonts w:ascii="Cambria" w:cs="Cambria" w:eastAsia="Cambria" w:hAnsi="Cambria"/>
                <w:color w:val="2D2D2D"/>
                <w:sz w:val="19"/>
                <w:szCs w:val="19"/>
              </w:rPr>
              <w:t xml:space="preserve">, con m = </w:t>
            </w:r>
            <w:r>
              <w:rPr>
                <w:rFonts w:ascii="Consolas" w:cs="Consolas" w:eastAsia="Consolas" w:hAnsi="Consolas"/>
                <w:b/>
                <w:bCs/>
                <w:color w:val="7A1526"/>
                <w:sz w:val="17"/>
                <w:szCs w:val="17"/>
              </w:rPr>
              <w:t xml:space="preserve">MonthlyCharges</w:t>
            </w:r>
            <w:r>
              <w:rPr>
                <w:rFonts w:ascii="Cambria" w:cs="Cambria" w:eastAsia="Cambria" w:hAnsi="Cambria"/>
                <w:color w:val="2D2D2D"/>
                <w:sz w:val="19"/>
                <w:szCs w:val="19"/>
              </w:rPr>
              <w:t xml:space="preserve"> medio del segmento (</w:t>
            </w:r>
            <w:r>
              <w:rPr>
                <w:rFonts w:ascii="Cambria" w:cs="Cambria" w:eastAsia="Cambria" w:hAnsi="Cambria"/>
                <w:b/>
                <w:bCs/>
                <w:color w:val="2D2D2D"/>
                <w:sz w:val="19"/>
                <w:szCs w:val="19"/>
              </w:rPr>
              <w:t xml:space="preserve">ingreso</w:t>
            </w:r>
            <w:r>
              <w:rPr>
                <w:rFonts w:ascii="Cambria" w:cs="Cambria" w:eastAsia="Cambria" w:hAnsi="Cambria"/>
                <w:color w:val="2D2D2D"/>
                <w:sz w:val="19"/>
                <w:szCs w:val="19"/>
              </w:rPr>
              <w:t xml:space="preserve">, no margen) y d = 1 %/mes: </w:t>
            </w:r>
            <w:r>
              <w:rPr>
                <w:rFonts w:ascii="Cambria" w:cs="Cambria" w:eastAsia="Cambria" w:hAnsi="Cambria"/>
                <w:b/>
                <w:bCs/>
                <w:color w:val="2D2D2D"/>
                <w:sz w:val="19"/>
                <w:szCs w:val="19"/>
              </w:rPr>
              <w:t xml:space="preserve">Month-to-month 1 803,77</w:t>
            </w:r>
            <w:r>
              <w:rPr>
                <w:rFonts w:ascii="Cambria" w:cs="Cambria" w:eastAsia="Cambria" w:hAnsi="Cambria"/>
                <w:color w:val="2D2D2D"/>
                <w:sz w:val="19"/>
                <w:szCs w:val="19"/>
              </w:rPr>
              <w:t xml:space="preserve"> (m=66,40), </w:t>
            </w:r>
            <w:r>
              <w:rPr>
                <w:rFonts w:ascii="Cambria" w:cs="Cambria" w:eastAsia="Cambria" w:hAnsi="Cambria"/>
                <w:b/>
                <w:bCs/>
                <w:color w:val="2D2D2D"/>
                <w:sz w:val="19"/>
                <w:szCs w:val="19"/>
              </w:rPr>
              <w:t xml:space="preserve">One year 3 105,36</w:t>
            </w:r>
            <w:r>
              <w:rPr>
                <w:rFonts w:ascii="Cambria" w:cs="Cambria" w:eastAsia="Cambria" w:hAnsi="Cambria"/>
                <w:color w:val="2D2D2D"/>
                <w:sz w:val="19"/>
                <w:szCs w:val="19"/>
              </w:rPr>
              <w:t xml:space="preserve"> (m=65,08), </w:t>
            </w:r>
            <w:r>
              <w:rPr>
                <w:rFonts w:ascii="Cambria" w:cs="Cambria" w:eastAsia="Cambria" w:hAnsi="Cambria"/>
                <w:b/>
                <w:bCs/>
                <w:color w:val="2D2D2D"/>
                <w:sz w:val="19"/>
                <w:szCs w:val="19"/>
              </w:rPr>
              <w:t xml:space="preserve">Two year 3 096,58</w:t>
            </w:r>
            <w:r>
              <w:rPr>
                <w:rFonts w:ascii="Cambria" w:cs="Cambria" w:eastAsia="Cambria" w:hAnsi="Cambria"/>
                <w:color w:val="2D2D2D"/>
                <w:sz w:val="19"/>
                <w:szCs w:val="19"/>
              </w:rPr>
              <w:t xml:space="preserve"> (m=60,87); como m es el </w:t>
            </w:r>
            <w:r>
              <w:rPr>
                <w:rFonts w:ascii="Cambria" w:cs="Cambria" w:eastAsia="Cambria" w:hAnsi="Cambria"/>
                <w:b/>
                <w:bCs/>
                <w:color w:val="2D2D2D"/>
                <w:sz w:val="19"/>
                <w:szCs w:val="19"/>
              </w:rPr>
              <w:t xml:space="preserve">ingreso</w:t>
            </w:r>
            <w:r>
              <w:rPr>
                <w:rFonts w:ascii="Cambria" w:cs="Cambria" w:eastAsia="Cambria" w:hAnsi="Cambria"/>
                <w:color w:val="2D2D2D"/>
                <w:sz w:val="19"/>
                <w:szCs w:val="19"/>
              </w:rPr>
              <w:t xml:space="preserve">, las tres cifras son </w:t>
            </w:r>
            <w:r>
              <w:rPr>
                <w:rFonts w:ascii="Cambria" w:cs="Cambria" w:eastAsia="Cambria" w:hAnsi="Cambria"/>
                <w:b/>
                <w:bCs/>
                <w:color w:val="2D2D2D"/>
                <w:sz w:val="19"/>
                <w:szCs w:val="19"/>
              </w:rPr>
              <w:t xml:space="preserve">ingreso descontado por cliente (LTV bruto, sin netear el coste de servir)</w:t>
            </w:r>
            <w:r>
              <w:rPr>
                <w:rFonts w:ascii="Cambria" w:cs="Cambria" w:eastAsia="Cambria" w:hAnsi="Cambria"/>
                <w:color w:val="2D2D2D"/>
                <w:sz w:val="19"/>
                <w:szCs w:val="19"/>
              </w:rPr>
              <w:t xml:space="preserve">, no un CLV con margen — un CLV real aún </w:t>
            </w:r>
            <w:r>
              <w:rPr>
                <w:rFonts w:ascii="Cambria" w:cs="Cambria" w:eastAsia="Cambria" w:hAnsi="Cambria"/>
                <w:b/>
                <w:bCs/>
                <w:color w:val="2D2D2D"/>
                <w:sz w:val="19"/>
                <w:szCs w:val="19"/>
              </w:rPr>
              <w:t xml:space="preserve">aplicaría un margen</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restaría el coste de campaña</w:t>
            </w:r>
            <w:r>
              <w:rPr>
                <w:rFonts w:ascii="Cambria" w:cs="Cambria" w:eastAsia="Cambria" w:hAnsi="Cambria"/>
                <w:color w:val="2D2D2D"/>
                <w:sz w:val="19"/>
                <w:szCs w:val="19"/>
              </w:rPr>
              <w:t xml:space="preserve">, y el motor robusto del valor es </w:t>
            </w:r>
            <w:r>
              <w:rPr>
                <w:rFonts w:ascii="Cambria" w:cs="Cambria" w:eastAsia="Cambria" w:hAnsi="Cambria"/>
                <w:b/>
                <w:bCs/>
                <w:color w:val="2D2D2D"/>
                <w:sz w:val="19"/>
                <w:szCs w:val="19"/>
              </w:rPr>
              <w:t xml:space="preserve">retención × margen</w:t>
            </w:r>
            <w:r>
              <w:rPr>
                <w:rFonts w:ascii="Cambria" w:cs="Cambria" w:eastAsia="Cambria" w:hAnsi="Cambria"/>
                <w:color w:val="2D2D2D"/>
                <w:sz w:val="19"/>
                <w:szCs w:val="19"/>
              </w:rPr>
              <w:t xml:space="preserve">. Aunque el </w:t>
            </w:r>
            <w:r>
              <w:rPr>
                <w:rFonts w:ascii="Cambria" w:cs="Cambria" w:eastAsia="Cambria" w:hAnsi="Cambria"/>
                <w:b/>
                <w:bCs/>
                <w:color w:val="2D2D2D"/>
                <w:sz w:val="19"/>
                <w:szCs w:val="19"/>
              </w:rPr>
              <w:t xml:space="preserve">ingreso mensual</w:t>
            </w:r>
            <w:r>
              <w:rPr>
                <w:rFonts w:ascii="Cambria" w:cs="Cambria" w:eastAsia="Cambria" w:hAnsi="Cambria"/>
                <w:color w:val="2D2D2D"/>
                <w:sz w:val="19"/>
                <w:szCs w:val="19"/>
              </w:rPr>
              <w:t xml:space="preserve"> del mes-a-mes es el </w:t>
            </w:r>
            <w:r>
              <w:rPr>
                <w:rFonts w:ascii="Cambria" w:cs="Cambria" w:eastAsia="Cambria" w:hAnsi="Cambria"/>
                <w:b/>
                <w:bCs/>
                <w:color w:val="2D2D2D"/>
                <w:sz w:val="19"/>
                <w:szCs w:val="19"/>
              </w:rPr>
              <w:t xml:space="preserve">más alto</w:t>
            </w:r>
            <w:r>
              <w:rPr>
                <w:rFonts w:ascii="Cambria" w:cs="Cambria" w:eastAsia="Cambria" w:hAnsi="Cambria"/>
                <w:color w:val="2D2D2D"/>
                <w:sz w:val="19"/>
                <w:szCs w:val="19"/>
              </w:rPr>
              <w:t xml:space="preserve">, su </w:t>
            </w:r>
            <w:r>
              <w:rPr>
                <w:rFonts w:ascii="Cambria" w:cs="Cambria" w:eastAsia="Cambria" w:hAnsi="Cambria"/>
                <w:b/>
                <w:bCs/>
                <w:color w:val="2D2D2D"/>
                <w:sz w:val="19"/>
                <w:szCs w:val="19"/>
              </w:rPr>
              <w:t xml:space="preserve">LTV bruto</w:t>
            </w:r>
            <w:r>
              <w:rPr>
                <w:rFonts w:ascii="Cambria" w:cs="Cambria" w:eastAsia="Cambria" w:hAnsi="Cambria"/>
                <w:color w:val="2D2D2D"/>
                <w:sz w:val="19"/>
                <w:szCs w:val="19"/>
              </w:rPr>
              <w:t xml:space="preserve"> es el </w:t>
            </w:r>
            <w:r>
              <w:rPr>
                <w:rFonts w:ascii="Cambria" w:cs="Cambria" w:eastAsia="Cambria" w:hAnsi="Cambria"/>
                <w:b/>
                <w:bCs/>
                <w:color w:val="2D2D2D"/>
                <w:sz w:val="19"/>
                <w:szCs w:val="19"/>
              </w:rPr>
              <w:t xml:space="preserve">más bajo</w:t>
            </w:r>
            <w:r>
              <w:rPr>
                <w:rFonts w:ascii="Cambria" w:cs="Cambria" w:eastAsia="Cambria" w:hAnsi="Cambria"/>
                <w:color w:val="2D2D2D"/>
                <w:sz w:val="19"/>
                <w:szCs w:val="19"/>
              </w:rPr>
              <w:t xml:space="preserve"> por la retención deficiente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la </w:t>
            </w:r>
            <w:r>
              <w:rPr>
                <w:rFonts w:ascii="Cambria" w:cs="Cambria" w:eastAsia="Cambria" w:hAnsi="Cambria"/>
                <w:b/>
                <w:bCs/>
                <w:color w:val="2D2D2D"/>
                <w:sz w:val="19"/>
                <w:szCs w:val="19"/>
              </w:rPr>
              <w:t xml:space="preserve">retención domina el valor</w:t>
            </w:r>
            <w:r>
              <w:rPr>
                <w:rFonts w:ascii="Cambria" w:cs="Cambria" w:eastAsia="Cambria" w:hAnsi="Cambria"/>
                <w:color w:val="2D2D2D"/>
                <w:sz w:val="19"/>
                <w:szCs w:val="19"/>
              </w:rPr>
              <w:t xml:space="preserve">; la comparación </w:t>
            </w:r>
            <w:r>
              <w:rPr>
                <w:rFonts w:ascii="Cambria" w:cs="Cambria" w:eastAsia="Cambria" w:hAnsi="Cambria"/>
                <w:b/>
                <w:bCs/>
                <w:color w:val="2D2D2D"/>
                <w:sz w:val="19"/>
                <w:szCs w:val="19"/>
              </w:rPr>
              <w:t xml:space="preserve">robusta</w:t>
            </w:r>
            <w:r>
              <w:rPr>
                <w:rFonts w:ascii="Cambria" w:cs="Cambria" w:eastAsia="Cambria" w:hAnsi="Cambria"/>
                <w:color w:val="2D2D2D"/>
                <w:sz w:val="19"/>
                <w:szCs w:val="19"/>
              </w:rPr>
              <w:t xml:space="preserve"> es mes-a-mes (1 803,77) frente a contratos largos (~3 100), y el orden fino </w:t>
            </w:r>
            <w:r>
              <w:rPr>
                <w:rFonts w:ascii="Cambria" w:cs="Cambria" w:eastAsia="Cambria" w:hAnsi="Cambria"/>
                <w:b/>
                <w:bCs/>
                <w:color w:val="2D2D2D"/>
                <w:sz w:val="19"/>
                <w:szCs w:val="19"/>
              </w:rPr>
              <w:t xml:space="preserve">un año 3 105,36</w:t>
            </w:r>
            <w:r>
              <w:rPr>
                <w:rFonts w:ascii="Cambria" w:cs="Cambria" w:eastAsia="Cambria" w:hAnsi="Cambria"/>
                <w:color w:val="2D2D2D"/>
                <w:sz w:val="19"/>
                <w:szCs w:val="19"/>
              </w:rPr>
              <w:t xml:space="preserve"> versus </w:t>
            </w:r>
            <w:r>
              <w:rPr>
                <w:rFonts w:ascii="Cambria" w:cs="Cambria" w:eastAsia="Cambria" w:hAnsi="Cambria"/>
                <w:b/>
                <w:bCs/>
                <w:color w:val="2D2D2D"/>
                <w:sz w:val="19"/>
                <w:szCs w:val="19"/>
              </w:rPr>
              <w:t xml:space="preserve">dos años 3 096,58</w:t>
            </w:r>
            <w:r>
              <w:rPr>
                <w:rFonts w:ascii="Cambria" w:cs="Cambria" w:eastAsia="Cambria" w:hAnsi="Cambria"/>
                <w:color w:val="2D2D2D"/>
                <w:sz w:val="19"/>
                <w:szCs w:val="19"/>
              </w:rPr>
              <w:t xml:space="preserve"> (0,28 %) cae </w:t>
            </w:r>
            <w:r>
              <w:rPr>
                <w:rFonts w:ascii="Cambria" w:cs="Cambria" w:eastAsia="Cambria" w:hAnsi="Cambria"/>
                <w:b/>
                <w:bCs/>
                <w:color w:val="2D2D2D"/>
                <w:sz w:val="19"/>
                <w:szCs w:val="19"/>
              </w:rPr>
              <w:t xml:space="preserve">dentro del ruido</w:t>
            </w:r>
            <w:r>
              <w:rPr>
                <w:rFonts w:ascii="Cambria" w:cs="Cambria" w:eastAsia="Cambria" w:hAnsi="Cambria"/>
                <w:color w:val="2D2D2D"/>
                <w:sz w:val="19"/>
                <w:szCs w:val="19"/>
              </w:rPr>
              <w:t xml:space="preserve"> y es sensible al margen supuesto — </w:t>
            </w:r>
            <w:r>
              <w:rPr>
                <w:rFonts w:ascii="Cambria" w:cs="Cambria" w:eastAsia="Cambria" w:hAnsi="Cambria"/>
                <w:b/>
                <w:bCs/>
                <w:color w:val="2D2D2D"/>
                <w:sz w:val="19"/>
                <w:szCs w:val="19"/>
              </w:rPr>
              <w:t xml:space="preserve">no es una lección</w:t>
            </w:r>
            <w:r>
              <w:rPr>
                <w:rFonts w:ascii="Cambria" w:cs="Cambria" w:eastAsia="Cambria" w:hAnsi="Cambria"/>
                <w:color w:val="2D2D2D"/>
                <w:sz w:val="19"/>
                <w:szCs w:val="19"/>
              </w:rPr>
              <w:t xml:space="preserve">. Redactar la recomendación de retención priorizada: priorizar la </w:t>
            </w:r>
            <w:r>
              <w:rPr>
                <w:rFonts w:ascii="Cambria" w:cs="Cambria" w:eastAsia="Cambria" w:hAnsi="Cambria"/>
                <w:b/>
                <w:bCs/>
                <w:color w:val="2D2D2D"/>
                <w:sz w:val="19"/>
                <w:szCs w:val="19"/>
              </w:rPr>
              <w:t xml:space="preserve">migración</w:t>
            </w:r>
            <w:r>
              <w:rPr>
                <w:rFonts w:ascii="Cambria" w:cs="Cambria" w:eastAsia="Cambria" w:hAnsi="Cambria"/>
                <w:color w:val="2D2D2D"/>
                <w:sz w:val="19"/>
                <w:szCs w:val="19"/>
              </w:rPr>
              <w:t xml:space="preserve"> del segmento mes-a-mes a contratos anuales, el de peor retención (S(72)=0,129), mayor hazard (HR ≈ 15,7) y menor LTV bruto; el </w:t>
            </w:r>
            <w:r>
              <w:rPr>
                <w:rFonts w:ascii="Cambria" w:cs="Cambria" w:eastAsia="Cambria" w:hAnsi="Cambria"/>
                <w:b/>
                <w:bCs/>
                <w:color w:val="2D2D2D"/>
                <w:sz w:val="19"/>
                <w:szCs w:val="19"/>
              </w:rPr>
              <w:t xml:space="preserve">techo de gasto</w:t>
            </w:r>
            <w:r>
              <w:rPr>
                <w:rFonts w:ascii="Cambria" w:cs="Cambria" w:eastAsia="Cambria" w:hAnsi="Cambria"/>
                <w:color w:val="2D2D2D"/>
                <w:sz w:val="19"/>
                <w:szCs w:val="19"/>
              </w:rPr>
              <w:t xml:space="preserve"> de la oferta lo fija el diferencial de LTV bruto (anual 3 105 menos mensual 1 804 ≈ 1 301 USD por cliente migrado, una vez aplicado el margen y restado el coste de campaña); no priorizar factores cuyo IC del HR cruza 1.</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las curvas KM por </w:t>
            </w:r>
            <w:r>
              <w:rPr>
                <w:rFonts w:ascii="Consolas" w:cs="Consolas" w:eastAsia="Consolas" w:hAnsi="Consolas"/>
                <w:color w:val="7A1526"/>
                <w:sz w:val="17"/>
                <w:szCs w:val="17"/>
              </w:rPr>
              <w:t xml:space="preserve">Contract</w:t>
            </w:r>
            <w:r>
              <w:rPr>
                <w:rFonts w:ascii="Cambria" w:cs="Cambria" w:eastAsia="Cambria" w:hAnsi="Cambria"/>
                <w:color w:val="2D2D2D"/>
                <w:sz w:val="19"/>
                <w:szCs w:val="19"/>
              </w:rPr>
              <w:t xml:space="preserve"> con su log-rank (χ² 2 352,87), la Cox tiempo-hasta-churn (</w:t>
            </w:r>
            <w:r>
              <w:rPr>
                <w:rFonts w:ascii="Consolas" w:cs="Consolas" w:eastAsia="Consolas" w:hAnsi="Consolas"/>
                <w:color w:val="7A1526"/>
                <w:sz w:val="17"/>
                <w:szCs w:val="17"/>
              </w:rPr>
              <w:t xml:space="preserve">contract_m2m</w:t>
            </w:r>
            <w:r>
              <w:rPr>
                <w:rFonts w:ascii="Cambria" w:cs="Cambria" w:eastAsia="Cambria" w:hAnsi="Cambria"/>
                <w:color w:val="2D2D2D"/>
                <w:sz w:val="19"/>
                <w:szCs w:val="19"/>
              </w:rPr>
              <w:t xml:space="preserve"> HR 15,74, concordancia 0,807), el LTV bruto por segmento (mes-a-mes 1 803,77 muy por debajo de anual 3 105,36 y bianual 3 096,58) y la recomendación de retención priorizada con su techo de gasto (≈1 301 USD/cliente migrado) — el borrador del entregable de la sesión; cada estudiante redacta su propia recomendación (la entrega es individual).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Errores a evitar (Paso 6)</w:t>
            </w:r>
          </w:p>
          <w:p>
            <w:pPr>
              <w:spacing w:after="70" w:line="265"/>
            </w:pPr>
            <w:r>
              <w:rPr>
                <w:rFonts w:ascii="Cambria" w:cs="Cambria" w:eastAsia="Cambria" w:hAnsi="Cambria"/>
                <w:color w:val="3A3A3A"/>
                <w:sz w:val="18"/>
                <w:szCs w:val="18"/>
              </w:rPr>
              <w:t xml:space="preserve">(a) Tratar </w:t>
            </w:r>
            <w:r>
              <w:rPr>
                <w:rFonts w:ascii="Consolas" w:cs="Consolas" w:eastAsia="Consolas" w:hAnsi="Consolas"/>
                <w:color w:val="7A1526"/>
                <w:sz w:val="16"/>
                <w:szCs w:val="16"/>
              </w:rPr>
              <w:t xml:space="preserve">tenure</w:t>
            </w:r>
            <w:r>
              <w:rPr>
                <w:rFonts w:ascii="Cambria" w:cs="Cambria" w:eastAsia="Cambria" w:hAnsi="Cambria"/>
                <w:color w:val="3A3A3A"/>
                <w:sz w:val="18"/>
                <w:szCs w:val="18"/>
              </w:rPr>
              <w:t xml:space="preserve"> como tiempo completo (ignorar la censura). (b) Usar una vida media fija en vez de S(t) periodo a periodo (sobreestima el CLV). (c) Extrapolar S(t) con la cola plana de KM en vez de un paramétrico. (d) Olvidar el descuento d. (e) Leer el HR de </w:t>
            </w:r>
            <w:r>
              <w:rPr>
                <w:rFonts w:ascii="Consolas" w:cs="Consolas" w:eastAsia="Consolas" w:hAnsi="Consolas"/>
                <w:color w:val="7A1526"/>
                <w:sz w:val="16"/>
                <w:szCs w:val="16"/>
              </w:rPr>
              <w:t xml:space="preserve">MonthlyCharges</w:t>
            </w:r>
            <w:r>
              <w:rPr>
                <w:rFonts w:ascii="Cambria" w:cs="Cambria" w:eastAsia="Cambria" w:hAnsi="Cambria"/>
                <w:color w:val="3A3A3A"/>
                <w:sz w:val="18"/>
                <w:szCs w:val="18"/>
              </w:rPr>
              <w:t xml:space="preserve"> sin advertir el efecto de supresión por colinealidad con </w:t>
            </w:r>
            <w:r>
              <w:rPr>
                <w:rFonts w:ascii="Consolas" w:cs="Consolas" w:eastAsia="Consolas" w:hAnsi="Consolas"/>
                <w:color w:val="7A1526"/>
                <w:sz w:val="16"/>
                <w:szCs w:val="16"/>
              </w:rPr>
              <w:t xml:space="preserve">fiber</w:t>
            </w:r>
            <w:r>
              <w:rPr>
                <w:rFonts w:ascii="Cambria" w:cs="Cambria" w:eastAsia="Cambria" w:hAnsi="Cambria"/>
                <w:color w:val="3A3A3A"/>
                <w:sz w:val="18"/>
                <w:szCs w:val="18"/>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Fuera de alcance (solo se nombran)</w:t>
            </w:r>
          </w:p>
          <w:p>
            <w:pPr>
              <w:spacing w:after="70" w:line="265"/>
            </w:pPr>
            <w:r>
              <w:rPr>
                <w:rFonts w:ascii="Cambria" w:cs="Cambria" w:eastAsia="Cambria" w:hAnsi="Cambria"/>
                <w:color w:val="3A3A3A"/>
                <w:sz w:val="18"/>
                <w:szCs w:val="18"/>
              </w:rPr>
              <w:t xml:space="preserve">Sistemas de recomendación (S14) no se enseñan; el CLV y el churn </w:t>
            </w:r>
            <w:r>
              <w:rPr>
                <w:rFonts w:ascii="Cambria" w:cs="Cambria" w:eastAsia="Cambria" w:hAnsi="Cambria"/>
                <w:b/>
                <w:bCs/>
                <w:color w:val="3A3A3A"/>
                <w:sz w:val="18"/>
                <w:szCs w:val="18"/>
              </w:rPr>
              <w:t xml:space="preserve">conectan</w:t>
            </w:r>
            <w:r>
              <w:rPr>
                <w:rFonts w:ascii="Cambria" w:cs="Cambria" w:eastAsia="Cambria" w:hAnsi="Cambria"/>
                <w:color w:val="3A3A3A"/>
                <w:sz w:val="18"/>
                <w:szCs w:val="18"/>
              </w:rPr>
              <w:t xml:space="preserve"> con S09 (logística) y S12 (causalidad) solo como transversal. No re-explicar la regresión/GLM/matriz de confusión más allá de 1-2 frases de conexión.</w:t>
            </w:r>
          </w:p>
        </w:tc>
      </w:tr>
    </w:tbl>
    <w:p>
      <w:r>
        <w:br w:type="page"/>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CONEXIÓN CON EL ENTREGABLE Y EL PROYECTO INTEGRADOR</w:t>
      </w:r>
    </w:p>
    <w:p>
      <w:pPr>
        <w:keepNext/>
        <w:pBdr>
          <w:bottom w:val="single" w:color="E4002B" w:sz="14" w:space="8"/>
        </w:pBdr>
        <w:spacing w:after="140"/>
      </w:pPr>
      <w:r>
        <w:rPr>
          <w:rFonts w:ascii="Cambria" w:cs="Cambria" w:eastAsia="Cambria" w:hAnsi="Cambria"/>
          <w:i/>
          <w:iCs/>
          <w:color w:val="6E6E6E"/>
          <w:sz w:val="19"/>
          <w:szCs w:val="19"/>
        </w:rPr>
        <w:t xml:space="preserve">Cierre del laboratorio</w:t>
      </w:r>
      <w:r>
        <w:rPr>
          <w:rFonts w:ascii="Cambria" w:cs="Cambria" w:eastAsia="Cambria" w:hAnsi="Cambria"/>
          <w:b/>
          <w:bCs/>
          <w:color w:val="7A1526"/>
          <w:sz w:val="19"/>
          <w:szCs w:val="19"/>
        </w:rPr>
        <w:t xml:space="preserve">   |   entregable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Target</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De dónde proviene</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HR </w:t>
            </w:r>
            <w:r>
              <w:rPr>
                <w:rFonts w:ascii="Consolas" w:cs="Consolas" w:eastAsia="Consolas" w:hAnsi="Consolas"/>
                <w:b w:val="false"/>
                <w:bCs w:val="false"/>
                <w:color w:val="7A1526"/>
                <w:sz w:val="16"/>
                <w:szCs w:val="16"/>
              </w:rPr>
              <w:t xml:space="preserve">fin</w:t>
            </w:r>
            <w:r>
              <w:rPr>
                <w:rFonts w:ascii="Calibri" w:cs="Calibri" w:eastAsia="Calibri" w:hAnsi="Calibri"/>
                <w:b w:val="false"/>
                <w:bCs w:val="false"/>
                <w:color w:val="2D2D2D"/>
                <w:sz w:val="18"/>
                <w:szCs w:val="18"/>
              </w:rPr>
              <w:t xml:space="preserve"> (protector)</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0,684</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 — HR &lt; 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Cox (1972)</w:t>
            </w:r>
            <w:r>
              <w:rPr>
                <w:rFonts w:ascii="Calibri" w:cs="Calibri" w:eastAsia="Calibri" w:hAnsi="Calibri"/>
                <w:b w:val="false"/>
                <w:bCs w:val="false"/>
                <w:color w:val="2D2D2D"/>
                <w:sz w:val="18"/>
                <w:szCs w:val="18"/>
              </w:rPr>
              <w:t xml:space="preserve"> sobre Rossi — venv del curso</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HR </w:t>
            </w:r>
            <w:r>
              <w:rPr>
                <w:rFonts w:ascii="Consolas" w:cs="Consolas" w:eastAsia="Consolas" w:hAnsi="Consolas"/>
                <w:b w:val="false"/>
                <w:bCs w:val="false"/>
                <w:color w:val="7A1526"/>
                <w:sz w:val="16"/>
                <w:szCs w:val="16"/>
              </w:rPr>
              <w:t xml:space="preserve">age</w:t>
            </w:r>
            <w:r>
              <w:rPr>
                <w:rFonts w:ascii="Calibri" w:cs="Calibri" w:eastAsia="Calibri" w:hAnsi="Calibri"/>
                <w:b w:val="false"/>
                <w:bCs w:val="false"/>
                <w:color w:val="2D2D2D"/>
                <w:sz w:val="18"/>
                <w:szCs w:val="18"/>
              </w:rPr>
              <w:t xml:space="preserve"> (protector)</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0,944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 — HR &lt; 1</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 — venv del curso</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HR </w:t>
            </w:r>
            <w:r>
              <w:rPr>
                <w:rFonts w:ascii="Consolas" w:cs="Consolas" w:eastAsia="Consolas" w:hAnsi="Consolas"/>
                <w:b w:val="false"/>
                <w:bCs w:val="false"/>
                <w:color w:val="7A1526"/>
                <w:sz w:val="16"/>
                <w:szCs w:val="16"/>
              </w:rPr>
              <w:t xml:space="preserve">prio</w:t>
            </w:r>
            <w:r>
              <w:rPr>
                <w:rFonts w:ascii="Calibri" w:cs="Calibri" w:eastAsia="Calibri" w:hAnsi="Calibri"/>
                <w:b w:val="false"/>
                <w:bCs w:val="false"/>
                <w:color w:val="2D2D2D"/>
                <w:sz w:val="18"/>
                <w:szCs w:val="18"/>
              </w:rPr>
              <w:t xml:space="preserve"> (riesgo)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1,096</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 — HR &gt; 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 — venv del curso</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Schoenfeld — </w:t>
            </w:r>
            <w:r>
              <w:rPr>
                <w:rFonts w:ascii="Consolas" w:cs="Consolas" w:eastAsia="Consolas" w:hAnsi="Consolas"/>
                <w:b w:val="false"/>
                <w:bCs w:val="false"/>
                <w:color w:val="7A1526"/>
                <w:sz w:val="16"/>
                <w:szCs w:val="16"/>
              </w:rPr>
              <w:t xml:space="preserve">age</w:t>
            </w:r>
            <w:r>
              <w:rPr>
                <w:rFonts w:ascii="Calibri" w:cs="Calibri" w:eastAsia="Calibri" w:hAnsi="Calibri"/>
                <w:b w:val="false"/>
                <w:bCs w:val="false"/>
                <w:color w:val="2D2D2D"/>
                <w:sz w:val="18"/>
                <w:szCs w:val="18"/>
              </w:rPr>
              <w:t xml:space="preserve"> viola PH</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p 0,0007</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p_age</w:t>
            </w:r>
            <w:r>
              <w:rPr>
                <w:rFonts w:ascii="Calibri" w:cs="Calibri" w:eastAsia="Calibri" w:hAnsi="Calibri"/>
                <w:b w:val="false"/>
                <w:bCs w:val="false"/>
                <w:color w:val="2D2D2D"/>
                <w:sz w:val="18"/>
                <w:szCs w:val="18"/>
              </w:rPr>
              <w:t xml:space="preserve"> &lt; 0,01</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 — venv del curso</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KM S(52) por </w:t>
            </w:r>
            <w:r>
              <w:rPr>
                <w:rFonts w:ascii="Consolas" w:cs="Consolas" w:eastAsia="Consolas" w:hAnsi="Consolas"/>
                <w:b w:val="false"/>
                <w:bCs w:val="false"/>
                <w:color w:val="7A1526"/>
                <w:sz w:val="16"/>
                <w:szCs w:val="16"/>
              </w:rPr>
              <w:t xml:space="preserve">fin</w:t>
            </w:r>
            <w:r>
              <w:rPr>
                <w:rFonts w:ascii="Calibri" w:cs="Calibri" w:eastAsia="Calibri" w:hAnsi="Calibri"/>
                <w:b w:val="false"/>
                <w:bCs w:val="false"/>
                <w:color w:val="2D2D2D"/>
                <w:sz w:val="18"/>
                <w:szCs w:val="18"/>
              </w:rPr>
              <w:t xml:space="preserve"> + log-rank</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0,778 &gt; 0,694; p 0,0501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dirección anclada</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 — venv del curso</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w:t>
            </w:r>
            <w:r>
              <w:rPr>
                <w:rFonts w:ascii="Consolas" w:cs="Consolas" w:eastAsia="Consolas" w:hAnsi="Consolas"/>
                <w:b w:val="false"/>
                <w:bCs w:val="false"/>
                <w:color w:val="7A1526"/>
                <w:sz w:val="16"/>
                <w:szCs w:val="16"/>
              </w:rPr>
              <w:t xml:space="preserve">karno</w:t>
            </w:r>
            <w:r>
              <w:rPr>
                <w:rFonts w:ascii="Calibri" w:cs="Calibri" w:eastAsia="Calibri" w:hAnsi="Calibri"/>
                <w:b w:val="false"/>
                <w:bCs w:val="false"/>
                <w:color w:val="2D2D2D"/>
                <w:sz w:val="18"/>
                <w:szCs w:val="18"/>
              </w:rPr>
              <w:t xml:space="preserve"> protector, </w:t>
            </w:r>
            <w:r>
              <w:rPr>
                <w:rFonts w:ascii="Consolas" w:cs="Consolas" w:eastAsia="Consolas" w:hAnsi="Consolas"/>
                <w:b w:val="false"/>
                <w:bCs w:val="false"/>
                <w:color w:val="7A1526"/>
                <w:sz w:val="16"/>
                <w:szCs w:val="16"/>
              </w:rPr>
              <w:t xml:space="preserve">trt</w:t>
            </w:r>
            <w:r>
              <w:rPr>
                <w:rFonts w:ascii="Calibri" w:cs="Calibri" w:eastAsia="Calibri" w:hAnsi="Calibri"/>
                <w:b w:val="false"/>
                <w:bCs w:val="false"/>
                <w:color w:val="2D2D2D"/>
                <w:sz w:val="18"/>
                <w:szCs w:val="18"/>
              </w:rPr>
              <w:t xml:space="preserve"> n.s.</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0,968; p 0,156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dirección/signif. anclada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Veterans</w:t>
            </w:r>
            <w:r>
              <w:rPr>
                <w:rFonts w:ascii="Calibri" w:cs="Calibri" w:eastAsia="Calibri" w:hAnsi="Calibri"/>
                <w:b w:val="false"/>
                <w:bCs w:val="false"/>
                <w:color w:val="2D2D2D"/>
                <w:sz w:val="18"/>
                <w:szCs w:val="18"/>
              </w:rPr>
              <w:t xml:space="preserve"> — venv del curso</w:t>
            </w:r>
          </w:p>
        </w:tc>
      </w:tr>
    </w:tbl>
    <w:p>
      <w:pPr>
        <w:spacing w:after="220"/>
      </w:pPr>
    </w:p>
    <w:p>
      <w:pPr>
        <w:spacing w:line="270"/>
      </w:pPr>
      <w:r>
        <w:rPr>
          <w:rFonts w:ascii="Cambria" w:cs="Cambria" w:eastAsia="Cambria" w:hAnsi="Cambria"/>
          <w:color w:val="2D2D2D"/>
          <w:sz w:val="20"/>
          <w:szCs w:val="20"/>
        </w:rPr>
        <w:t xml:space="preserve">El laboratorio produce el borrador del </w:t>
      </w:r>
      <w:r>
        <w:rPr>
          <w:rFonts w:ascii="Cambria" w:cs="Cambria" w:eastAsia="Cambria" w:hAnsi="Cambria"/>
          <w:b/>
          <w:bCs/>
          <w:color w:val="2D2D2D"/>
          <w:sz w:val="20"/>
          <w:szCs w:val="20"/>
        </w:rPr>
        <w:t xml:space="preserve">entregable evaluable de la S13</w:t>
      </w:r>
      <w:r>
        <w:rPr>
          <w:rFonts w:ascii="Cambria" w:cs="Cambria" w:eastAsia="Cambria" w:hAnsi="Cambria"/>
          <w:color w:val="2D2D2D"/>
          <w:sz w:val="20"/>
          <w:szCs w:val="20"/>
        </w:rPr>
        <w:t xml:space="preserve">: un </w:t>
      </w:r>
      <w:r>
        <w:rPr>
          <w:rFonts w:ascii="Cambria" w:cs="Cambria" w:eastAsia="Cambria" w:hAnsi="Cambria"/>
          <w:b/>
          <w:bCs/>
          <w:color w:val="2D2D2D"/>
          <w:sz w:val="20"/>
          <w:szCs w:val="20"/>
        </w:rPr>
        <w:t xml:space="preserve">análisis de supervivencia de churn</w:t>
      </w:r>
      <w:r>
        <w:rPr>
          <w:rFonts w:ascii="Cambria" w:cs="Cambria" w:eastAsia="Cambria" w:hAnsi="Cambria"/>
          <w:color w:val="2D2D2D"/>
          <w:sz w:val="20"/>
          <w:szCs w:val="20"/>
        </w:rPr>
        <w:t xml:space="preserve"> (curvas KM por segmento + Cox + CLV) con recomendación de retención priorizada. 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las curvas, la tabla de HR con IC, el diagnóstico de PH y el CLV se estructuran con </w:t>
      </w:r>
      <w:r>
        <w:rPr>
          <w:rFonts w:ascii="Consolas" w:cs="Consolas" w:eastAsia="Consolas" w:hAnsi="Consolas"/>
          <w:color w:val="7A1526"/>
          <w:sz w:val="18"/>
          <w:szCs w:val="18"/>
        </w:rPr>
        <w:t xml:space="preserve">plantillas/reporte_supervivencia_clv.docx</w:t>
      </w:r>
      <w:r>
        <w:rPr>
          <w:rFonts w:ascii="Cambria" w:cs="Cambria" w:eastAsia="Cambria" w:hAnsi="Cambria"/>
          <w:color w:val="2D2D2D"/>
          <w:sz w:val="20"/>
          <w:szCs w:val="20"/>
        </w:rPr>
        <w:t xml:space="preserve"> y el diagnóstico de hazards proporcionales con </w:t>
      </w:r>
      <w:r>
        <w:rPr>
          <w:rFonts w:ascii="Consolas" w:cs="Consolas" w:eastAsia="Consolas" w:hAnsi="Consolas"/>
          <w:color w:val="7A1526"/>
          <w:sz w:val="18"/>
          <w:szCs w:val="18"/>
        </w:rPr>
        <w:t xml:space="preserve">plantillas/guia_schoenfeld.docx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 Los tres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de la sesión (interpretar un hazard ratio; comparar dos curvas KM con log-rank; diagnosticar la violación de PH) practican exactamente las destrezas que la rúbrica califica.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La censura como diagnóstico previo:</w:t>
            </w:r>
            <w:r>
              <w:rPr>
                <w:rFonts w:ascii="Cambria" w:cs="Cambria" w:eastAsia="Cambria" w:hAnsi="Cambria"/>
                <w:color w:val="2D2D2D"/>
                <w:sz w:val="19"/>
                <w:szCs w:val="19"/>
              </w:rPr>
              <w:t xml:space="preserve"> antes de modelar cualquier «tiempo hasta el evento» del proyecto (churn, default, renovación) se reconoce que la mayoría de las observaciones están </w:t>
            </w:r>
            <w:r>
              <w:rPr>
                <w:rFonts w:ascii="Cambria" w:cs="Cambria" w:eastAsia="Cambria" w:hAnsi="Cambria"/>
                <w:b/>
                <w:bCs/>
                <w:color w:val="2D2D2D"/>
                <w:sz w:val="19"/>
                <w:szCs w:val="19"/>
              </w:rPr>
              <w:t xml:space="preserve">censuradas</w:t>
            </w:r>
            <w:r>
              <w:rPr>
                <w:rFonts w:ascii="Cambria" w:cs="Cambria" w:eastAsia="Cambria" w:hAnsi="Cambria"/>
                <w:color w:val="2D2D2D"/>
                <w:sz w:val="19"/>
                <w:szCs w:val="19"/>
              </w:rPr>
              <w:t xml:space="preserve"> y se elige un método que las use — no una regresión sobre el tiempo bruto.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El hazard ratio como medida de efecto accionable:</w:t>
            </w:r>
            <w:r>
              <w:rPr>
                <w:rFonts w:ascii="Cambria" w:cs="Cambria" w:eastAsia="Cambria" w:hAnsi="Cambria"/>
                <w:color w:val="2D2D2D"/>
                <w:sz w:val="19"/>
                <w:szCs w:val="19"/>
              </w:rPr>
              <w:t xml:space="preserve"> la Cox cuantifica cómo cada atributo del cliente </w:t>
            </w:r>
            <w:r>
              <w:rPr>
                <w:rFonts w:ascii="Cambria" w:cs="Cambria" w:eastAsia="Cambria" w:hAnsi="Cambria"/>
                <w:b/>
                <w:bCs/>
                <w:color w:val="2D2D2D"/>
                <w:sz w:val="19"/>
                <w:szCs w:val="19"/>
              </w:rPr>
              <w:t xml:space="preserve">multiplica</w:t>
            </w:r>
            <w:r>
              <w:rPr>
                <w:rFonts w:ascii="Cambria" w:cs="Cambria" w:eastAsia="Cambria" w:hAnsi="Cambria"/>
                <w:color w:val="2D2D2D"/>
                <w:sz w:val="19"/>
                <w:szCs w:val="19"/>
              </w:rPr>
              <w:t xml:space="preserve"> el riesgo, y el diagnóstico de PH garantiza que ese HR es interpretable (constante en el tiempo) o se corrige.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El CLV como puente a la decisión financiera:</w:t>
            </w:r>
            <w:r>
              <w:rPr>
                <w:rFonts w:ascii="Cambria" w:cs="Cambria" w:eastAsia="Cambria" w:hAnsi="Cambria"/>
                <w:color w:val="2D2D2D"/>
                <w:sz w:val="19"/>
                <w:szCs w:val="19"/>
              </w:rPr>
              <w:t xml:space="preserve"> la curva de supervivencia se convierte en dinero descontado (</w:t>
            </w:r>
            <w:r>
              <w:rPr>
                <w:rFonts w:ascii="Consolas" w:cs="Consolas" w:eastAsia="Consolas" w:hAnsi="Consolas"/>
                <w:color w:val="7A1526"/>
                <w:sz w:val="17"/>
                <w:szCs w:val="17"/>
              </w:rPr>
              <w:t xml:space="preserve">LTV(72) = Σ_t m·S(t)/(1+d)^t</w:t>
            </w:r>
            <w:r>
              <w:rPr>
                <w:rFonts w:ascii="Cambria" w:cs="Cambria" w:eastAsia="Cambria" w:hAnsi="Cambria"/>
                <w:color w:val="2D2D2D"/>
                <w:sz w:val="19"/>
                <w:szCs w:val="19"/>
              </w:rPr>
              <w:t xml:space="preserve">) y fija el techo de gasto en retención por segmento — el paso del análisis a la recomendación.</w:t>
            </w:r>
          </w:p>
        </w:tc>
      </w:tr>
    </w:tbl>
    <w:p>
      <w:pPr>
        <w:spacing w:after="220"/>
      </w:pPr>
    </w:p>
    <w:p>
      <w:pPr>
        <w:spacing w:after="260" w:line="265"/>
      </w:pPr>
      <w:r>
        <w:rPr>
          <w:rFonts w:ascii="Cambria" w:cs="Cambria" w:eastAsia="Cambria" w:hAnsi="Cambria"/>
          <w:i/>
          <w:iCs/>
          <w:color w:val="6E6E6E"/>
          <w:sz w:val="18"/>
          <w:szCs w:val="18"/>
        </w:rPr>
        <w:t xml:space="preserve">Con esta sesión se </w:t>
      </w:r>
      <w:r>
        <w:rPr>
          <w:rFonts w:ascii="Cambria" w:cs="Cambria" w:eastAsia="Cambria" w:hAnsi="Cambria"/>
          <w:b/>
          <w:bCs/>
          <w:i/>
          <w:iCs/>
          <w:color w:val="6E6E6E"/>
          <w:sz w:val="18"/>
          <w:szCs w:val="18"/>
        </w:rPr>
        <w:t xml:space="preserve">continúa el arco de técnicas especializadas</w:t>
      </w:r>
      <w:r>
        <w:rPr>
          <w:rFonts w:ascii="Cambria" w:cs="Cambria" w:eastAsia="Cambria" w:hAnsi="Cambria"/>
          <w:i/>
          <w:iCs/>
          <w:color w:val="6E6E6E"/>
          <w:sz w:val="18"/>
          <w:szCs w:val="18"/>
        </w:rPr>
        <w:t xml:space="preserve"> de la Unidad 3: el churn y el CLV </w:t>
      </w:r>
      <w:r>
        <w:rPr>
          <w:rFonts w:ascii="Cambria" w:cs="Cambria" w:eastAsia="Cambria" w:hAnsi="Cambria"/>
          <w:b/>
          <w:bCs/>
          <w:i/>
          <w:iCs/>
          <w:color w:val="6E6E6E"/>
          <w:sz w:val="18"/>
          <w:szCs w:val="18"/>
        </w:rPr>
        <w:t xml:space="preserve">conectan</w:t>
      </w:r>
      <w:r>
        <w:rPr>
          <w:rFonts w:ascii="Cambria" w:cs="Cambria" w:eastAsia="Cambria" w:hAnsi="Cambria"/>
          <w:i/>
          <w:iCs/>
          <w:color w:val="6E6E6E"/>
          <w:sz w:val="18"/>
          <w:szCs w:val="18"/>
        </w:rPr>
        <w:t xml:space="preserve"> con la logística de S09 y la causalidad de S12 (tiempo-hasta-evento), siempre con el mismo protocolo — empezar en el paper que fundó la técnica (Cox 1972), replicar su resultado sobre el dataset canónico (Rossi) y recién entonces llevarlo a los datos de la organización (Telco).</w:t>
      </w:r>
    </w:p>
    <w:p>
      <w:pPr>
        <w:keepNext/>
        <w:spacing w:after="110" w:before="240"/>
      </w:pPr>
      <w:r>
        <w:rPr>
          <w:rFonts w:ascii="Calibri" w:cs="Calibri" w:eastAsia="Calibri" w:hAnsi="Calibri"/>
          <w:b/>
          <w:bCs/>
          <w:color w:val="7A1526"/>
          <w:sz w:val="21"/>
          <w:szCs w:val="21"/>
        </w:rPr>
        <w:t xml:space="preserve">4. Checklist final de autoevaluación con los seis targets</w:t>
      </w:r>
    </w:p>
    <w:p>
      <w:pPr>
        <w:spacing w:after="140"/>
      </w:pPr>
      <w:r>
        <w:rPr>
          <w:rFonts w:ascii="Cambria" w:cs="Cambria" w:eastAsia="Cambria" w:hAnsi="Cambria"/>
          <w:i/>
          <w:iCs/>
          <w:color w:val="6E6E6E"/>
          <w:sz w:val="18"/>
          <w:szCs w:val="18"/>
        </w:rPr>
        <w:t xml:space="preserve">Verificación previa a la entrega. Ninguna casilla debe quedar vacía; los seis targets se reprodujeron dentro de tolerancia y se sabe de dónde proviene cada uno.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declararon por escrito los targets </w:t>
            </w:r>
            <w:r>
              <w:rPr>
                <w:rFonts w:ascii="Cambria" w:cs="Cambria" w:eastAsia="Cambria" w:hAnsi="Cambria"/>
                <w:b/>
                <w:bCs/>
                <w:color w:val="2D2D2D"/>
                <w:sz w:val="19"/>
                <w:szCs w:val="19"/>
              </w:rPr>
              <w:t xml:space="preserve">T1-T4</w:t>
            </w:r>
            <w:r>
              <w:rPr>
                <w:rFonts w:ascii="Cambria" w:cs="Cambria" w:eastAsia="Cambria" w:hAnsi="Cambria"/>
                <w:color w:val="2D2D2D"/>
                <w:sz w:val="19"/>
                <w:szCs w:val="19"/>
              </w:rPr>
              <w:t xml:space="preserve"> y su fuente (Cox 1972 / Rossi / venv), y por qué Rossi es el dataset de enseñanza (no la tabla de 1972).</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cargó y verificó </w:t>
            </w:r>
            <w:r>
              <w:rPr>
                <w:rFonts w:ascii="Cambria" w:cs="Cambria" w:eastAsia="Cambria" w:hAnsi="Cambria"/>
                <w:b/>
                <w:bCs/>
                <w:color w:val="2D2D2D"/>
                <w:sz w:val="19"/>
                <w:szCs w:val="19"/>
              </w:rPr>
              <w:t xml:space="preserve">Rossi</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load_rossi</w:t>
            </w:r>
            <w:r>
              <w:rPr>
                <w:rFonts w:ascii="Cambria" w:cs="Cambria" w:eastAsia="Cambria" w:hAnsi="Cambria"/>
                <w:color w:val="2D2D2D"/>
                <w:sz w:val="19"/>
                <w:szCs w:val="19"/>
              </w:rPr>
              <w:t xml:space="preserve">, 432×9, </w:t>
            </w:r>
            <w:r>
              <w:rPr>
                <w:rFonts w:ascii="Cambria" w:cs="Cambria" w:eastAsia="Cambria" w:hAnsi="Cambria"/>
                <w:b/>
                <w:bCs/>
                <w:color w:val="2D2D2D"/>
                <w:sz w:val="19"/>
                <w:szCs w:val="19"/>
              </w:rPr>
              <w:t xml:space="preserve">114 eventos / 318 censurados</w:t>
            </w:r>
            <w:r>
              <w:rPr>
                <w:rFonts w:ascii="Cambria" w:cs="Cambria" w:eastAsia="Cambria" w:hAnsi="Cambria"/>
                <w:color w:val="2D2D2D"/>
                <w:sz w:val="19"/>
                <w:szCs w:val="19"/>
              </w:rPr>
              <w:t xml:space="preserve">) con la fecha de verificación.</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fijó </w:t>
            </w:r>
            <w:r>
              <w:rPr>
                <w:rFonts w:ascii="Consolas" w:cs="Consolas" w:eastAsia="Consolas" w:hAnsi="Consolas"/>
                <w:color w:val="7A1526"/>
                <w:sz w:val="17"/>
                <w:szCs w:val="17"/>
              </w:rPr>
              <w:t xml:space="preserve">duration_col="week", event_col="arrest"</w:t>
            </w:r>
            <w:r>
              <w:rPr>
                <w:rFonts w:ascii="Cambria" w:cs="Cambria" w:eastAsia="Cambria" w:hAnsi="Cambria"/>
                <w:color w:val="2D2D2D"/>
                <w:sz w:val="19"/>
                <w:szCs w:val="19"/>
              </w:rPr>
              <w:t xml:space="preserve"> y se motivó la </w:t>
            </w:r>
            <w:r>
              <w:rPr>
                <w:rFonts w:ascii="Cambria" w:cs="Cambria" w:eastAsia="Cambria" w:hAnsi="Cambria"/>
                <w:b/>
                <w:bCs/>
                <w:color w:val="2D2D2D"/>
                <w:sz w:val="19"/>
                <w:szCs w:val="19"/>
              </w:rPr>
              <w:t xml:space="preserve">censura por la derecha</w:t>
            </w:r>
            <w:r>
              <w:rPr>
                <w:rFonts w:ascii="Cambria" w:cs="Cambria" w:eastAsia="Cambria" w:hAnsi="Cambria"/>
                <w:color w:val="2D2D2D"/>
                <w:sz w:val="19"/>
                <w:szCs w:val="19"/>
              </w:rPr>
              <w:t xml:space="preserve"> (por qué la regresión clásica no sirve).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estimaron las </w:t>
            </w:r>
            <w:r>
              <w:rPr>
                <w:rFonts w:ascii="Cambria" w:cs="Cambria" w:eastAsia="Cambria" w:hAnsi="Cambria"/>
                <w:b/>
                <w:bCs/>
                <w:color w:val="2D2D2D"/>
                <w:sz w:val="19"/>
                <w:szCs w:val="19"/>
              </w:rPr>
              <w:t xml:space="preserve">KM por </w:t>
            </w:r>
            <w:r>
              <w:rPr>
                <w:rFonts w:ascii="Consolas" w:cs="Consolas" w:eastAsia="Consolas" w:hAnsi="Consolas"/>
                <w:b/>
                <w:bCs/>
                <w:color w:val="7A1526"/>
                <w:sz w:val="17"/>
                <w:szCs w:val="17"/>
              </w:rPr>
              <w:t xml:space="preserve">fin</w:t>
            </w:r>
            <w:r>
              <w:rPr>
                <w:rFonts w:ascii="Cambria" w:cs="Cambria" w:eastAsia="Cambria" w:hAnsi="Cambria"/>
                <w:color w:val="2D2D2D"/>
                <w:sz w:val="19"/>
                <w:szCs w:val="19"/>
              </w:rPr>
              <w:t xml:space="preserve"> con </w:t>
            </w:r>
            <w:r>
              <w:rPr>
                <w:rFonts w:ascii="Cambria" w:cs="Cambria" w:eastAsia="Cambria" w:hAnsi="Cambria"/>
                <w:b/>
                <w:bCs/>
                <w:color w:val="2D2D2D"/>
                <w:sz w:val="19"/>
                <w:szCs w:val="19"/>
              </w:rPr>
              <w:t xml:space="preserve">log-rank</w:t>
            </w:r>
            <w:r>
              <w:rPr>
                <w:rFonts w:ascii="Cambria" w:cs="Cambria" w:eastAsia="Cambria" w:hAnsi="Cambria"/>
                <w:color w:val="2D2D2D"/>
                <w:sz w:val="19"/>
                <w:szCs w:val="19"/>
              </w:rPr>
              <w:t xml:space="preserve"> (S(52) 0,694 vs. 0,778, p 0,0501) — </w:t>
            </w:r>
            <w:r>
              <w:rPr>
                <w:rFonts w:ascii="Cambria" w:cs="Cambria" w:eastAsia="Cambria" w:hAnsi="Cambria"/>
                <w:b/>
                <w:bCs/>
                <w:color w:val="2D2D2D"/>
                <w:sz w:val="19"/>
                <w:szCs w:val="19"/>
              </w:rPr>
              <w:t xml:space="preserve">T5, drill 2</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ajustó la </w:t>
            </w:r>
            <w:r>
              <w:rPr>
                <w:rFonts w:ascii="Cambria" w:cs="Cambria" w:eastAsia="Cambria" w:hAnsi="Cambria"/>
                <w:b/>
                <w:bCs/>
                <w:color w:val="2D2D2D"/>
                <w:sz w:val="19"/>
                <w:szCs w:val="19"/>
              </w:rPr>
              <w:t xml:space="preserve">Cox</w:t>
            </w:r>
            <w:r>
              <w:rPr>
                <w:rFonts w:ascii="Cambria" w:cs="Cambria" w:eastAsia="Cambria" w:hAnsi="Cambria"/>
                <w:color w:val="2D2D2D"/>
                <w:sz w:val="19"/>
                <w:szCs w:val="19"/>
              </w:rPr>
              <w:t xml:space="preserve"> de 7 covariables: </w:t>
            </w:r>
            <w:r>
              <w:rPr>
                <w:rFonts w:ascii="Consolas" w:cs="Consolas" w:eastAsia="Consolas" w:hAnsi="Consolas"/>
                <w:b/>
                <w:bCs/>
                <w:color w:val="7A1526"/>
                <w:sz w:val="17"/>
                <w:szCs w:val="17"/>
              </w:rPr>
              <w:t xml:space="preserve">fin</w:t>
            </w:r>
            <w:r>
              <w:rPr>
                <w:rFonts w:ascii="Cambria" w:cs="Cambria" w:eastAsia="Cambria" w:hAnsi="Cambria"/>
                <w:b/>
                <w:bCs/>
                <w:color w:val="2D2D2D"/>
                <w:sz w:val="19"/>
                <w:szCs w:val="19"/>
              </w:rPr>
              <w:t xml:space="preserve"> 0,684 (T1)</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age</w:t>
            </w:r>
            <w:r>
              <w:rPr>
                <w:rFonts w:ascii="Cambria" w:cs="Cambria" w:eastAsia="Cambria" w:hAnsi="Cambria"/>
                <w:b/>
                <w:bCs/>
                <w:color w:val="2D2D2D"/>
                <w:sz w:val="19"/>
                <w:szCs w:val="19"/>
              </w:rPr>
              <w:t xml:space="preserve"> 0,944 (T2)</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prio</w:t>
            </w:r>
            <w:r>
              <w:rPr>
                <w:rFonts w:ascii="Cambria" w:cs="Cambria" w:eastAsia="Cambria" w:hAnsi="Cambria"/>
                <w:b/>
                <w:bCs/>
                <w:color w:val="2D2D2D"/>
                <w:sz w:val="19"/>
                <w:szCs w:val="19"/>
              </w:rPr>
              <w:t xml:space="preserve"> 1,096 (T3)</w:t>
            </w:r>
            <w:r>
              <w:rPr>
                <w:rFonts w:ascii="Cambria" w:cs="Cambria" w:eastAsia="Cambria" w:hAnsi="Cambria"/>
                <w:color w:val="2D2D2D"/>
                <w:sz w:val="19"/>
                <w:szCs w:val="19"/>
              </w:rPr>
              <w:t xml:space="preserve">, concordancia 0,640 (A3), LR 33,27 (A4), LL −658,75 (A5).</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corrió </w:t>
            </w:r>
            <w:r>
              <w:rPr>
                <w:rFonts w:ascii="Cambria" w:cs="Cambria" w:eastAsia="Cambria" w:hAnsi="Cambria"/>
                <w:b/>
                <w:bCs/>
                <w:color w:val="2D2D2D"/>
                <w:sz w:val="19"/>
                <w:szCs w:val="19"/>
              </w:rPr>
              <w:t xml:space="preserve">Schoenfeld</w:t>
            </w:r>
            <w:r>
              <w:rPr>
                <w:rFonts w:ascii="Cambria" w:cs="Cambria" w:eastAsia="Cambria" w:hAnsi="Cambria"/>
                <w:color w:val="2D2D2D"/>
                <w:sz w:val="19"/>
                <w:szCs w:val="19"/>
              </w:rPr>
              <w:t xml:space="preserve"> y se identificó que </w:t>
            </w:r>
            <w:r>
              <w:rPr>
                <w:rFonts w:ascii="Consolas" w:cs="Consolas" w:eastAsia="Consolas" w:hAnsi="Consolas"/>
                <w:b/>
                <w:bCs/>
                <w:color w:val="7A1526"/>
                <w:sz w:val="17"/>
                <w:szCs w:val="17"/>
              </w:rPr>
              <w:t xml:space="preserve">age</w:t>
            </w:r>
            <w:r>
              <w:rPr>
                <w:rFonts w:ascii="Cambria" w:cs="Cambria" w:eastAsia="Cambria" w:hAnsi="Cambria"/>
                <w:b/>
                <w:bCs/>
                <w:color w:val="2D2D2D"/>
                <w:sz w:val="19"/>
                <w:szCs w:val="19"/>
              </w:rPr>
              <w:t xml:space="preserve"> viola PH</w:t>
            </w:r>
            <w:r>
              <w:rPr>
                <w:rFonts w:ascii="Cambria" w:cs="Cambria" w:eastAsia="Cambria" w:hAnsi="Cambria"/>
                <w:color w:val="2D2D2D"/>
                <w:sz w:val="19"/>
                <w:szCs w:val="19"/>
              </w:rPr>
              <w:t xml:space="preserve"> (p 0,0007, </w:t>
            </w:r>
            <w:r>
              <w:rPr>
                <w:rFonts w:ascii="Cambria" w:cs="Cambria" w:eastAsia="Cambria" w:hAnsi="Cambria"/>
                <w:b/>
                <w:bCs/>
                <w:color w:val="2D2D2D"/>
                <w:sz w:val="19"/>
                <w:szCs w:val="19"/>
              </w:rPr>
              <w:t xml:space="preserve">T4</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wexp</w:t>
            </w:r>
            <w:r>
              <w:rPr>
                <w:rFonts w:ascii="Cambria" w:cs="Cambria" w:eastAsia="Cambria" w:hAnsi="Cambria"/>
                <w:color w:val="2D2D2D"/>
                <w:sz w:val="19"/>
                <w:szCs w:val="19"/>
              </w:rPr>
              <w:t xml:space="preserve"> es marginal (0,0068); se propuso la corrección (estratificar / interacción) — </w:t>
            </w:r>
            <w:r>
              <w:rPr>
                <w:rFonts w:ascii="Cambria" w:cs="Cambria" w:eastAsia="Cambria" w:hAnsi="Cambria"/>
                <w:b/>
                <w:bCs/>
                <w:color w:val="2D2D2D"/>
                <w:sz w:val="19"/>
                <w:szCs w:val="19"/>
              </w:rPr>
              <w:t xml:space="preserve">drill 3</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reforzó con </w:t>
            </w:r>
            <w:r>
              <w:rPr>
                <w:rFonts w:ascii="Cambria" w:cs="Cambria" w:eastAsia="Cambria" w:hAnsi="Cambria"/>
                <w:b/>
                <w:bCs/>
                <w:color w:val="2D2D2D"/>
                <w:sz w:val="19"/>
                <w:szCs w:val="19"/>
              </w:rPr>
              <w:t xml:space="preserve">Cox sobre Veterans</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karno</w:t>
            </w:r>
            <w:r>
              <w:rPr>
                <w:rFonts w:ascii="Cambria" w:cs="Cambria" w:eastAsia="Cambria" w:hAnsi="Cambria"/>
                <w:b/>
                <w:bCs/>
                <w:color w:val="2D2D2D"/>
                <w:sz w:val="19"/>
                <w:szCs w:val="19"/>
              </w:rPr>
              <w:t xml:space="preserve"> 0,968 protector, </w:t>
            </w:r>
            <w:r>
              <w:rPr>
                <w:rFonts w:ascii="Consolas" w:cs="Consolas" w:eastAsia="Consolas" w:hAnsi="Consolas"/>
                <w:b/>
                <w:bCs/>
                <w:color w:val="7A1526"/>
                <w:sz w:val="17"/>
                <w:szCs w:val="17"/>
              </w:rPr>
              <w:t xml:space="preserve">trt</w:t>
            </w:r>
            <w:r>
              <w:rPr>
                <w:rFonts w:ascii="Cambria" w:cs="Cambria" w:eastAsia="Cambria" w:hAnsi="Cambria"/>
                <w:b/>
                <w:bCs/>
                <w:color w:val="2D2D2D"/>
                <w:sz w:val="19"/>
                <w:szCs w:val="19"/>
              </w:rPr>
              <w:t xml:space="preserve"> p 0,156 no significativo (T6)</w:t>
            </w:r>
            <w:r>
              <w:rPr>
                <w:rFonts w:ascii="Cambria" w:cs="Cambria" w:eastAsia="Cambria" w:hAnsi="Cambria"/>
                <w:color w:val="2D2D2D"/>
                <w:sz w:val="19"/>
                <w:szCs w:val="19"/>
              </w:rPr>
              <w:t xml:space="preserve">, concordancia 0,736.</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cargó </w:t>
            </w:r>
            <w:r>
              <w:rPr>
                <w:rFonts w:ascii="Cambria" w:cs="Cambria" w:eastAsia="Cambria" w:hAnsi="Cambria"/>
                <w:b/>
                <w:bCs/>
                <w:color w:val="2D2D2D"/>
                <w:sz w:val="19"/>
                <w:szCs w:val="19"/>
              </w:rPr>
              <w:t xml:space="preserve">Telco</w:t>
            </w:r>
            <w:r>
              <w:rPr>
                <w:rFonts w:ascii="Cambria" w:cs="Cambria" w:eastAsia="Cambria" w:hAnsi="Cambria"/>
                <w:color w:val="2D2D2D"/>
                <w:sz w:val="19"/>
                <w:szCs w:val="19"/>
              </w:rPr>
              <w:t xml:space="preserve">, se reconoció </w:t>
            </w:r>
            <w:r>
              <w:rPr>
                <w:rFonts w:ascii="Consolas" w:cs="Consolas" w:eastAsia="Consolas" w:hAnsi="Consolas"/>
                <w:b/>
                <w:bCs/>
                <w:color w:val="7A1526"/>
                <w:sz w:val="17"/>
                <w:szCs w:val="17"/>
              </w:rPr>
              <w:t xml:space="preserve">tenure</w:t>
            </w:r>
            <w:r>
              <w:rPr>
                <w:rFonts w:ascii="Cambria" w:cs="Cambria" w:eastAsia="Cambria" w:hAnsi="Cambria"/>
                <w:b/>
                <w:bCs/>
                <w:color w:val="2D2D2D"/>
                <w:sz w:val="19"/>
                <w:szCs w:val="19"/>
              </w:rPr>
              <w:t xml:space="preserve"> como tiempo censurado</w:t>
            </w:r>
            <w:r>
              <w:rPr>
                <w:rFonts w:ascii="Cambria" w:cs="Cambria" w:eastAsia="Cambria" w:hAnsi="Cambria"/>
                <w:color w:val="2D2D2D"/>
                <w:sz w:val="19"/>
                <w:szCs w:val="19"/>
              </w:rPr>
              <w:t xml:space="preserve">, se estimaron </w:t>
            </w:r>
            <w:r>
              <w:rPr>
                <w:rFonts w:ascii="Cambria" w:cs="Cambria" w:eastAsia="Cambria" w:hAnsi="Cambria"/>
                <w:b/>
                <w:bCs/>
                <w:color w:val="2D2D2D"/>
                <w:sz w:val="19"/>
                <w:szCs w:val="19"/>
              </w:rPr>
              <w:t xml:space="preserve">KM por </w:t>
            </w:r>
            <w:r>
              <w:rPr>
                <w:rFonts w:ascii="Consolas" w:cs="Consolas" w:eastAsia="Consolas" w:hAnsi="Consolas"/>
                <w:b/>
                <w:bCs/>
                <w:color w:val="7A1526"/>
                <w:sz w:val="17"/>
                <w:szCs w:val="17"/>
              </w:rPr>
              <w:t xml:space="preserve">Contract</w:t>
            </w:r>
            <w:r>
              <w:rPr>
                <w:rFonts w:ascii="Cambria" w:cs="Cambria" w:eastAsia="Cambria" w:hAnsi="Cambria"/>
                <w:color w:val="2D2D2D"/>
                <w:sz w:val="19"/>
                <w:szCs w:val="19"/>
              </w:rPr>
              <w:t xml:space="preserve"> (log-rank χ² 2 352,87) y la </w:t>
            </w:r>
            <w:r>
              <w:rPr>
                <w:rFonts w:ascii="Cambria" w:cs="Cambria" w:eastAsia="Cambria" w:hAnsi="Cambria"/>
                <w:b/>
                <w:bCs/>
                <w:color w:val="2D2D2D"/>
                <w:sz w:val="19"/>
                <w:szCs w:val="19"/>
              </w:rPr>
              <w:t xml:space="preserve">Cox tiempo-hasta-churn</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contract_m2m</w:t>
            </w:r>
            <w:r>
              <w:rPr>
                <w:rFonts w:ascii="Cambria" w:cs="Cambria" w:eastAsia="Cambria" w:hAnsi="Cambria"/>
                <w:color w:val="2D2D2D"/>
                <w:sz w:val="19"/>
                <w:szCs w:val="19"/>
              </w:rPr>
              <w:t xml:space="preserve"> HR 15,74; concordancia 0,807).</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calculó el </w:t>
            </w:r>
            <w:r>
              <w:rPr>
                <w:rFonts w:ascii="Cambria" w:cs="Cambria" w:eastAsia="Cambria" w:hAnsi="Cambria"/>
                <w:b/>
                <w:bCs/>
                <w:color w:val="2D2D2D"/>
                <w:sz w:val="19"/>
                <w:szCs w:val="19"/>
              </w:rPr>
              <w:t xml:space="preserve">LTV bruto (ingreso)</w:t>
            </w:r>
            <w:r>
              <w:rPr>
                <w:rFonts w:ascii="Cambria" w:cs="Cambria" w:eastAsia="Cambria" w:hAnsi="Cambria"/>
                <w:color w:val="2D2D2D"/>
                <w:sz w:val="19"/>
                <w:szCs w:val="19"/>
              </w:rPr>
              <w:t xml:space="preserve"> por segmento (mes-a-mes 1 804 muy por debajo de contratos largos ~3 100; el orden fino anual/bianual, 0,28 %, no es lección) y se verificó que la </w:t>
            </w:r>
            <w:r>
              <w:rPr>
                <w:rFonts w:ascii="Cambria" w:cs="Cambria" w:eastAsia="Cambria" w:hAnsi="Cambria"/>
                <w:b/>
                <w:bCs/>
                <w:color w:val="2D2D2D"/>
                <w:sz w:val="19"/>
                <w:szCs w:val="19"/>
              </w:rPr>
              <w:t xml:space="preserve">retención domina el valor</w:t>
            </w:r>
            <w:r>
              <w:rPr>
                <w:rFonts w:ascii="Cambria" w:cs="Cambria" w:eastAsia="Cambria" w:hAnsi="Cambria"/>
                <w:color w:val="2D2D2D"/>
                <w:sz w:val="19"/>
                <w:szCs w:val="19"/>
              </w:rPr>
              <w:t xml:space="preserve"> (motor robusto: retención × margen).</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redactó la </w:t>
            </w:r>
            <w:r>
              <w:rPr>
                <w:rFonts w:ascii="Cambria" w:cs="Cambria" w:eastAsia="Cambria" w:hAnsi="Cambria"/>
                <w:b/>
                <w:bCs/>
                <w:color w:val="2D2D2D"/>
                <w:sz w:val="19"/>
                <w:szCs w:val="19"/>
              </w:rPr>
              <w:t xml:space="preserve">recomendación</w:t>
            </w:r>
            <w:r>
              <w:rPr>
                <w:rFonts w:ascii="Cambria" w:cs="Cambria" w:eastAsia="Cambria" w:hAnsi="Cambria"/>
                <w:color w:val="2D2D2D"/>
                <w:sz w:val="19"/>
                <w:szCs w:val="19"/>
              </w:rPr>
              <w:t xml:space="preserve"> de retención priorizada (migrar mes-a-mes a anual; techo de gasto = diferencial de LTV bruto); todo en </w:t>
            </w:r>
            <w:r>
              <w:rPr>
                <w:rFonts w:ascii="Consolas" w:cs="Consolas" w:eastAsia="Consolas" w:hAnsi="Consolas"/>
                <w:color w:val="7A1526"/>
                <w:sz w:val="17"/>
                <w:szCs w:val="17"/>
              </w:rPr>
              <w:t xml:space="preserve">resultados/S13_resultados.xlsx</w:t>
            </w:r>
            <w:r>
              <w:rPr>
                <w:rFonts w:ascii="Cambria" w:cs="Cambria" w:eastAsia="Cambria" w:hAnsi="Cambria"/>
                <w:color w:val="2D2D2D"/>
                <w:sz w:val="19"/>
                <w:szCs w:val="19"/>
              </w:rPr>
              <w:t xml:space="preserve">.</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13: Análisis de supervivencia (Kaplan-Meier, Cox, CLV)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13</dc:title>
  <dc:creator>UPC</dc:creator>
  <dc:description>Análisis de supervivencia: Kaplan-Meier, Cox y Customer Lifetime Value</dc:description>
  <cp:lastModifiedBy>Un-named</cp:lastModifiedBy>
  <cp:revision>1</cp:revision>
  <dcterms:created xsi:type="dcterms:W3CDTF">2026-09-11T14:14:31.609Z</dcterms:created>
  <dcterms:modified xsi:type="dcterms:W3CDTF">2026-09-11T14:14:31.609Z</dcterms:modified>
</cp:coreProperties>
</file>

<file path=docProps/custom.xml><?xml version="1.0" encoding="utf-8"?>
<Properties xmlns="http://schemas.openxmlformats.org/officeDocument/2006/custom-properties" xmlns:vt="http://schemas.openxmlformats.org/officeDocument/2006/docPropsVTypes"/>
</file>