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200"/>
        <w:ind w:left="113"/>
        <w:shd w:val="clear" w:color="auto" w:fill="E4002B"/>
        <w:pBdr>
          <w:top w:val="single" w:sz="18" w:space="6" w:color="E4002B"/>
          <w:bottom w:val="single" w:sz="18" w:space="6" w:color="E4002B"/>
          <w:left w:val="single" w:sz="18" w:space="6" w:color="E4002B"/>
          <w:right w:val="single" w:sz="18" w:space="6" w:color="E4002B"/>
        </w:pBdr>
      </w:pPr>
      <w:r>
        <w:rPr>
          <w:b/>
          <w:color w:val="FFFFFF"/>
          <w:sz w:val="40"/>
        </w:rPr>
        <w:t>Guía: diagnóstico de hazards proporcionales con residuales de Schoenfeld — un p bajo es MALO</w:t>
      </w:r>
    </w:p>
    <w:p>
      <w:pPr>
        <w:spacing w:before="80" w:after="160" w:line="288" w:lineRule="auto"/>
        <w:ind w:left="85" w:right="85"/>
        <w:shd w:val="clear" w:color="auto" w:fill="F4F4F4"/>
        <w:pBdr>
          <w:left w:val="single" w:sz="24" w:space="10" w:color="E4002B"/>
        </w:pBdr>
      </w:pPr>
      <w:r>
        <w:rPr>
          <w:color w:val="2D2D2D"/>
        </w:rPr>
        <w:t xml:space="preserve">Guía de la Sesión S13 — Herramientas para la Ciencia de Datos (UPC). Explica en una página el </w:t>
      </w:r>
      <w:r>
        <w:rPr>
          <w:b/>
          <w:color w:val="2D2D2D"/>
        </w:rPr>
        <w:t>supuesto de hazards proporcionales (PH)</w:t>
      </w:r>
      <w:r>
        <w:rPr>
          <w:color w:val="2D2D2D"/>
        </w:rPr>
        <w:t xml:space="preserve"> de la regresión de Cox y cómo diagnosticarlo con los </w:t>
      </w:r>
      <w:r>
        <w:rPr>
          <w:b/>
          <w:color w:val="2D2D2D"/>
        </w:rPr>
        <w:t>residuales de Schoenfeld</w:t>
      </w:r>
      <w:r>
        <w:rPr>
          <w:color w:val="2D2D2D"/>
        </w:rPr>
        <w:t xml:space="preserve">: qué asume el modelo y por qué importa en negocio, un </w:t>
      </w:r>
      <w:r>
        <w:rPr>
          <w:b/>
          <w:color w:val="2D2D2D"/>
        </w:rPr>
        <w:t>árbol de decisión</w:t>
      </w:r>
      <w:r>
        <w:rPr>
          <w:color w:val="2D2D2D"/>
        </w:rPr>
        <w:t xml:space="preserve"> para actuar según el p-valor del test, y un </w:t>
      </w:r>
      <w:r>
        <w:rPr>
          <w:b/>
          <w:color w:val="2D2D2D"/>
        </w:rPr>
        <w:t>checklist</w:t>
      </w:r>
      <w:r>
        <w:rPr>
          <w:color w:val="2D2D2D"/>
        </w:rPr>
        <w:t xml:space="preserve">. Usa como ejemplo trabajado la salida sobre </w:t>
      </w:r>
      <w:r>
        <w:rPr>
          <w:b/>
          <w:color w:val="2D2D2D"/>
        </w:rPr>
        <w:t>Rossi</w:t>
      </w:r>
      <w:r>
        <w:rPr>
          <w:color w:val="2D2D2D"/>
        </w:rPr>
        <w:t xml:space="preserve"> (donde </w:t>
      </w:r>
      <w:r>
        <w:rPr>
          <w:rFonts w:ascii="Consolas" w:hAnsi="Consolas"/>
          <w:color w:val="2D2D2D"/>
          <w:sz w:val="19"/>
        </w:rPr>
        <w:t>age</w:t>
      </w:r>
      <w:r>
        <w:rPr>
          <w:color w:val="2D2D2D"/>
        </w:rPr>
        <w:t xml:space="preserve"> viola el supuesto). La lectura clave —contraintuitiva— es que aquí un p </w:t>
      </w:r>
      <w:r>
        <w:rPr>
          <w:b/>
          <w:color w:val="2D2D2D"/>
        </w:rPr>
        <w:t>bajo</w:t>
      </w:r>
      <w:r>
        <w:rPr>
          <w:color w:val="2D2D2D"/>
        </w:rPr>
        <w:t xml:space="preserve"> es </w:t>
      </w:r>
      <w:r>
        <w:rPr>
          <w:b/>
          <w:color w:val="2D2D2D"/>
        </w:rPr>
        <w:t>malo</w:t>
      </w:r>
      <w:r>
        <w:rPr>
          <w:color w:val="2D2D2D"/>
        </w:rPr>
        <w:t xml:space="preserve"> (viola PH), lo </w:t>
      </w:r>
      <w:r>
        <w:rPr>
          <w:b/>
          <w:color w:val="2D2D2D"/>
        </w:rPr>
        <w:t>opuesto</w:t>
      </w:r>
      <w:r>
        <w:rPr>
          <w:color w:val="2D2D2D"/>
        </w:rPr>
        <w:t xml:space="preserve"> a un p bajo en la tabla de Cox. Acompaña al cuaderno </w:t>
      </w:r>
      <w:r>
        <w:rPr>
          <w:rFonts w:ascii="Consolas" w:hAnsi="Consolas"/>
          <w:color w:val="2D2D2D"/>
          <w:sz w:val="19"/>
        </w:rPr>
        <w:t>notebook/S13_supervivencia.ipynb</w:t>
      </w:r>
      <w:r>
        <w:rPr>
          <w:color w:val="2D2D2D"/>
        </w:rPr>
        <w:t xml:space="preserve"> y a la plantilla hermana </w:t>
      </w:r>
      <w:r>
        <w:rPr>
          <w:rFonts w:ascii="Consolas" w:hAnsi="Consolas"/>
          <w:color w:val="2D2D2D"/>
          <w:sz w:val="19"/>
        </w:rPr>
        <w:t>plantillas/reporte_supervivencia_clv.docx</w:t>
      </w:r>
      <w:r>
        <w:rPr>
          <w:color w:val="2D2D2D"/>
        </w:rPr>
        <w:t>. Español impersonal. Fechas DD/MM/YYYY, UTF-8. Términos técnicos en inglés (hazard ratio, hazard, proportional hazards, Schoenfeld residuals).</w:t>
      </w:r>
    </w:p>
    <w:p>
      <w:pPr>
        <w:keepNext/>
        <w:spacing w:before="240" w:after="60"/>
        <w:pBdr>
          <w:bottom w:val="single" w:sz="6" w:space="2" w:color="E4002B"/>
        </w:pBdr>
      </w:pPr>
      <w:r>
        <w:rPr>
          <w:b/>
          <w:color w:val="E4002B"/>
          <w:sz w:val="30"/>
        </w:rPr>
        <w:t>El concepto: qué es PH y por qué importa</w:t>
      </w:r>
    </w:p>
    <w:p>
      <w:pPr>
        <w:jc w:val="both"/>
      </w:pPr>
      <w:r>
        <w:t xml:space="preserve">La regresión de Cox modela el hazard de un cliente como </w:t>
      </w:r>
      <w:r>
        <w:drawing>
          <wp:inline xmlns:a="http://schemas.openxmlformats.org/drawingml/2006/main" xmlns:pic="http://schemas.openxmlformats.org/drawingml/2006/picture">
            <wp:extent cx="1358746" cy="206692"/>
            <wp:docPr id="1" name="Picture 1"/>
            <wp:cNvGraphicFramePr>
              <a:graphicFrameLocks noChangeAspect="1"/>
            </wp:cNvGraphicFramePr>
            <a:graphic>
              <a:graphicData uri="http://schemas.openxmlformats.org/drawingml/2006/picture">
                <pic:pic>
                  <pic:nvPicPr>
                    <pic:cNvPr id="0" name="eq_417b30b833b6.png"/>
                    <pic:cNvPicPr/>
                  </pic:nvPicPr>
                  <pic:blipFill>
                    <a:blip r:embed="rId9"/>
                    <a:stretch>
                      <a:fillRect/>
                    </a:stretch>
                  </pic:blipFill>
                  <pic:spPr>
                    <a:xfrm>
                      <a:off x="0" y="0"/>
                      <a:ext cx="1358746" cy="206692"/>
                    </a:xfrm>
                    <a:prstGeom prst="rect"/>
                  </pic:spPr>
                </pic:pic>
              </a:graphicData>
            </a:graphic>
          </wp:inline>
        </w:drawing>
      </w:r>
      <w:r>
        <w:t xml:space="preserve">. El </w:t>
      </w:r>
      <w:r>
        <w:rPr>
          <w:b/>
        </w:rPr>
        <w:t>supuesto de hazards proporcionales (PH)</w:t>
      </w:r>
      <w:r>
        <w:t xml:space="preserve"> dice que el </w:t>
      </w:r>
      <w:r>
        <w:rPr>
          <w:b/>
        </w:rPr>
        <w:t>hazard ratio de cada covariable es constante en el tiempo</w:t>
      </w:r>
      <w:r>
        <w:t xml:space="preserve">: si un factor multiplica el hazard por 1,5, lo hace </w:t>
      </w:r>
      <w:r>
        <w:rPr>
          <w:b/>
        </w:rPr>
        <w:t>en todo momento</w:t>
      </w:r>
      <w:r>
        <w:t xml:space="preserve">, no 1,5 al principio y 0,9 al final. Gráficamente, las curvas de hazard de dos grupos son </w:t>
      </w:r>
      <w:r>
        <w:rPr>
          <w:b/>
        </w:rPr>
        <w:t>proporcionales</w:t>
      </w:r>
      <w:r>
        <w:t xml:space="preserve"> (no se cruzan). Ese supuesto es lo que permite resumir el efecto de una variable en </w:t>
      </w:r>
      <w:r>
        <w:rPr>
          <w:b/>
        </w:rPr>
        <w:t>un solo</w:t>
      </w:r>
      <w:r>
        <w:t xml:space="preserve"> hazard ratio.</w:t>
      </w:r>
    </w:p>
    <w:p>
      <w:pPr>
        <w:jc w:val="both"/>
      </w:pPr>
      <w:r>
        <w:rPr>
          <w:b/>
        </w:rPr>
        <w:t>Por qué importa en negocio.</w:t>
      </w:r>
      <w:r>
        <w:t xml:space="preserve"> Si el efecto de una variable </w:t>
      </w:r>
      <w:r>
        <w:rPr>
          <w:b/>
        </w:rPr>
        <w:t>cambia con el tiempo</w:t>
      </w:r>
      <w:r>
        <w:t xml:space="preserve"> —por ejemplo, la edad protege más a largo plazo, o un descuento reduce el churn el primer mes pero no después— entonces un HR único es </w:t>
      </w:r>
      <w:r>
        <w:rPr>
          <w:b/>
        </w:rPr>
        <w:t>engañoso</w:t>
      </w:r>
      <w:r>
        <w:t xml:space="preserve">: mezcla un efecto fuerte temprano con uno débil tardío en un promedio que no describe ninguno de los dos. Reportar ese HR lleva a decisiones erróneas sobre </w:t>
      </w:r>
      <w:r>
        <w:rPr>
          <w:b/>
        </w:rPr>
        <w:t>qué segmento vigilar y cuándo</w:t>
      </w:r>
      <w:r>
        <w:t>. Detectar la violación permite corregirla y dar una recomendación que respeta la ventana temporal real del riesgo.</w:t>
      </w:r>
    </w:p>
    <w:p>
      <w:pPr>
        <w:jc w:val="both"/>
      </w:pPr>
      <w:r>
        <w:rPr>
          <w:b/>
        </w:rPr>
        <w:t>Cómo se diagnostica.</w:t>
      </w:r>
      <w:r>
        <w:t xml:space="preserve"> Los </w:t>
      </w:r>
      <w:r>
        <w:rPr>
          <w:b/>
        </w:rPr>
        <w:t>residuales de Schoenfeld</w:t>
      </w:r>
      <w:r>
        <w:t xml:space="preserve"> son, para cada evento y cada covariable, la diferencia entre el valor observado de la covariable y el esperado bajo el modelo. Si el supuesto se cumple, esos residuales </w:t>
      </w:r>
      <w:r>
        <w:rPr>
          <w:b/>
        </w:rPr>
        <w:t>no tienen tendencia</w:t>
      </w:r>
      <w:r>
        <w:t xml:space="preserve"> con el tiempo (su correlación con </w:t>
      </w:r>
      <w:r>
        <w:rPr>
          <w:rFonts w:ascii="Consolas" w:hAnsi="Consolas"/>
          <w:color w:val="9B1B30"/>
          <w:sz w:val="19"/>
        </w:rPr>
        <w:t>t</w:t>
      </w:r>
      <w:r>
        <w:t xml:space="preserve"> o con su rango es ≈ 0). Si </w:t>
      </w:r>
      <w:r>
        <w:rPr>
          <w:b/>
        </w:rPr>
        <w:t>muestran tendencia</w:t>
      </w:r>
      <w:r>
        <w:t xml:space="preserve">, el efecto de esa covariable cambia con el tiempo → viola PH. En </w:t>
      </w:r>
      <w:r>
        <w:rPr>
          <w:rFonts w:ascii="Consolas" w:hAnsi="Consolas"/>
          <w:color w:val="9B1B30"/>
          <w:sz w:val="19"/>
        </w:rPr>
        <w:t>lifelines</w:t>
      </w:r>
      <w:r>
        <w:t xml:space="preserve">, </w:t>
      </w:r>
      <w:r>
        <w:rPr>
          <w:rFonts w:ascii="Consolas" w:hAnsi="Consolas"/>
          <w:color w:val="9B1B30"/>
          <w:sz w:val="19"/>
        </w:rPr>
        <w:t>proportional_hazard_test</w:t>
      </w:r>
      <w:r>
        <w:t xml:space="preserve"> (o </w:t>
      </w:r>
      <w:r>
        <w:rPr>
          <w:rFonts w:ascii="Consolas" w:hAnsi="Consolas"/>
          <w:color w:val="9B1B30"/>
          <w:sz w:val="19"/>
        </w:rPr>
        <w:t>cph.check_assumptions</w:t>
      </w:r>
      <w:r>
        <w:t xml:space="preserve">) devuelve un </w:t>
      </w:r>
      <w:r>
        <w:rPr>
          <w:rFonts w:ascii="Consolas" w:hAnsi="Consolas"/>
          <w:color w:val="9B1B30"/>
          <w:sz w:val="19"/>
        </w:rPr>
        <w:t>test_statistic</w:t>
      </w:r>
      <w:r>
        <w:t xml:space="preserve"> (χ²) y un </w:t>
      </w:r>
      <w:r>
        <w:rPr>
          <w:b/>
        </w:rPr>
        <w:t>p-valor por covariable</w:t>
      </w:r>
      <w:r>
        <w:t xml:space="preserve"> más un test global.</w:t>
      </w:r>
    </w:p>
    <w:p>
      <w:pPr>
        <w:spacing w:before="80" w:after="160" w:line="288" w:lineRule="auto"/>
        <w:ind w:left="85" w:right="85"/>
        <w:shd w:val="clear" w:color="auto" w:fill="F4F4F4"/>
        <w:pBdr>
          <w:left w:val="single" w:sz="24" w:space="10" w:color="E4002B"/>
        </w:pBdr>
      </w:pPr>
      <w:r>
        <w:rPr>
          <w:b/>
          <w:color w:val="2D2D2D"/>
        </w:rPr>
        <w:t>La lectura clave (no confundir).</w:t>
      </w:r>
      <w:r>
        <w:rPr>
          <w:color w:val="2D2D2D"/>
        </w:rPr>
        <w:t xml:space="preserve"> Aquí un p </w:t>
      </w:r>
      <w:r>
        <w:rPr>
          <w:b/>
          <w:color w:val="2D2D2D"/>
        </w:rPr>
        <w:t>bajo</w:t>
      </w:r>
      <w:r>
        <w:rPr>
          <w:color w:val="2D2D2D"/>
        </w:rPr>
        <w:t xml:space="preserve"> (&lt; 0,05) es </w:t>
      </w:r>
      <w:r>
        <w:rPr>
          <w:b/>
          <w:color w:val="2D2D2D"/>
        </w:rPr>
        <w:t>MALO</w:t>
      </w:r>
      <w:r>
        <w:rPr>
          <w:color w:val="2D2D2D"/>
        </w:rPr>
        <w:t xml:space="preserve">: significa que la covariable </w:t>
      </w:r>
      <w:r>
        <w:rPr>
          <w:b/>
          <w:color w:val="2D2D2D"/>
        </w:rPr>
        <w:t>viola</w:t>
      </w:r>
      <w:r>
        <w:rPr>
          <w:color w:val="2D2D2D"/>
        </w:rPr>
        <w:t xml:space="preserve"> el supuesto de PH. Es </w:t>
      </w:r>
      <w:r>
        <w:rPr>
          <w:b/>
          <w:color w:val="2D2D2D"/>
        </w:rPr>
        <w:t>lo opuesto</w:t>
      </w:r>
      <w:r>
        <w:rPr>
          <w:color w:val="2D2D2D"/>
        </w:rPr>
        <w:t xml:space="preserve"> a la tabla de Cox, donde un p bajo es </w:t>
      </w:r>
      <w:r>
        <w:rPr>
          <w:b/>
          <w:color w:val="2D2D2D"/>
        </w:rPr>
        <w:t>bueno</w:t>
      </w:r>
      <w:r>
        <w:rPr>
          <w:color w:val="2D2D2D"/>
        </w:rPr>
        <w:t xml:space="preserve"> (la covariable es significativa). Son dos pruebas con lecturas invertidas: en Cox se </w:t>
      </w:r>
      <w:r>
        <w:rPr>
          <w:b/>
          <w:color w:val="2D2D2D"/>
        </w:rPr>
        <w:t>desea</w:t>
      </w:r>
      <w:r>
        <w:rPr>
          <w:color w:val="2D2D2D"/>
        </w:rPr>
        <w:t xml:space="preserve"> p bajo (efecto real); en Schoenfeld se </w:t>
      </w:r>
      <w:r>
        <w:rPr>
          <w:b/>
          <w:color w:val="2D2D2D"/>
        </w:rPr>
        <w:t>desea</w:t>
      </w:r>
      <w:r>
        <w:rPr>
          <w:color w:val="2D2D2D"/>
        </w:rPr>
        <w:t xml:space="preserve"> p alto (efecto constante en el tiempo).</w:t>
      </w:r>
    </w:p>
    <w:p>
      <w:pPr>
        <w:keepNext/>
        <w:spacing w:before="240" w:after="60"/>
        <w:pBdr>
          <w:bottom w:val="single" w:sz="6" w:space="2" w:color="E4002B"/>
        </w:pBdr>
      </w:pPr>
      <w:r>
        <w:rPr>
          <w:b/>
          <w:color w:val="E4002B"/>
          <w:sz w:val="30"/>
        </w:rPr>
        <w:t>Ejemplo trabajado — Schoenfeld sobre Rossi</w:t>
      </w:r>
    </w:p>
    <w:p>
      <w:pPr>
        <w:jc w:val="both"/>
      </w:pPr>
      <w:r>
        <w:t xml:space="preserve">Sobre la regresión de Cox de Rossi (7 covariables; duración </w:t>
      </w:r>
      <w:r>
        <w:rPr>
          <w:rFonts w:ascii="Consolas" w:hAnsi="Consolas"/>
          <w:color w:val="9B1B30"/>
          <w:sz w:val="19"/>
        </w:rPr>
        <w:t>week</w:t>
      </w:r>
      <w:r>
        <w:t xml:space="preserve">, evento </w:t>
      </w:r>
      <w:r>
        <w:rPr>
          <w:rFonts w:ascii="Consolas" w:hAnsi="Consolas"/>
          <w:color w:val="9B1B30"/>
          <w:sz w:val="19"/>
        </w:rPr>
        <w:t>arrest</w:t>
      </w:r>
      <w:r>
        <w:t xml:space="preserve">), </w:t>
      </w:r>
      <w:r>
        <w:rPr>
          <w:rFonts w:ascii="Consolas" w:hAnsi="Consolas"/>
          <w:color w:val="9B1B30"/>
          <w:sz w:val="19"/>
        </w:rPr>
        <w:t>proportional_hazard_test</w:t>
      </w:r>
      <w:r>
        <w:t xml:space="preserve"> con </w:t>
      </w:r>
      <w:r>
        <w:rPr>
          <w:rFonts w:ascii="Consolas" w:hAnsi="Consolas"/>
          <w:color w:val="9B1B30"/>
          <w:sz w:val="19"/>
        </w:rPr>
        <w:t>time_transform="rank"</w:t>
      </w:r>
      <w:r>
        <w:t xml:space="preserve"> da (operativo del venv, lifelines 0.30.3):</w:t>
      </w:r>
    </w:p>
    <w:tbl>
      <w:tblPr>
        <w:tblStyle w:val="TableGrid"/>
        <w:tblW w:type="auto" w:w="0"/>
        <w:tblLayout w:type="autofit"/>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Pr>
      <w:tblGrid>
        <w:gridCol w:w="2436"/>
        <w:gridCol w:w="2436"/>
        <w:gridCol w:w="2436"/>
        <w:gridCol w:w="2436"/>
      </w:tblGrid>
      <w:tr>
        <w:tc>
          <w:tcPr>
            <w:tcW w:type="dxa" w:w="2436"/>
            <w:tcMar>
              <w:top w:w="60" w:type="dxa"/>
              <w:bottom w:w="60" w:type="dxa"/>
              <w:start w:w="110" w:type="dxa"/>
              <w:end w:w="110" w:type="dxa"/>
            </w:tcMar>
            <w:vAlign w:val="center"/>
            <w:shd w:val="clear" w:color="auto" w:fill="E4002B"/>
          </w:tcPr>
          <w:p>
            <w:pPr>
              <w:spacing w:after="0"/>
            </w:pPr>
            <w:r/>
            <w:r>
              <w:rPr>
                <w:b/>
                <w:color w:val="FFFFFF"/>
                <w:sz w:val="19"/>
              </w:rPr>
              <w:t>Covariable</w:t>
            </w:r>
          </w:p>
        </w:tc>
        <w:tc>
          <w:tcPr>
            <w:tcW w:type="dxa" w:w="2436"/>
            <w:tcMar>
              <w:top w:w="60" w:type="dxa"/>
              <w:bottom w:w="60" w:type="dxa"/>
              <w:start w:w="110" w:type="dxa"/>
              <w:end w:w="110" w:type="dxa"/>
            </w:tcMar>
            <w:vAlign w:val="center"/>
            <w:shd w:val="clear" w:color="auto" w:fill="E4002B"/>
          </w:tcPr>
          <w:p>
            <w:pPr>
              <w:spacing w:after="0"/>
            </w:pPr>
            <w:r/>
            <w:r>
              <w:rPr>
                <w:b/>
                <w:color w:val="FFFFFF"/>
                <w:sz w:val="19"/>
              </w:rPr>
              <w:t>test_statistic (χ²)</w:t>
            </w:r>
          </w:p>
        </w:tc>
        <w:tc>
          <w:tcPr>
            <w:tcW w:type="dxa" w:w="2436"/>
            <w:tcMar>
              <w:top w:w="60" w:type="dxa"/>
              <w:bottom w:w="60" w:type="dxa"/>
              <w:start w:w="110" w:type="dxa"/>
              <w:end w:w="110" w:type="dxa"/>
            </w:tcMar>
            <w:vAlign w:val="center"/>
            <w:shd w:val="clear" w:color="auto" w:fill="E4002B"/>
          </w:tcPr>
          <w:p>
            <w:pPr>
              <w:spacing w:after="0"/>
            </w:pPr>
            <w:r/>
            <w:r>
              <w:rPr>
                <w:b/>
                <w:color w:val="FFFFFF"/>
                <w:sz w:val="19"/>
              </w:rPr>
              <w:t>p</w:t>
            </w:r>
          </w:p>
        </w:tc>
        <w:tc>
          <w:tcPr>
            <w:tcW w:type="dxa" w:w="2436"/>
            <w:tcMar>
              <w:top w:w="60" w:type="dxa"/>
              <w:bottom w:w="60" w:type="dxa"/>
              <w:start w:w="110" w:type="dxa"/>
              <w:end w:w="110" w:type="dxa"/>
            </w:tcMar>
            <w:vAlign w:val="center"/>
            <w:shd w:val="clear" w:color="auto" w:fill="E4002B"/>
          </w:tcPr>
          <w:p>
            <w:pPr>
              <w:spacing w:after="0"/>
            </w:pPr>
            <w:r/>
            <w:r>
              <w:rPr>
                <w:b/>
                <w:color w:val="FFFFFF"/>
                <w:sz w:val="19"/>
              </w:rPr>
              <w:t>Veredicto</w:t>
            </w:r>
          </w:p>
        </w:tc>
      </w:tr>
      <w:tr>
        <w:tc>
          <w:tcPr>
            <w:tcW w:type="dxa" w:w="2436"/>
            <w:tcMar>
              <w:top w:w="60" w:type="dxa"/>
              <w:bottom w:w="60" w:type="dxa"/>
              <w:start w:w="110" w:type="dxa"/>
              <w:end w:w="110" w:type="dxa"/>
            </w:tcMar>
            <w:vAlign w:val="center"/>
          </w:tcPr>
          <w:p>
            <w:pPr>
              <w:spacing w:after="0"/>
            </w:pPr>
            <w:r>
              <w:rPr>
                <w:sz w:val="19"/>
              </w:rPr>
            </w:r>
            <w:r>
              <w:rPr>
                <w:b/>
                <w:sz w:val="19"/>
              </w:rPr>
              <w:t>`age`</w:t>
            </w:r>
          </w:p>
        </w:tc>
        <w:tc>
          <w:tcPr>
            <w:tcW w:type="dxa" w:w="2436"/>
            <w:tcMar>
              <w:top w:w="60" w:type="dxa"/>
              <w:bottom w:w="60" w:type="dxa"/>
              <w:start w:w="110" w:type="dxa"/>
              <w:end w:w="110" w:type="dxa"/>
            </w:tcMar>
            <w:vAlign w:val="center"/>
          </w:tcPr>
          <w:p>
            <w:pPr>
              <w:spacing w:after="0"/>
            </w:pPr>
            <w:r>
              <w:rPr>
                <w:sz w:val="19"/>
              </w:rPr>
            </w:r>
            <w:r>
              <w:rPr>
                <w:b/>
                <w:sz w:val="19"/>
              </w:rPr>
              <w:t>11,45</w:t>
            </w:r>
          </w:p>
        </w:tc>
        <w:tc>
          <w:tcPr>
            <w:tcW w:type="dxa" w:w="2436"/>
            <w:tcMar>
              <w:top w:w="60" w:type="dxa"/>
              <w:bottom w:w="60" w:type="dxa"/>
              <w:start w:w="110" w:type="dxa"/>
              <w:end w:w="110" w:type="dxa"/>
            </w:tcMar>
            <w:vAlign w:val="center"/>
          </w:tcPr>
          <w:p>
            <w:pPr>
              <w:spacing w:after="0"/>
            </w:pPr>
            <w:r>
              <w:rPr>
                <w:sz w:val="19"/>
              </w:rPr>
            </w:r>
            <w:r>
              <w:rPr>
                <w:b/>
                <w:sz w:val="19"/>
              </w:rPr>
              <w:t>0,0007</w:t>
            </w:r>
          </w:p>
        </w:tc>
        <w:tc>
          <w:tcPr>
            <w:tcW w:type="dxa" w:w="2436"/>
            <w:tcMar>
              <w:top w:w="60" w:type="dxa"/>
              <w:bottom w:w="60" w:type="dxa"/>
              <w:start w:w="110" w:type="dxa"/>
              <w:end w:w="110" w:type="dxa"/>
            </w:tcMar>
            <w:vAlign w:val="center"/>
          </w:tcPr>
          <w:p>
            <w:pPr>
              <w:spacing w:after="0"/>
            </w:pPr>
            <w:r>
              <w:rPr>
                <w:sz w:val="19"/>
              </w:rPr>
            </w:r>
            <w:r>
              <w:rPr>
                <w:b/>
                <w:sz w:val="19"/>
              </w:rPr>
              <w:t>VIOLA PH</w:t>
            </w:r>
            <w:r>
              <w:rPr>
                <w:sz w:val="19"/>
              </w:rPr>
              <w:t xml:space="preserve"> (p &lt; 0,01): su efecto cambia con el tiempo</w:t>
            </w:r>
          </w:p>
        </w:tc>
      </w:tr>
      <w:tr>
        <w:tc>
          <w:tcPr>
            <w:tcW w:type="dxa" w:w="2436"/>
            <w:tcMar>
              <w:top w:w="60" w:type="dxa"/>
              <w:bottom w:w="60" w:type="dxa"/>
              <w:start w:w="110" w:type="dxa"/>
              <w:end w:w="110" w:type="dxa"/>
            </w:tcMar>
            <w:vAlign w:val="center"/>
            <w:shd w:val="clear" w:color="auto" w:fill="FCEDEE"/>
          </w:tcPr>
          <w:p>
            <w:pPr>
              <w:spacing w:after="0"/>
            </w:pPr>
            <w:r>
              <w:rPr>
                <w:sz w:val="19"/>
              </w:rPr>
            </w:r>
            <w:r>
              <w:rPr>
                <w:rFonts w:ascii="Consolas" w:hAnsi="Consolas"/>
                <w:color w:val="9B1B30"/>
                <w:sz w:val="19"/>
              </w:rPr>
              <w:t>wexp</w:t>
            </w:r>
          </w:p>
        </w:tc>
        <w:tc>
          <w:tcPr>
            <w:tcW w:type="dxa" w:w="2436"/>
            <w:tcMar>
              <w:top w:w="60" w:type="dxa"/>
              <w:bottom w:w="60" w:type="dxa"/>
              <w:start w:w="110" w:type="dxa"/>
              <w:end w:w="110" w:type="dxa"/>
            </w:tcMar>
            <w:vAlign w:val="center"/>
            <w:shd w:val="clear" w:color="auto" w:fill="FCEDEE"/>
          </w:tcPr>
          <w:p>
            <w:pPr>
              <w:spacing w:after="0"/>
            </w:pPr>
            <w:r>
              <w:rPr>
                <w:sz w:val="19"/>
              </w:rPr>
            </w:r>
            <w:r>
              <w:rPr>
                <w:sz w:val="19"/>
              </w:rPr>
              <w:t>7,31</w:t>
            </w:r>
          </w:p>
        </w:tc>
        <w:tc>
          <w:tcPr>
            <w:tcW w:type="dxa" w:w="2436"/>
            <w:tcMar>
              <w:top w:w="60" w:type="dxa"/>
              <w:bottom w:w="60" w:type="dxa"/>
              <w:start w:w="110" w:type="dxa"/>
              <w:end w:w="110" w:type="dxa"/>
            </w:tcMar>
            <w:vAlign w:val="center"/>
            <w:shd w:val="clear" w:color="auto" w:fill="FCEDEE"/>
          </w:tcPr>
          <w:p>
            <w:pPr>
              <w:spacing w:after="0"/>
            </w:pPr>
            <w:r>
              <w:rPr>
                <w:sz w:val="19"/>
              </w:rPr>
            </w:r>
            <w:r>
              <w:rPr>
                <w:sz w:val="19"/>
              </w:rPr>
              <w:t>0,0068</w:t>
            </w:r>
          </w:p>
        </w:tc>
        <w:tc>
          <w:tcPr>
            <w:tcW w:type="dxa" w:w="2436"/>
            <w:tcMar>
              <w:top w:w="60" w:type="dxa"/>
              <w:bottom w:w="60" w:type="dxa"/>
              <w:start w:w="110" w:type="dxa"/>
              <w:end w:w="110" w:type="dxa"/>
            </w:tcMar>
            <w:vAlign w:val="center"/>
            <w:shd w:val="clear" w:color="auto" w:fill="FCEDEE"/>
          </w:tcPr>
          <w:p>
            <w:pPr>
              <w:spacing w:after="0"/>
            </w:pPr>
            <w:r>
              <w:rPr>
                <w:sz w:val="19"/>
              </w:rPr>
            </w:r>
            <w:r>
              <w:rPr>
                <w:b/>
                <w:sz w:val="19"/>
              </w:rPr>
              <w:t>VIOLA PH (marginal)</w:t>
            </w:r>
            <w:r>
              <w:rPr>
                <w:sz w:val="19"/>
              </w:rPr>
              <w:t>: p = 0,0068 &lt; 0,05 (violación leve; vigilar y corregir)</w:t>
            </w:r>
          </w:p>
        </w:tc>
      </w:tr>
      <w:tr>
        <w:tc>
          <w:tcPr>
            <w:tcW w:type="dxa" w:w="2436"/>
            <w:tcMar>
              <w:top w:w="60" w:type="dxa"/>
              <w:bottom w:w="60" w:type="dxa"/>
              <w:start w:w="110" w:type="dxa"/>
              <w:end w:w="110" w:type="dxa"/>
            </w:tcMar>
            <w:vAlign w:val="center"/>
          </w:tcPr>
          <w:p>
            <w:pPr>
              <w:spacing w:after="0"/>
            </w:pPr>
            <w:r>
              <w:rPr>
                <w:sz w:val="19"/>
              </w:rPr>
            </w:r>
            <w:r>
              <w:rPr>
                <w:rFonts w:ascii="Consolas" w:hAnsi="Consolas"/>
                <w:color w:val="9B1B30"/>
                <w:sz w:val="19"/>
              </w:rPr>
              <w:t>race</w:t>
            </w:r>
          </w:p>
        </w:tc>
        <w:tc>
          <w:tcPr>
            <w:tcW w:type="dxa" w:w="2436"/>
            <w:tcMar>
              <w:top w:w="60" w:type="dxa"/>
              <w:bottom w:w="60" w:type="dxa"/>
              <w:start w:w="110" w:type="dxa"/>
              <w:end w:w="110" w:type="dxa"/>
            </w:tcMar>
            <w:vAlign w:val="center"/>
          </w:tcPr>
          <w:p>
            <w:pPr>
              <w:spacing w:after="0"/>
            </w:pPr>
            <w:r>
              <w:rPr>
                <w:sz w:val="19"/>
              </w:rPr>
            </w:r>
            <w:r>
              <w:rPr>
                <w:sz w:val="19"/>
              </w:rPr>
              <w:t>1,43</w:t>
            </w:r>
          </w:p>
        </w:tc>
        <w:tc>
          <w:tcPr>
            <w:tcW w:type="dxa" w:w="2436"/>
            <w:tcMar>
              <w:top w:w="60" w:type="dxa"/>
              <w:bottom w:w="60" w:type="dxa"/>
              <w:start w:w="110" w:type="dxa"/>
              <w:end w:w="110" w:type="dxa"/>
            </w:tcMar>
            <w:vAlign w:val="center"/>
          </w:tcPr>
          <w:p>
            <w:pPr>
              <w:spacing w:after="0"/>
            </w:pPr>
            <w:r>
              <w:rPr>
                <w:sz w:val="19"/>
              </w:rPr>
            </w:r>
            <w:r>
              <w:rPr>
                <w:sz w:val="19"/>
              </w:rPr>
              <w:t>0,232</w:t>
            </w:r>
          </w:p>
        </w:tc>
        <w:tc>
          <w:tcPr>
            <w:tcW w:type="dxa" w:w="2436"/>
            <w:tcMar>
              <w:top w:w="60" w:type="dxa"/>
              <w:bottom w:w="60" w:type="dxa"/>
              <w:start w:w="110" w:type="dxa"/>
              <w:end w:w="110" w:type="dxa"/>
            </w:tcMar>
            <w:vAlign w:val="center"/>
          </w:tcPr>
          <w:p>
            <w:pPr>
              <w:spacing w:after="0"/>
            </w:pPr>
            <w:r>
              <w:rPr>
                <w:sz w:val="19"/>
              </w:rPr>
            </w:r>
            <w:r>
              <w:rPr>
                <w:sz w:val="19"/>
              </w:rPr>
              <w:t>cumple PH</w:t>
            </w:r>
          </w:p>
        </w:tc>
      </w:tr>
      <w:tr>
        <w:tc>
          <w:tcPr>
            <w:tcW w:type="dxa" w:w="2436"/>
            <w:tcMar>
              <w:top w:w="60" w:type="dxa"/>
              <w:bottom w:w="60" w:type="dxa"/>
              <w:start w:w="110" w:type="dxa"/>
              <w:end w:w="110" w:type="dxa"/>
            </w:tcMar>
            <w:vAlign w:val="center"/>
            <w:shd w:val="clear" w:color="auto" w:fill="FCEDEE"/>
          </w:tcPr>
          <w:p>
            <w:pPr>
              <w:spacing w:after="0"/>
            </w:pPr>
            <w:r>
              <w:rPr>
                <w:sz w:val="19"/>
              </w:rPr>
            </w:r>
            <w:r>
              <w:rPr>
                <w:rFonts w:ascii="Consolas" w:hAnsi="Consolas"/>
                <w:color w:val="9B1B30"/>
                <w:sz w:val="19"/>
              </w:rPr>
              <w:t>mar</w:t>
            </w:r>
          </w:p>
        </w:tc>
        <w:tc>
          <w:tcPr>
            <w:tcW w:type="dxa" w:w="2436"/>
            <w:tcMar>
              <w:top w:w="60" w:type="dxa"/>
              <w:bottom w:w="60" w:type="dxa"/>
              <w:start w:w="110" w:type="dxa"/>
              <w:end w:w="110" w:type="dxa"/>
            </w:tcMar>
            <w:vAlign w:val="center"/>
            <w:shd w:val="clear" w:color="auto" w:fill="FCEDEE"/>
          </w:tcPr>
          <w:p>
            <w:pPr>
              <w:spacing w:after="0"/>
            </w:pPr>
            <w:r>
              <w:rPr>
                <w:sz w:val="19"/>
              </w:rPr>
            </w:r>
            <w:r>
              <w:rPr>
                <w:sz w:val="19"/>
              </w:rPr>
              <w:t>0,71</w:t>
            </w:r>
          </w:p>
        </w:tc>
        <w:tc>
          <w:tcPr>
            <w:tcW w:type="dxa" w:w="2436"/>
            <w:tcMar>
              <w:top w:w="60" w:type="dxa"/>
              <w:bottom w:w="60" w:type="dxa"/>
              <w:start w:w="110" w:type="dxa"/>
              <w:end w:w="110" w:type="dxa"/>
            </w:tcMar>
            <w:vAlign w:val="center"/>
            <w:shd w:val="clear" w:color="auto" w:fill="FCEDEE"/>
          </w:tcPr>
          <w:p>
            <w:pPr>
              <w:spacing w:after="0"/>
            </w:pPr>
            <w:r>
              <w:rPr>
                <w:sz w:val="19"/>
              </w:rPr>
            </w:r>
            <w:r>
              <w:rPr>
                <w:sz w:val="19"/>
              </w:rPr>
              <w:t>0,400</w:t>
            </w:r>
          </w:p>
        </w:tc>
        <w:tc>
          <w:tcPr>
            <w:tcW w:type="dxa" w:w="2436"/>
            <w:tcMar>
              <w:top w:w="60" w:type="dxa"/>
              <w:bottom w:w="60" w:type="dxa"/>
              <w:start w:w="110" w:type="dxa"/>
              <w:end w:w="110" w:type="dxa"/>
            </w:tcMar>
            <w:vAlign w:val="center"/>
            <w:shd w:val="clear" w:color="auto" w:fill="FCEDEE"/>
          </w:tcPr>
          <w:p>
            <w:pPr>
              <w:spacing w:after="0"/>
            </w:pPr>
            <w:r>
              <w:rPr>
                <w:sz w:val="19"/>
              </w:rPr>
            </w:r>
            <w:r>
              <w:rPr>
                <w:sz w:val="19"/>
              </w:rPr>
              <w:t>cumple PH</w:t>
            </w:r>
          </w:p>
        </w:tc>
      </w:tr>
      <w:tr>
        <w:tc>
          <w:tcPr>
            <w:tcW w:type="dxa" w:w="2436"/>
            <w:tcMar>
              <w:top w:w="60" w:type="dxa"/>
              <w:bottom w:w="60" w:type="dxa"/>
              <w:start w:w="110" w:type="dxa"/>
              <w:end w:w="110" w:type="dxa"/>
            </w:tcMar>
            <w:vAlign w:val="center"/>
          </w:tcPr>
          <w:p>
            <w:pPr>
              <w:spacing w:after="0"/>
            </w:pPr>
            <w:r>
              <w:rPr>
                <w:sz w:val="19"/>
              </w:rPr>
            </w:r>
            <w:r>
              <w:rPr>
                <w:rFonts w:ascii="Consolas" w:hAnsi="Consolas"/>
                <w:color w:val="9B1B30"/>
                <w:sz w:val="19"/>
              </w:rPr>
              <w:t>paro</w:t>
            </w:r>
          </w:p>
        </w:tc>
        <w:tc>
          <w:tcPr>
            <w:tcW w:type="dxa" w:w="2436"/>
            <w:tcMar>
              <w:top w:w="60" w:type="dxa"/>
              <w:bottom w:w="60" w:type="dxa"/>
              <w:start w:w="110" w:type="dxa"/>
              <w:end w:w="110" w:type="dxa"/>
            </w:tcMar>
            <w:vAlign w:val="center"/>
          </w:tcPr>
          <w:p>
            <w:pPr>
              <w:spacing w:after="0"/>
            </w:pPr>
            <w:r>
              <w:rPr>
                <w:sz w:val="19"/>
              </w:rPr>
            </w:r>
            <w:r>
              <w:rPr>
                <w:sz w:val="19"/>
              </w:rPr>
              <w:t>0,13</w:t>
            </w:r>
          </w:p>
        </w:tc>
        <w:tc>
          <w:tcPr>
            <w:tcW w:type="dxa" w:w="2436"/>
            <w:tcMar>
              <w:top w:w="60" w:type="dxa"/>
              <w:bottom w:w="60" w:type="dxa"/>
              <w:start w:w="110" w:type="dxa"/>
              <w:end w:w="110" w:type="dxa"/>
            </w:tcMar>
            <w:vAlign w:val="center"/>
          </w:tcPr>
          <w:p>
            <w:pPr>
              <w:spacing w:after="0"/>
            </w:pPr>
            <w:r>
              <w:rPr>
                <w:sz w:val="19"/>
              </w:rPr>
            </w:r>
            <w:r>
              <w:rPr>
                <w:sz w:val="19"/>
              </w:rPr>
              <w:t>0,714</w:t>
            </w:r>
          </w:p>
        </w:tc>
        <w:tc>
          <w:tcPr>
            <w:tcW w:type="dxa" w:w="2436"/>
            <w:tcMar>
              <w:top w:w="60" w:type="dxa"/>
              <w:bottom w:w="60" w:type="dxa"/>
              <w:start w:w="110" w:type="dxa"/>
              <w:end w:w="110" w:type="dxa"/>
            </w:tcMar>
            <w:vAlign w:val="center"/>
          </w:tcPr>
          <w:p>
            <w:pPr>
              <w:spacing w:after="0"/>
            </w:pPr>
            <w:r>
              <w:rPr>
                <w:sz w:val="19"/>
              </w:rPr>
            </w:r>
            <w:r>
              <w:rPr>
                <w:sz w:val="19"/>
              </w:rPr>
              <w:t>cumple PH</w:t>
            </w:r>
          </w:p>
        </w:tc>
      </w:tr>
      <w:tr>
        <w:tc>
          <w:tcPr>
            <w:tcW w:type="dxa" w:w="2436"/>
            <w:tcMar>
              <w:top w:w="60" w:type="dxa"/>
              <w:bottom w:w="60" w:type="dxa"/>
              <w:start w:w="110" w:type="dxa"/>
              <w:end w:w="110" w:type="dxa"/>
            </w:tcMar>
            <w:vAlign w:val="center"/>
            <w:shd w:val="clear" w:color="auto" w:fill="FCEDEE"/>
          </w:tcPr>
          <w:p>
            <w:pPr>
              <w:spacing w:after="0"/>
            </w:pPr>
            <w:r>
              <w:rPr>
                <w:sz w:val="19"/>
              </w:rPr>
            </w:r>
            <w:r>
              <w:rPr>
                <w:rFonts w:ascii="Consolas" w:hAnsi="Consolas"/>
                <w:color w:val="9B1B30"/>
                <w:sz w:val="19"/>
              </w:rPr>
              <w:t>prio</w:t>
            </w:r>
          </w:p>
        </w:tc>
        <w:tc>
          <w:tcPr>
            <w:tcW w:type="dxa" w:w="2436"/>
            <w:tcMar>
              <w:top w:w="60" w:type="dxa"/>
              <w:bottom w:w="60" w:type="dxa"/>
              <w:start w:w="110" w:type="dxa"/>
              <w:end w:w="110" w:type="dxa"/>
            </w:tcMar>
            <w:vAlign w:val="center"/>
            <w:shd w:val="clear" w:color="auto" w:fill="FCEDEE"/>
          </w:tcPr>
          <w:p>
            <w:pPr>
              <w:spacing w:after="0"/>
            </w:pPr>
            <w:r>
              <w:rPr>
                <w:sz w:val="19"/>
              </w:rPr>
            </w:r>
            <w:r>
              <w:rPr>
                <w:sz w:val="19"/>
              </w:rPr>
              <w:t>0,019</w:t>
            </w:r>
          </w:p>
        </w:tc>
        <w:tc>
          <w:tcPr>
            <w:tcW w:type="dxa" w:w="2436"/>
            <w:tcMar>
              <w:top w:w="60" w:type="dxa"/>
              <w:bottom w:w="60" w:type="dxa"/>
              <w:start w:w="110" w:type="dxa"/>
              <w:end w:w="110" w:type="dxa"/>
            </w:tcMar>
            <w:vAlign w:val="center"/>
            <w:shd w:val="clear" w:color="auto" w:fill="FCEDEE"/>
          </w:tcPr>
          <w:p>
            <w:pPr>
              <w:spacing w:after="0"/>
            </w:pPr>
            <w:r>
              <w:rPr>
                <w:sz w:val="19"/>
              </w:rPr>
            </w:r>
            <w:r>
              <w:rPr>
                <w:sz w:val="19"/>
              </w:rPr>
              <w:t>0,891</w:t>
            </w:r>
          </w:p>
        </w:tc>
        <w:tc>
          <w:tcPr>
            <w:tcW w:type="dxa" w:w="2436"/>
            <w:tcMar>
              <w:top w:w="60" w:type="dxa"/>
              <w:bottom w:w="60" w:type="dxa"/>
              <w:start w:w="110" w:type="dxa"/>
              <w:end w:w="110" w:type="dxa"/>
            </w:tcMar>
            <w:vAlign w:val="center"/>
            <w:shd w:val="clear" w:color="auto" w:fill="FCEDEE"/>
          </w:tcPr>
          <w:p>
            <w:pPr>
              <w:spacing w:after="0"/>
            </w:pPr>
            <w:r>
              <w:rPr>
                <w:sz w:val="19"/>
              </w:rPr>
            </w:r>
            <w:r>
              <w:rPr>
                <w:sz w:val="19"/>
              </w:rPr>
              <w:t>cumple PH</w:t>
            </w:r>
          </w:p>
        </w:tc>
      </w:tr>
      <w:tr>
        <w:tc>
          <w:tcPr>
            <w:tcW w:type="dxa" w:w="2436"/>
            <w:tcMar>
              <w:top w:w="60" w:type="dxa"/>
              <w:bottom w:w="60" w:type="dxa"/>
              <w:start w:w="110" w:type="dxa"/>
              <w:end w:w="110" w:type="dxa"/>
            </w:tcMar>
            <w:vAlign w:val="center"/>
          </w:tcPr>
          <w:p>
            <w:pPr>
              <w:spacing w:after="0"/>
            </w:pPr>
            <w:r>
              <w:rPr>
                <w:sz w:val="19"/>
              </w:rPr>
            </w:r>
            <w:r>
              <w:rPr>
                <w:rFonts w:ascii="Consolas" w:hAnsi="Consolas"/>
                <w:color w:val="9B1B30"/>
                <w:sz w:val="19"/>
              </w:rPr>
              <w:t>fin</w:t>
            </w:r>
          </w:p>
        </w:tc>
        <w:tc>
          <w:tcPr>
            <w:tcW w:type="dxa" w:w="2436"/>
            <w:tcMar>
              <w:top w:w="60" w:type="dxa"/>
              <w:bottom w:w="60" w:type="dxa"/>
              <w:start w:w="110" w:type="dxa"/>
              <w:end w:w="110" w:type="dxa"/>
            </w:tcMar>
            <w:vAlign w:val="center"/>
          </w:tcPr>
          <w:p>
            <w:pPr>
              <w:spacing w:after="0"/>
            </w:pPr>
            <w:r>
              <w:rPr>
                <w:sz w:val="19"/>
              </w:rPr>
            </w:r>
            <w:r>
              <w:rPr>
                <w:sz w:val="19"/>
              </w:rPr>
              <w:t>0,015</w:t>
            </w:r>
          </w:p>
        </w:tc>
        <w:tc>
          <w:tcPr>
            <w:tcW w:type="dxa" w:w="2436"/>
            <w:tcMar>
              <w:top w:w="60" w:type="dxa"/>
              <w:bottom w:w="60" w:type="dxa"/>
              <w:start w:w="110" w:type="dxa"/>
              <w:end w:w="110" w:type="dxa"/>
            </w:tcMar>
            <w:vAlign w:val="center"/>
          </w:tcPr>
          <w:p>
            <w:pPr>
              <w:spacing w:after="0"/>
            </w:pPr>
            <w:r>
              <w:rPr>
                <w:sz w:val="19"/>
              </w:rPr>
            </w:r>
            <w:r>
              <w:rPr>
                <w:sz w:val="19"/>
              </w:rPr>
              <w:t>0,902</w:t>
            </w:r>
          </w:p>
        </w:tc>
        <w:tc>
          <w:tcPr>
            <w:tcW w:type="dxa" w:w="2436"/>
            <w:tcMar>
              <w:top w:w="60" w:type="dxa"/>
              <w:bottom w:w="60" w:type="dxa"/>
              <w:start w:w="110" w:type="dxa"/>
              <w:end w:w="110" w:type="dxa"/>
            </w:tcMar>
            <w:vAlign w:val="center"/>
          </w:tcPr>
          <w:p>
            <w:pPr>
              <w:spacing w:after="0"/>
            </w:pPr>
            <w:r>
              <w:rPr>
                <w:sz w:val="19"/>
              </w:rPr>
            </w:r>
            <w:r>
              <w:rPr>
                <w:sz w:val="19"/>
              </w:rPr>
              <w:t>cumple PH</w:t>
            </w:r>
          </w:p>
        </w:tc>
      </w:tr>
    </w:tbl>
    <w:p>
      <w:pPr>
        <w:spacing w:after="40"/>
      </w:pPr>
    </w:p>
    <w:p>
      <w:pPr>
        <w:jc w:val="both"/>
      </w:pPr>
      <w:r>
        <w:rPr>
          <w:b/>
        </w:rPr>
        <w:t>Interpretación.</w:t>
      </w:r>
      <w:r>
        <w:t xml:space="preserve"> </w:t>
      </w:r>
      <w:r>
        <w:rPr>
          <w:rFonts w:ascii="Consolas" w:hAnsi="Consolas"/>
          <w:color w:val="9B1B30"/>
          <w:sz w:val="19"/>
        </w:rPr>
        <w:t>age</w:t>
      </w:r>
      <w:r>
        <w:t xml:space="preserve"> es el caso a diagnosticar: su p = 0,0007 (muy por debajo de 0,01) dice que el hazard ratio de la edad </w:t>
      </w:r>
      <w:r>
        <w:rPr>
          <w:b/>
        </w:rPr>
        <w:t>no es constante</w:t>
      </w:r>
      <w:r>
        <w:t xml:space="preserve">. El gráfico de residuales de Schoenfeld de </w:t>
      </w:r>
      <w:r>
        <w:rPr>
          <w:rFonts w:ascii="Consolas" w:hAnsi="Consolas"/>
          <w:color w:val="9B1B30"/>
          <w:sz w:val="19"/>
        </w:rPr>
        <w:t>age</w:t>
      </w:r>
      <w:r>
        <w:t xml:space="preserve"> muestra que su efecto </w:t>
      </w:r>
      <w:r>
        <w:rPr>
          <w:b/>
        </w:rPr>
        <w:t>se vuelve más negativo con el tiempo</w:t>
      </w:r>
      <w:r>
        <w:t xml:space="preserve">: la edad </w:t>
      </w:r>
      <w:r>
        <w:rPr>
          <w:b/>
        </w:rPr>
        <w:t>protege más a largo plazo</w:t>
      </w:r>
      <w:r>
        <w:t xml:space="preserve"> que al inicio del seguimiento. </w:t>
      </w:r>
      <w:r>
        <w:rPr>
          <w:rFonts w:ascii="Consolas" w:hAnsi="Consolas"/>
          <w:color w:val="9B1B30"/>
          <w:sz w:val="19"/>
        </w:rPr>
        <w:t>wexp</w:t>
      </w:r>
      <w:r>
        <w:t xml:space="preserve"> </w:t>
      </w:r>
      <w:r>
        <w:rPr>
          <w:b/>
        </w:rPr>
        <w:t>viola PH de forma marginal</w:t>
      </w:r>
      <w:r>
        <w:t xml:space="preserve"> (p = 0,0068 &lt; 0,05): la violación es leve pero </w:t>
      </w:r>
      <w:r>
        <w:rPr>
          <w:b/>
        </w:rPr>
        <w:t>real</w:t>
      </w:r>
      <w:r>
        <w:t xml:space="preserve">, así que conviene vigilarla y valorar corregirla junto a </w:t>
      </w:r>
      <w:r>
        <w:rPr>
          <w:rFonts w:ascii="Consolas" w:hAnsi="Consolas"/>
          <w:color w:val="9B1B30"/>
          <w:sz w:val="19"/>
        </w:rPr>
        <w:t>age</w:t>
      </w:r>
      <w:r>
        <w:t>. El resto (</w:t>
      </w:r>
      <w:r>
        <w:rPr>
          <w:rFonts w:ascii="Consolas" w:hAnsi="Consolas"/>
          <w:color w:val="9B1B30"/>
          <w:sz w:val="19"/>
        </w:rPr>
        <w:t>fin</w:t>
      </w:r>
      <w:r>
        <w:t xml:space="preserve">, </w:t>
      </w:r>
      <w:r>
        <w:rPr>
          <w:rFonts w:ascii="Consolas" w:hAnsi="Consolas"/>
          <w:color w:val="9B1B30"/>
          <w:sz w:val="19"/>
        </w:rPr>
        <w:t>prio</w:t>
      </w:r>
      <w:r>
        <w:t xml:space="preserve">, </w:t>
      </w:r>
      <w:r>
        <w:rPr>
          <w:rFonts w:ascii="Consolas" w:hAnsi="Consolas"/>
          <w:color w:val="9B1B30"/>
          <w:sz w:val="19"/>
        </w:rPr>
        <w:t>race</w:t>
      </w:r>
      <w:r>
        <w:t xml:space="preserve">, </w:t>
      </w:r>
      <w:r>
        <w:rPr>
          <w:rFonts w:ascii="Consolas" w:hAnsi="Consolas"/>
          <w:color w:val="9B1B30"/>
          <w:sz w:val="19"/>
        </w:rPr>
        <w:t>mar</w:t>
      </w:r>
      <w:r>
        <w:t xml:space="preserve">, </w:t>
      </w:r>
      <w:r>
        <w:rPr>
          <w:rFonts w:ascii="Consolas" w:hAnsi="Consolas"/>
          <w:color w:val="9B1B30"/>
          <w:sz w:val="19"/>
        </w:rPr>
        <w:t>paro</w:t>
      </w:r>
      <w:r>
        <w:t xml:space="preserve">) </w:t>
      </w:r>
      <w:r>
        <w:rPr>
          <w:b/>
        </w:rPr>
        <w:t>cumple</w:t>
      </w:r>
      <w:r>
        <w:t xml:space="preserve"> holgadamente (p ≫ 0,10), así que sus HR sí se pueden leer como constantes. Nótese el contraste con la tabla de Cox: </w:t>
      </w:r>
      <w:r>
        <w:rPr>
          <w:rFonts w:ascii="Consolas" w:hAnsi="Consolas"/>
          <w:color w:val="9B1B30"/>
          <w:sz w:val="19"/>
        </w:rPr>
        <w:t>age</w:t>
      </w:r>
      <w:r>
        <w:t xml:space="preserve"> tiene p ≈ 0,01 (significativa, </w:t>
      </w:r>
      <w:r>
        <w:rPr>
          <w:b/>
        </w:rPr>
        <w:t>buena</w:t>
      </w:r>
      <w:r>
        <w:t xml:space="preserve"> señal), pero su Schoenfeld p ≈ 0,0007 (viola PH, </w:t>
      </w:r>
      <w:r>
        <w:rPr>
          <w:b/>
        </w:rPr>
        <w:t>mala</w:t>
      </w:r>
      <w:r>
        <w:t xml:space="preserve"> señal) — el mismo número «pequeño» se lee al revés en cada prueba.</w:t>
      </w:r>
    </w:p>
    <w:p>
      <w:pPr>
        <w:jc w:val="both"/>
      </w:pPr>
      <w:r>
        <w:t xml:space="preserve">_[ver </w:t>
      </w:r>
      <w:r>
        <w:rPr>
          <w:rFonts w:ascii="Consolas" w:hAnsi="Consolas"/>
          <w:color w:val="9B1B30"/>
          <w:sz w:val="19"/>
        </w:rPr>
        <w:t>figuras/S13_schoenfeld_age.png</w:t>
      </w:r>
      <w:r>
        <w:t xml:space="preserve"> — residuales de Schoenfeld de </w:t>
      </w:r>
      <w:r>
        <w:rPr>
          <w:rFonts w:ascii="Consolas" w:hAnsi="Consolas"/>
          <w:color w:val="9B1B30"/>
          <w:sz w:val="19"/>
        </w:rPr>
        <w:t>age</w:t>
      </w:r>
      <w:r>
        <w:t xml:space="preserve"> frente al tiempo: la nube tiene pendiente, señal de la violación]_</w:t>
      </w:r>
    </w:p>
    <w:p>
      <w:pPr>
        <w:keepNext/>
        <w:spacing w:before="240" w:after="60"/>
        <w:pBdr>
          <w:bottom w:val="single" w:sz="6" w:space="2" w:color="E4002B"/>
        </w:pBdr>
      </w:pPr>
      <w:r>
        <w:rPr>
          <w:b/>
          <w:color w:val="E4002B"/>
          <w:sz w:val="30"/>
        </w:rPr>
        <w:t>El árbol de decisión — ¿qué hacer según el p de Schoenfeld?</w:t>
      </w:r>
    </w:p>
    <w:p>
      <w:pPr>
        <w:spacing w:before="80" w:after="120"/>
        <w:ind w:left="170"/>
        <w:shd w:val="clear" w:color="auto" w:fill="F4F4F4"/>
        <w:pBdr>
          <w:left w:val="single" w:sz="12" w:space="6" w:color="6E6E6E"/>
        </w:pBdr>
      </w:pPr>
      <w:r>
        <w:rPr>
          <w:rFonts w:ascii="Consolas" w:hAnsi="Consolas"/>
          <w:color w:val="2D2D2D"/>
          <w:sz w:val="18"/>
        </w:rPr>
        <w:t>Para cada covariable, leer su p-valor en proportional_hazard_test:</w:t>
        <w:br/>
        <w:t>│</w:t>
        <w:br/>
        <w:t>├─ ¿p &lt; 0,05 (viola PH)? ── NO ──► El supuesto SE SOSTIENE para esa covariable.</w:t>
        <w:br/>
        <w:t>│ El HR único es válido: se reporta tal cual.</w:t>
        <w:br/>
        <w:t>│ (Rossi: fin, prio, race, mar, paro)</w:t>
        <w:br/>
        <w:t>│</w:t>
        <w:br/>
        <w:t>└─ SÍ (viola PH) ──► El HR no es constante en el tiempo. NO borrar la variable.</w:t>
        <w:br/>
        <w:t xml:space="preserve"> Elegir UNA corrección según el rol de la variable:</w:t>
        <w:br/>
        <w:t xml:space="preserve"> │</w:t>
        <w:br/>
        <w:t xml:space="preserve"> ├─ (a) ESTRATIFICAR por ella → CoxPHFitter(strata=["var"])</w:t>
        <w:br/>
        <w:t xml:space="preserve"> │ Un hazard base h₀(t) por estrato; la variable deja de tener un HR</w:t>
        <w:br/>
        <w:t xml:space="preserve"> │ (se controla, no se estima su efecto). Útil si NO interesa su HR</w:t>
        <w:br/>
        <w:t xml:space="preserve"> │ (p. ej. una covariable de ajuste, o edad binada en grupos).</w:t>
        <w:br/>
        <w:t xml:space="preserve"> │</w:t>
        <w:br/>
        <w:t xml:space="preserve"> ├─ (b) INTERACCIÓN CON EL TIEMPO → añadir var × f(t)</w:t>
        <w:br/>
        <w:t xml:space="preserve"> │ Modela cómo cambia el efecto a lo largo del tiempo (lifelines: │ CoxTimeVaryingFitter o el término time-varying). Útil si SÍ interesa</w:t>
        <w:br/>
        <w:t xml:space="preserve"> │ describir la trayectoria del efecto (edad protege más a largo plazo).</w:t>
        <w:br/>
        <w:t xml:space="preserve"> │</w:t>
        <w:br/>
        <w:t xml:space="preserve"> └─ (c) SPLINES sobre el tiempo o la covariable</w:t>
        <w:br/>
        <w:t xml:space="preserve"> Forma flexible del efecto sin imponer proporcionalidad. Útil cuando</w:t>
        <w:br/>
        <w:t xml:space="preserve"> la relación es claramente no lineal / no proporcional.</w:t>
      </w:r>
    </w:p>
    <w:p>
      <w:pPr>
        <w:spacing w:before="80" w:after="160" w:line="288" w:lineRule="auto"/>
        <w:ind w:left="85" w:right="85"/>
        <w:shd w:val="clear" w:color="auto" w:fill="F4F4F4"/>
        <w:pBdr>
          <w:left w:val="single" w:sz="24" w:space="10" w:color="E4002B"/>
        </w:pBdr>
      </w:pPr>
      <w:r>
        <w:rPr>
          <w:b/>
          <w:color w:val="2D2D2D"/>
        </w:rPr>
        <w:t>Regla de oro.</w:t>
      </w:r>
      <w:r>
        <w:rPr>
          <w:color w:val="2D2D2D"/>
        </w:rPr>
        <w:t xml:space="preserve"> Una violación de PH </w:t>
      </w:r>
      <w:r>
        <w:rPr>
          <w:b/>
          <w:color w:val="2D2D2D"/>
        </w:rPr>
        <w:t>no invalida</w:t>
      </w:r>
      <w:r>
        <w:rPr>
          <w:color w:val="2D2D2D"/>
        </w:rPr>
        <w:t xml:space="preserve"> el modelo ni obliga a descartar la variable: casi siempre se </w:t>
      </w:r>
      <w:r>
        <w:rPr>
          <w:b/>
          <w:color w:val="2D2D2D"/>
        </w:rPr>
        <w:t>corrige</w:t>
      </w:r>
      <w:r>
        <w:rPr>
          <w:color w:val="2D2D2D"/>
        </w:rPr>
        <w:t xml:space="preserve"> (estratificar / interactuar con el tiempo / splines). Borrar la variable que viola es el error: se pierde información y puede reintroducir confusión. Tras corregir, se vuelve a leer el diagnóstico y los HR resultantes.</w:t>
      </w:r>
    </w:p>
    <w:p>
      <w:pPr>
        <w:spacing w:before="80" w:after="160" w:line="288" w:lineRule="auto"/>
        <w:ind w:left="85" w:right="85"/>
        <w:shd w:val="clear" w:color="auto" w:fill="F4F4F4"/>
        <w:pBdr>
          <w:left w:val="single" w:sz="24" w:space="10" w:color="E4002B"/>
        </w:pBdr>
      </w:pPr>
      <w:r>
        <w:rPr>
          <w:b/>
          <w:color w:val="2D2D2D"/>
        </w:rPr>
        <w:t>Errores de lectura frecuentes.</w:t>
      </w:r>
      <w:r>
        <w:rPr>
          <w:color w:val="2D2D2D"/>
        </w:rPr>
        <w:t xml:space="preserve"> (1) Confundir un p </w:t>
      </w:r>
      <w:r>
        <w:rPr>
          <w:b/>
          <w:color w:val="2D2D2D"/>
        </w:rPr>
        <w:t>bajo</w:t>
      </w:r>
      <w:r>
        <w:rPr>
          <w:color w:val="2D2D2D"/>
        </w:rPr>
        <w:t xml:space="preserve"> en Schoenfeld (malo: viola PH) con un p </w:t>
      </w:r>
      <w:r>
        <w:rPr>
          <w:b/>
          <w:color w:val="2D2D2D"/>
        </w:rPr>
        <w:t>bajo</w:t>
      </w:r>
      <w:r>
        <w:rPr>
          <w:color w:val="2D2D2D"/>
        </w:rPr>
        <w:t xml:space="preserve"> en la tabla de Cox (bueno: variable significativa). (2) Leer solo el test </w:t>
      </w:r>
      <w:r>
        <w:rPr>
          <w:b/>
          <w:color w:val="2D2D2D"/>
        </w:rPr>
        <w:t>global</w:t>
      </w:r>
      <w:r>
        <w:rPr>
          <w:color w:val="2D2D2D"/>
        </w:rPr>
        <w:t xml:space="preserve"> y no saber </w:t>
      </w:r>
      <w:r>
        <w:rPr>
          <w:b/>
          <w:color w:val="2D2D2D"/>
        </w:rPr>
        <w:t>cuál</w:t>
      </w:r>
      <w:r>
        <w:rPr>
          <w:color w:val="2D2D2D"/>
        </w:rPr>
        <w:t xml:space="preserve"> covariable viola (mirar variable por variable). (3) Concluir que el modelo «no sirve» ante una violación, en vez de corregirla. (4) «Arreglar» la violación al quitar la variable. (5) Ignorar una covariable que </w:t>
      </w:r>
      <w:r>
        <w:rPr>
          <w:b/>
          <w:color w:val="2D2D2D"/>
        </w:rPr>
        <w:t>viola de forma marginal</w:t>
      </w:r>
      <w:r>
        <w:rPr>
          <w:color w:val="2D2D2D"/>
        </w:rPr>
        <w:t xml:space="preserve"> (como </w:t>
      </w:r>
      <w:r>
        <w:rPr>
          <w:rFonts w:ascii="Consolas" w:hAnsi="Consolas"/>
          <w:color w:val="2D2D2D"/>
          <w:sz w:val="19"/>
        </w:rPr>
        <w:t>wexp</w:t>
      </w:r>
      <w:r>
        <w:rPr>
          <w:color w:val="2D2D2D"/>
        </w:rPr>
        <w:t>, p ≈ 0,007 &lt; 0,05) sin comentarla ni corregirla.</w:t>
      </w:r>
    </w:p>
    <w:p>
      <w:pPr>
        <w:spacing w:before="40" w:after="40"/>
        <w:pBdr>
          <w:bottom w:val="single" w:sz="6" w:space="1" w:color="D9D9D9"/>
        </w:pBdr>
      </w:pPr>
    </w:p>
    <w:p>
      <w:pPr>
        <w:keepNext/>
        <w:spacing w:before="240" w:after="60"/>
        <w:pBdr>
          <w:bottom w:val="single" w:sz="6" w:space="2" w:color="E4002B"/>
        </w:pBdr>
      </w:pPr>
      <w:r>
        <w:rPr>
          <w:b/>
          <w:color w:val="E4002B"/>
          <w:sz w:val="30"/>
        </w:rPr>
        <w:t>Checklist de diagnóstico de PH</w:t>
      </w:r>
    </w:p>
    <w:p>
      <w:pPr>
        <w:pStyle w:val="ListBullet"/>
        <w:spacing w:after="40"/>
      </w:pPr>
      <w:r>
        <w:t xml:space="preserve">[ ] 1. ¿Se corrió </w:t>
      </w:r>
      <w:r>
        <w:rPr>
          <w:rFonts w:ascii="Consolas" w:hAnsi="Consolas"/>
          <w:color w:val="9B1B30"/>
          <w:sz w:val="19"/>
        </w:rPr>
        <w:t>proportional_hazard_test</w:t>
      </w:r>
      <w:r>
        <w:t xml:space="preserve"> (o </w:t>
      </w:r>
      <w:r>
        <w:rPr>
          <w:rFonts w:ascii="Consolas" w:hAnsi="Consolas"/>
          <w:color w:val="9B1B30"/>
          <w:sz w:val="19"/>
        </w:rPr>
        <w:t>check_assumptions</w:t>
      </w:r>
      <w:r>
        <w:t xml:space="preserve">) sobre el ajuste de Cox y se leyó el </w:t>
      </w:r>
      <w:r>
        <w:rPr>
          <w:b/>
        </w:rPr>
        <w:t>p por covariable</w:t>
      </w:r>
      <w:r>
        <w:t>, no solo el global?</w:t>
      </w:r>
    </w:p>
    <w:p>
      <w:pPr>
        <w:pStyle w:val="ListBullet"/>
        <w:spacing w:after="40"/>
      </w:pPr>
      <w:r>
        <w:t xml:space="preserve">[ ] 2. ¿Se identificó </w:t>
      </w:r>
      <w:r>
        <w:rPr>
          <w:b/>
        </w:rPr>
        <w:t>cuáles</w:t>
      </w:r>
      <w:r>
        <w:t xml:space="preserve"> covariables violan PH (p &lt; 0,05) y cuáles cumplen (p ≥ 0,05)?</w:t>
      </w:r>
    </w:p>
    <w:p>
      <w:pPr>
        <w:pStyle w:val="ListBullet"/>
        <w:spacing w:after="40"/>
      </w:pPr>
      <w:r>
        <w:t xml:space="preserve">[ ] 3. ¿Se recordó que aquí un p </w:t>
      </w:r>
      <w:r>
        <w:rPr>
          <w:b/>
        </w:rPr>
        <w:t>bajo</w:t>
      </w:r>
      <w:r>
        <w:t xml:space="preserve"> es </w:t>
      </w:r>
      <w:r>
        <w:rPr>
          <w:b/>
        </w:rPr>
        <w:t>malo</w:t>
      </w:r>
      <w:r>
        <w:t xml:space="preserve"> (viola PH), al revés que en la tabla de Cox?</w:t>
      </w:r>
    </w:p>
    <w:p>
      <w:pPr>
        <w:pStyle w:val="ListBullet"/>
        <w:spacing w:after="40"/>
      </w:pPr>
      <w:r>
        <w:t xml:space="preserve">[ ] 4. ¿Se revisó el </w:t>
      </w:r>
      <w:r>
        <w:rPr>
          <w:b/>
        </w:rPr>
        <w:t>gráfico de residuales de Schoenfeld</w:t>
      </w:r>
      <w:r>
        <w:t xml:space="preserve"> de la(s) covariable(s) sospechosa(s) para ver la tendencia con el tiempo?</w:t>
      </w:r>
    </w:p>
    <w:p>
      <w:pPr>
        <w:pStyle w:val="ListBullet"/>
        <w:spacing w:after="40"/>
      </w:pPr>
      <w:r>
        <w:t xml:space="preserve">[ ] 5. Ante una violación, ¿se eligió una </w:t>
      </w:r>
      <w:r>
        <w:rPr>
          <w:b/>
        </w:rPr>
        <w:t>corrección</w:t>
      </w:r>
      <w:r>
        <w:t xml:space="preserve"> (estratificar / interacción con el tiempo / splines) en vez de borrar la variable?</w:t>
      </w:r>
    </w:p>
    <w:p>
      <w:pPr>
        <w:pStyle w:val="ListBullet"/>
        <w:spacing w:after="40"/>
      </w:pPr>
      <w:r>
        <w:t xml:space="preserve">[ ] 6. ¿Se comentó cualquier covariable que </w:t>
      </w:r>
      <w:r>
        <w:rPr>
          <w:b/>
        </w:rPr>
        <w:t>viola de forma marginal</w:t>
      </w:r>
      <w:r>
        <w:t xml:space="preserve"> (p &lt; 0,05 pero cercano al umbral, como </w:t>
      </w:r>
      <w:r>
        <w:rPr>
          <w:rFonts w:ascii="Consolas" w:hAnsi="Consolas"/>
          <w:color w:val="9B1B30"/>
          <w:sz w:val="19"/>
        </w:rPr>
        <w:t>wexp</w:t>
      </w:r>
      <w:r>
        <w:t xml:space="preserve"> en Rossi, 0,0068)?</w:t>
      </w:r>
    </w:p>
    <w:p>
      <w:pPr>
        <w:pStyle w:val="ListBullet"/>
        <w:spacing w:after="40"/>
      </w:pPr>
      <w:r>
        <w:t>[ ] 7. ¿Se volvió a leer el modelo tras corregir, y se verificó que los HR resultantes son interpretables?</w:t>
      </w:r>
    </w:p>
    <w:p>
      <w:pPr>
        <w:spacing w:before="40" w:after="40"/>
        <w:pBdr>
          <w:bottom w:val="single" w:sz="6" w:space="1" w:color="D9D9D9"/>
        </w:pBdr>
      </w:pPr>
    </w:p>
    <w:p>
      <w:pPr>
        <w:spacing w:before="80" w:after="80" w:line="288" w:lineRule="auto"/>
        <w:ind w:left="85" w:right="85"/>
        <w:shd w:val="clear" w:color="auto" w:fill="F4F4F4"/>
        <w:pBdr>
          <w:left w:val="single" w:sz="24" w:space="10" w:color="E4002B"/>
        </w:pBdr>
      </w:pPr>
      <w:r>
        <w:rPr>
          <w:b/>
          <w:color w:val="2D2D2D"/>
        </w:rPr>
        <w:t>Uso en la sesión.</w:t>
      </w:r>
      <w:r>
        <w:rPr>
          <w:color w:val="2D2D2D"/>
        </w:rPr>
        <w:t xml:space="preserve"> Esta guía da el marco de lectura para el </w:t>
      </w:r>
      <w:r>
        <w:rPr>
          <w:b/>
          <w:color w:val="2D2D2D"/>
        </w:rPr>
        <w:t>drill 3</w:t>
      </w:r>
      <w:r>
        <w:rPr>
          <w:color w:val="2D2D2D"/>
        </w:rPr>
        <w:t xml:space="preserve"> de S13 (diagnosticar la violación del supuesto de hazards proporcionales) y sustenta el paso 4 de la plantilla </w:t>
      </w:r>
      <w:r>
        <w:rPr>
          <w:rFonts w:ascii="Consolas" w:hAnsi="Consolas"/>
          <w:color w:val="2D2D2D"/>
          <w:sz w:val="19"/>
        </w:rPr>
        <w:t>plantillas/reporte_supervivencia_clv.docx</w:t>
      </w:r>
      <w:r>
        <w:rPr>
          <w:color w:val="2D2D2D"/>
        </w:rPr>
        <w:t xml:space="preserve"> (diagnóstico de PH). Se apoya en el cuaderno </w:t>
      </w:r>
      <w:r>
        <w:rPr>
          <w:rFonts w:ascii="Consolas" w:hAnsi="Consolas"/>
          <w:color w:val="2D2D2D"/>
          <w:sz w:val="19"/>
        </w:rPr>
        <w:t>notebook/S13_supervivencia.ipynb</w:t>
      </w:r>
      <w:r>
        <w:rPr>
          <w:color w:val="2D2D2D"/>
        </w:rPr>
        <w:t xml:space="preserve"> (test de Schoenfeld y gráfico de residuales sobre Rossi) y en </w:t>
      </w:r>
      <w:r>
        <w:rPr>
          <w:rFonts w:ascii="Consolas" w:hAnsi="Consolas"/>
          <w:color w:val="2D2D2D"/>
          <w:sz w:val="19"/>
        </w:rPr>
        <w:t>resultados/S13_resultados.xlsx</w:t>
      </w:r>
      <w:r>
        <w:rPr>
          <w:color w:val="2D2D2D"/>
        </w:rPr>
        <w:t xml:space="preserve"> (hoja </w:t>
      </w:r>
      <w:r>
        <w:rPr>
          <w:rFonts w:ascii="Consolas" w:hAnsi="Consolas"/>
          <w:color w:val="2D2D2D"/>
          <w:sz w:val="19"/>
        </w:rPr>
        <w:t>survival</w:t>
      </w:r>
      <w:r>
        <w:rPr>
          <w:color w:val="2D2D2D"/>
        </w:rPr>
        <w:t xml:space="preserve">, celda B5 = p de Schoenfeld de </w:t>
      </w:r>
      <w:r>
        <w:rPr>
          <w:rFonts w:ascii="Consolas" w:hAnsi="Consolas"/>
          <w:color w:val="2D2D2D"/>
          <w:sz w:val="19"/>
        </w:rPr>
        <w:t>age</w:t>
      </w:r>
      <w:r>
        <w:rPr>
          <w:color w:val="2D2D2D"/>
        </w:rPr>
        <w:t xml:space="preserve">); el paso a paso del laboratorio está en </w:t>
      </w:r>
      <w:r>
        <w:rPr>
          <w:rFonts w:ascii="Consolas" w:hAnsi="Consolas"/>
          <w:color w:val="2D2D2D"/>
          <w:sz w:val="19"/>
        </w:rPr>
        <w:t>laboratorio/GUIA_LABORATORIO_S13.docx</w:t>
      </w:r>
      <w:r>
        <w:rPr>
          <w:color w:val="2D2D2D"/>
        </w:rPr>
        <w:t xml:space="preserve"> y el enunciado evaluable en </w:t>
      </w:r>
      <w:r>
        <w:rPr>
          <w:rFonts w:ascii="Consolas" w:hAnsi="Consolas"/>
          <w:color w:val="2D2D2D"/>
          <w:sz w:val="19"/>
        </w:rPr>
        <w:t>evaluacion/entregable.docx</w:t>
      </w:r>
      <w:r>
        <w:rPr>
          <w:color w:val="2D2D2D"/>
        </w:rPr>
        <w:t xml:space="preserve"> (rúbrica vigesimal 0–20). Cuaderno en Colab: https://colab.research.google.com/github/jonatanfigueroagil-creator/Herramientas-de-Ciencias-de-Datos/blob/master/Sesiones/S13_supervivencia/notebook/S13_supervivencia.ipynb</w:t>
      </w:r>
    </w:p>
    <w:p>
      <w:pPr>
        <w:spacing w:before="0" w:after="160" w:line="288" w:lineRule="auto"/>
        <w:ind w:left="85" w:right="85"/>
        <w:shd w:val="clear" w:color="auto" w:fill="F4F4F4"/>
        <w:pBdr>
          <w:left w:val="single" w:sz="24" w:space="10" w:color="E4002B"/>
        </w:pBdr>
      </w:pPr>
      <w:r>
        <w:rPr>
          <w:color w:val="2D2D2D"/>
        </w:rPr>
        <w:t xml:space="preserve">Derivado de el glosario de la sesión (Sección 9 supuesto de PH y residuales de Schoenfeld, Sección 7 regresión de Cox, Sección 8 hazard ratio) e la guía de interpretación de resultados (Sección 5 diagnóstico de hazards proporcionales) y la ficha de la sesión de réplica del paper (Sección 4B Schoenfeld sobre Rossi, target T4). Fuentes: Cox (1972), JRSS-B 34(2):187-220 (supuesto de PH); Therneau &amp; Grambsch (2000), </w:t>
      </w:r>
      <w:r>
        <w:rPr>
          <w:i/>
          <w:color w:val="2D2D2D"/>
        </w:rPr>
        <w:t>Modeling Survival Data: Extending the Cox Model</w:t>
      </w:r>
      <w:r>
        <w:rPr>
          <w:color w:val="2D2D2D"/>
        </w:rPr>
        <w:t xml:space="preserve">, Springer (test basado en residuales de Schoenfeld y correcciones); documentación de </w:t>
      </w:r>
      <w:r>
        <w:rPr>
          <w:rFonts w:ascii="Consolas" w:hAnsi="Consolas"/>
          <w:color w:val="2D2D2D"/>
          <w:sz w:val="19"/>
        </w:rPr>
        <w:t>lifelines</w:t>
      </w:r>
      <w:r>
        <w:rPr>
          <w:color w:val="2D2D2D"/>
        </w:rPr>
        <w:t xml:space="preserve"> 0.30.3 (</w:t>
      </w:r>
      <w:r>
        <w:rPr>
          <w:rFonts w:ascii="Consolas" w:hAnsi="Consolas"/>
          <w:color w:val="2D2D2D"/>
          <w:sz w:val="19"/>
        </w:rPr>
        <w:t>proportional_hazard_test</w:t>
      </w:r>
      <w:r>
        <w:rPr>
          <w:color w:val="2D2D2D"/>
        </w:rPr>
        <w:t xml:space="preserve">, </w:t>
      </w:r>
      <w:r>
        <w:rPr>
          <w:rFonts w:ascii="Consolas" w:hAnsi="Consolas"/>
          <w:color w:val="2D2D2D"/>
          <w:sz w:val="19"/>
        </w:rPr>
        <w:t>check_assumptions</w:t>
      </w:r>
      <w:r>
        <w:rPr>
          <w:color w:val="2D2D2D"/>
        </w:rPr>
        <w:t>).</w:t>
      </w:r>
    </w:p>
    <w:sectPr w:rsidR="00FC693F" w:rsidRPr="0006063C" w:rsidSect="00034616">
      <w:headerReference w:type="default" r:id="rId10"/>
      <w:footerReference w:type="default" r:id="rId11"/>
      <w:pgSz w:w="12240" w:h="15840"/>
      <w:pgMar w:top="1134" w:right="1247" w:bottom="1020"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2" w:color="D9D9D9"/>
      </w:pBdr>
    </w:pPr>
    <w:r>
      <w:rPr>
        <w:color w:val="6E6E6E"/>
        <w:sz w:val="16"/>
      </w:rPr>
      <w:t xml:space="preserve">Herramientas para la Ciencia de Datos, UPC, Facultad de Negocios     |     </w:t>
    </w:r>
    <w:r>
      <w:rPr>
        <w:color w:val="6E6E6E"/>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E4002B"/>
      </w:pBdr>
    </w:pPr>
    <w:r>
      <w:rPr>
        <w:color w:val="6E6E6E"/>
        <w:sz w:val="16"/>
      </w:rPr>
      <w:t>Guía: diagnóstico de hazards proporcionales con residuales de Schoenfeld — un p bajo es MALO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