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reporte — análisis de supervivencia por segmento con cálculo de CLV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S13 — Herramientas para la Ciencia de Datos (UPC). Registra, bajo un </w:t>
      </w:r>
      <w:r>
        <w:rPr>
          <w:b/>
          <w:color w:val="2D2D2D"/>
        </w:rPr>
        <w:t>mismo protocolo reproducible</w:t>
      </w:r>
      <w:r>
        <w:rPr>
          <w:color w:val="2D2D2D"/>
        </w:rPr>
        <w:t xml:space="preserve">, un análisis de supervivencia de churn por segmento: curvas de </w:t>
      </w:r>
      <w:r>
        <w:rPr>
          <w:b/>
          <w:color w:val="2D2D2D"/>
        </w:rPr>
        <w:t>Kaplan-Meier</w:t>
      </w:r>
      <w:r>
        <w:rPr>
          <w:color w:val="2D2D2D"/>
        </w:rPr>
        <w:t xml:space="preserve"> con la retención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 a horizontes clave, la prueba de </w:t>
      </w:r>
      <w:r>
        <w:rPr>
          <w:b/>
          <w:color w:val="2D2D2D"/>
        </w:rPr>
        <w:t>log-rank</w:t>
      </w:r>
      <w:r>
        <w:rPr>
          <w:color w:val="2D2D2D"/>
        </w:rPr>
        <w:t xml:space="preserve">, la tabla de </w:t>
      </w:r>
      <w:r>
        <w:rPr>
          <w:b/>
          <w:color w:val="2D2D2D"/>
        </w:rPr>
        <w:t>hazard ratio</w:t>
      </w:r>
      <w:r>
        <w:rPr>
          <w:color w:val="2D2D2D"/>
        </w:rPr>
        <w:t xml:space="preserve"> de la regresión de </w:t>
      </w:r>
      <w:r>
        <w:rPr>
          <w:b/>
          <w:color w:val="2D2D2D"/>
        </w:rPr>
        <w:t>Cox</w:t>
      </w:r>
      <w:r>
        <w:rPr>
          <w:color w:val="2D2D2D"/>
        </w:rPr>
        <w:t xml:space="preserve"> (con intervalo de confianza y dirección), el </w:t>
      </w:r>
      <w:r>
        <w:rPr>
          <w:b/>
          <w:color w:val="2D2D2D"/>
        </w:rPr>
        <w:t>diagnóstico del supuesto de hazards proporcionales</w:t>
      </w:r>
      <w:r>
        <w:rPr>
          <w:color w:val="2D2D2D"/>
        </w:rPr>
        <w:t xml:space="preserve"> con residuales de Schoenfeld, y el cálculo del </w:t>
      </w:r>
      <w:r>
        <w:rPr>
          <w:b/>
          <w:color w:val="2D2D2D"/>
        </w:rPr>
        <w:t>Customer Lifetime Value (CLV)</w:t>
      </w:r>
      <w:r>
        <w:rPr>
          <w:color w:val="2D2D2D"/>
        </w:rPr>
        <w:t xml:space="preserve"> por segmento a partir de la curva de supervivencia. Se completa con los resultados del cuaderno </w:t>
      </w:r>
      <w:r>
        <w:rPr>
          <w:rFonts w:ascii="Consolas" w:hAnsi="Consolas"/>
          <w:color w:val="2D2D2D"/>
          <w:sz w:val="19"/>
        </w:rPr>
        <w:t>notebook/S13_supervivencia.ipynb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resultados/S13_resultados.xlsx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survival</w:t>
      </w:r>
      <w:r>
        <w:rPr>
          <w:color w:val="2D2D2D"/>
        </w:rPr>
        <w:t xml:space="preserve">). La lectura conceptual del diagnóstico de PH está en la guía hermana </w:t>
      </w:r>
      <w:r>
        <w:rPr>
          <w:rFonts w:ascii="Consolas" w:hAnsi="Consolas"/>
          <w:color w:val="2D2D2D"/>
          <w:sz w:val="19"/>
        </w:rPr>
        <w:t>plantillas/guia_schoenfeld.docx</w:t>
      </w:r>
      <w:r>
        <w:rPr>
          <w:color w:val="2D2D2D"/>
        </w:rPr>
        <w:t>. Español impersonal. Fechas DD/MM/YYYY, UTF-8. Términos técnicos en inglés (hazard ratio, log-rank, hazard, churn, Customer Lifetime Value, censura).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análisis de supervivencia solo es accionable si conecta tres piezas: </w:t>
      </w:r>
      <w:r>
        <w:rPr>
          <w:b/>
        </w:rPr>
        <w:t>cuánto retiene</w:t>
      </w:r>
      <w:r>
        <w:t xml:space="preserve"> cada segmento (la curva </w:t>
      </w:r>
      <w:r>
        <w:rPr>
          <w:rFonts w:ascii="Consolas" w:hAnsi="Consolas"/>
          <w:color w:val="9B1B30"/>
          <w:sz w:val="19"/>
        </w:rPr>
        <w:t>S(t)</w:t>
      </w:r>
      <w:r>
        <w:t xml:space="preserve"> de Kaplan-Meier, leída como retención a 6/12/24 meses), </w:t>
      </w:r>
      <w:r>
        <w:rPr>
          <w:b/>
        </w:rPr>
        <w:t>qué atributos multiplican el riesgo</w:t>
      </w:r>
      <w:r>
        <w:t xml:space="preserve"> de que el cliente se vaya (los hazard ratio de la regresión de Cox, con el resto controlado) y </w:t>
      </w:r>
      <w:r>
        <w:rPr>
          <w:b/>
        </w:rPr>
        <w:t>cuánto vale</w:t>
      </w:r>
      <w:r>
        <w:t xml:space="preserve"> cada segmento en dinero descontado (el CLV construido sobre esa misma curva de supervivencia). El puente entre la retención y la decisión financiera es el CLV: </w:t>
      </w:r>
      <w:r>
        <w:drawing>
          <wp:inline xmlns:a="http://schemas.openxmlformats.org/drawingml/2006/main" xmlns:pic="http://schemas.openxmlformats.org/drawingml/2006/picture">
            <wp:extent cx="900743" cy="206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9dcb64c47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743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que sustituye una «vida fija» del cliente por su </w:t>
      </w:r>
      <w:r>
        <w:rPr>
          <w:b/>
        </w:rPr>
        <w:t>retención probabilística periodo a periodo</w:t>
      </w:r>
      <w:r>
        <w:t xml:space="preserve">. La censura por la derecha es la razón de ser del método: la mayoría de los clientes </w:t>
      </w:r>
      <w:r>
        <w:rPr>
          <w:b/>
        </w:rPr>
        <w:t>siguen activos</w:t>
      </w:r>
      <w:r>
        <w:t xml:space="preserve"> al cortar los datos, y descartarlos o tratarlos como «nunca se irán» sesga toda la retención. Esta plantilla obliga a documentar cada pieza —curvas, log-rank, HR con su intervalo, diagnóstico de PH y CLV— para que la recomendación de retención priorizada sea trazable y reproducible.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análisis (ficha rellenable)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____/____/________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Telco Customer Churn, </w:t>
            </w:r>
            <w:r>
              <w:rPr>
                <w:rFonts w:ascii="Consolas" w:hAnsi="Consolas"/>
                <w:color w:val="9B1B30"/>
                <w:sz w:val="19"/>
              </w:rPr>
              <w:t>data/telco_churn.csv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Segmento de comparación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</w:t>
            </w:r>
            <w:r>
              <w:rPr>
                <w:rFonts w:ascii="Consolas" w:hAnsi="Consolas"/>
                <w:color w:val="9B1B30"/>
                <w:sz w:val="19"/>
              </w:rPr>
              <w:t>Contract</w:t>
            </w:r>
            <w:r>
              <w:rPr>
                <w:sz w:val="19"/>
              </w:rPr>
              <w:t>: Month-to-month / One year / Two year)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Evento</w:t>
            </w:r>
            <w:r>
              <w:rPr>
                <w:sz w:val="19"/>
              </w:rPr>
              <w:t xml:space="preserve"> de interés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churn = </w:t>
            </w:r>
            <w:r>
              <w:rPr>
                <w:rFonts w:ascii="Consolas" w:hAnsi="Consolas"/>
                <w:color w:val="9B1B30"/>
                <w:sz w:val="19"/>
              </w:rPr>
              <w:t>Churn == "Yes"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de tiempo</w:t>
            </w:r>
            <w:r>
              <w:rPr>
                <w:sz w:val="19"/>
              </w:rPr>
              <w:t xml:space="preserve"> (duración)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</w:t>
            </w:r>
            <w:r>
              <w:rPr>
                <w:rFonts w:ascii="Consolas" w:hAnsi="Consolas"/>
                <w:color w:val="9B1B30"/>
                <w:sz w:val="19"/>
              </w:rPr>
              <w:t>tenure</w:t>
            </w:r>
            <w:r>
              <w:rPr>
                <w:sz w:val="19"/>
              </w:rPr>
              <w:t xml:space="preserve"> en meses)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Tratamiento de la </w:t>
            </w:r>
            <w:r>
              <w:rPr>
                <w:b/>
                <w:sz w:val="19"/>
              </w:rPr>
              <w:t>censura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clientes activos (sin evento a la fecha de corte) son observaciones </w:t>
            </w:r>
            <w:r>
              <w:rPr>
                <w:b/>
                <w:sz w:val="19"/>
              </w:rPr>
              <w:t>censuradas por la derecha</w:t>
            </w:r>
            <w:r>
              <w:rPr>
                <w:sz w:val="19"/>
              </w:rPr>
              <w:t xml:space="preserve">: su tiempo real al evento es </w:t>
            </w:r>
            <w:r>
              <w:rPr>
                <w:b/>
                <w:sz w:val="19"/>
              </w:rPr>
              <w:t>&gt;</w:t>
            </w:r>
            <w:r>
              <w:rPr>
                <w:sz w:val="19"/>
              </w:rPr>
              <w:t xml:space="preserve"> el observado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observaciones / eventos / censurados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 = ____, eventos = ____, censurados = 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Python del venv (</w:t>
            </w:r>
            <w:r>
              <w:rPr>
                <w:rFonts w:ascii="Consolas" w:hAnsi="Consolas"/>
                <w:color w:val="9B1B30"/>
                <w:sz w:val="19"/>
              </w:rPr>
              <w:t>lifelines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B1B30"/>
                <w:sz w:val="19"/>
              </w:rPr>
              <w:t>KaplanMeierFitter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CoxPHFitter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logrank_test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proportional_hazard_test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B1B30"/>
                <w:sz w:val="19"/>
              </w:rPr>
              <w:t>notebook/S13_supervivencia.ipynb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Margen por periodo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  <w:r>
              <w:rPr>
                <w:sz w:val="19"/>
              </w:rPr>
              <w:t xml:space="preserve"> y descuento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(para el CLV)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 = ____ USD/periodo (</w:t>
            </w:r>
            <w:r>
              <w:rPr>
                <w:b/>
                <w:sz w:val="19"/>
              </w:rPr>
              <w:t>margen</w:t>
            </w:r>
            <w:r>
              <w:rPr>
                <w:sz w:val="19"/>
              </w:rPr>
              <w:t xml:space="preserve">, no ingreso: si se usa el </w:t>
            </w:r>
            <w:r>
              <w:rPr>
                <w:b/>
                <w:sz w:val="19"/>
              </w:rPr>
              <w:t>ingreso</w:t>
            </w:r>
            <w:r>
              <w:rPr>
                <w:sz w:val="19"/>
              </w:rPr>
              <w:t xml:space="preserve"> —p. ej. </w:t>
            </w:r>
            <w:r>
              <w:rPr>
                <w:rFonts w:ascii="Consolas" w:hAnsi="Consolas"/>
                <w:color w:val="9B1B30"/>
                <w:sz w:val="19"/>
              </w:rPr>
              <w:t>MonthlyCharges</w:t>
            </w:r>
            <w:r>
              <w:rPr>
                <w:sz w:val="19"/>
              </w:rPr>
              <w:t xml:space="preserve">— el resultado es un </w:t>
            </w:r>
            <w:r>
              <w:rPr>
                <w:b/>
                <w:sz w:val="19"/>
              </w:rPr>
              <w:t>LTV bruto</w:t>
            </w:r>
            <w:r>
              <w:rPr>
                <w:sz w:val="19"/>
              </w:rPr>
              <w:t>, no un CLV) — d = ____ %/periodo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Verificación de la lectura del dataset (cortafuegos).</w:t>
      </w:r>
      <w:r>
        <w:rPr>
          <w:color w:val="2D2D2D"/>
        </w:rPr>
        <w:t xml:space="preserve"> Antes de modelar, confirmar por código que la duración es no negativa y que el evento es 0/1, y anotar cuántos censurados hay. Un evento y una duración </w:t>
      </w:r>
      <w:r>
        <w:rPr>
          <w:b/>
          <w:color w:val="2D2D2D"/>
        </w:rPr>
        <w:t>intercambiados</w:t>
      </w:r>
      <w:r>
        <w:rPr>
          <w:color w:val="2D2D2D"/>
        </w:rPr>
        <w:t xml:space="preserve"> rompen todo el análisis en silencio (mismo error crítico que en la réplica de Rossi). Registrar la fecha de verificación DD/MM/YYYY.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Curvas de Kaplan-Meier por segmento y retención `S(t)` a horizontes clave</w:t>
      </w:r>
    </w:p>
    <w:p>
      <w:pPr>
        <w:jc w:val="both"/>
      </w:pPr>
      <w:r>
        <w:t xml:space="preserve">Estimar la curva </w:t>
      </w:r>
      <w:r>
        <w:rPr>
          <w:rFonts w:ascii="Consolas" w:hAnsi="Consolas"/>
          <w:color w:val="9B1B30"/>
          <w:sz w:val="19"/>
        </w:rPr>
        <w:t>S(t)</w:t>
      </w:r>
      <w:r>
        <w:t xml:space="preserve"> no paramétrica por segmento con </w:t>
      </w:r>
      <w:r>
        <w:rPr>
          <w:rFonts w:ascii="Consolas" w:hAnsi="Consolas"/>
          <w:color w:val="9B1B30"/>
          <w:sz w:val="19"/>
        </w:rPr>
        <w:t>KaplanMeierFitter</w:t>
      </w:r>
      <w:r>
        <w:t xml:space="preserve"> y leer la </w:t>
      </w:r>
      <w:r>
        <w:rPr>
          <w:b/>
        </w:rPr>
        <w:t>retención</w:t>
      </w:r>
      <w:r>
        <w:t xml:space="preserve"> a los horizontes que importan al negocio. La curva es escalonada: los censurados </w:t>
      </w:r>
      <w:r>
        <w:rPr>
          <w:b/>
        </w:rPr>
        <w:t>reducen</w:t>
      </w:r>
      <w:r>
        <w:t xml:space="preserve"> el conjunto en riesgo sin bajar el escalón (no son clientes que se fueron). La banda de confianza se ensancha al final, donde quedan pocos sujetos en riesgo.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`S(t₁)` (t₁ = ____)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`S(t₂)` (t₂ = ____)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`S(t₃)` (t₃ = ____)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Mediana de supervivencia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 (o «indefinida» si </w:t>
            </w:r>
            <w:r>
              <w:rPr>
                <w:rFonts w:ascii="Consolas" w:hAnsi="Consolas"/>
                <w:color w:val="9B1B30"/>
                <w:sz w:val="19"/>
              </w:rPr>
              <w:t>S(t)</w:t>
            </w:r>
            <w:r>
              <w:rPr>
                <w:sz w:val="19"/>
              </w:rPr>
              <w:t xml:space="preserve"> no cruza 0,5)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 a un horizonte fijo = </w:t>
      </w:r>
      <w:r>
        <w:rPr>
          <w:b/>
          <w:color w:val="2D2D2D"/>
        </w:rPr>
        <w:t>retención</w:t>
      </w:r>
      <w:r>
        <w:rPr>
          <w:color w:val="2D2D2D"/>
        </w:rPr>
        <w:t xml:space="preserve"> a ese plazo (p. ej. </w:t>
      </w:r>
      <w:r>
        <w:rPr>
          <w:rFonts w:ascii="Consolas" w:hAnsi="Consolas"/>
          <w:color w:val="2D2D2D"/>
          <w:sz w:val="19"/>
        </w:rPr>
        <w:t>S(12)</w:t>
      </w:r>
      <w:r>
        <w:rPr>
          <w:color w:val="2D2D2D"/>
        </w:rPr>
        <w:t xml:space="preserve"> = fracción de clientes activos al año). La </w:t>
      </w:r>
      <w:r>
        <w:rPr>
          <w:b/>
          <w:color w:val="2D2D2D"/>
        </w:rPr>
        <w:t>mediana de supervivencia</w:t>
      </w:r>
      <w:r>
        <w:rPr>
          <w:color w:val="2D2D2D"/>
        </w:rPr>
        <w:t xml:space="preserve"> es el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 xml:space="preserve"> donde </w:t>
      </w:r>
      <w:r>
        <w:rPr>
          <w:rFonts w:ascii="Consolas" w:hAnsi="Consolas"/>
          <w:color w:val="2D2D2D"/>
          <w:sz w:val="19"/>
        </w:rPr>
        <w:t>S(t) = 0,5</w:t>
      </w:r>
      <w:r>
        <w:rPr>
          <w:color w:val="2D2D2D"/>
        </w:rPr>
        <w:t xml:space="preserve">; si la curva </w:t>
      </w:r>
      <w:r>
        <w:rPr>
          <w:b/>
          <w:color w:val="2D2D2D"/>
        </w:rPr>
        <w:t>no baja de 0,5</w:t>
      </w:r>
      <w:r>
        <w:rPr>
          <w:color w:val="2D2D2D"/>
        </w:rPr>
        <w:t xml:space="preserve"> en el horizonte observado, la mediana es </w:t>
      </w:r>
      <w:r>
        <w:rPr>
          <w:b/>
          <w:color w:val="2D2D2D"/>
        </w:rPr>
        <w:t>indefinida</w:t>
      </w:r>
      <w:r>
        <w:rPr>
          <w:color w:val="2D2D2D"/>
        </w:rPr>
        <w:t xml:space="preserve"> (no es un error: más de la mitad sigue sin evento). No leer la caída final de la curva como real cuando quedan muy pocos sujetos en riesgo (esos escalones son ruido; el intervalo de confianza es muy amplio).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figuras/S13_km_telco_contract.png</w:t>
      </w:r>
      <w:r>
        <w:t xml:space="preserve"> — curvas KM por segmento leídas del Excel]_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Prueba de log-rank</w:t>
      </w:r>
    </w:p>
    <w:p>
      <w:pPr>
        <w:jc w:val="both"/>
      </w:pPr>
      <w:r>
        <w:t xml:space="preserve">Comparar las curvas con la prueba de </w:t>
      </w:r>
      <w:r>
        <w:rPr>
          <w:b/>
        </w:rPr>
        <w:t>log-rank</w:t>
      </w:r>
      <w:r>
        <w:t xml:space="preserve"> (no paramétrica; </w:t>
      </w:r>
      <w:r>
        <w:rPr>
          <w:rFonts w:ascii="Consolas" w:hAnsi="Consolas"/>
          <w:color w:val="9B1B30"/>
          <w:sz w:val="19"/>
        </w:rPr>
        <w:t>H₀</w:t>
      </w:r>
      <w:r>
        <w:t xml:space="preserve">: las curvas son iguales). Reporta un estadístico χ² y un p-valor; </w:t>
      </w:r>
      <w:r>
        <w:rPr>
          <w:b/>
        </w:rPr>
        <w:t>no</w:t>
      </w:r>
      <w:r>
        <w:t xml:space="preserve"> un tamaño de efecto.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Comparación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χ² (log-rank)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gl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p-valor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¿Difieren al 5 %?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vs. ________ (o global de los g grupos)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p &lt; 0,05</w:t>
      </w:r>
      <w:r>
        <w:rPr>
          <w:color w:val="2D2D2D"/>
        </w:rPr>
        <w:t xml:space="preserve"> → se rechaza la igualdad: la retención de los segmentos difiere de forma significativa. </w:t>
      </w:r>
      <w:r>
        <w:rPr>
          <w:rFonts w:ascii="Consolas" w:hAnsi="Consolas"/>
          <w:color w:val="2D2D2D"/>
          <w:sz w:val="19"/>
        </w:rPr>
        <w:t>p ≥ 0,05</w:t>
      </w:r>
      <w:r>
        <w:rPr>
          <w:color w:val="2D2D2D"/>
        </w:rPr>
        <w:t xml:space="preserve"> → no hay evidencia de diferencia (no prueba que sean iguales). El log-rank dice </w:t>
      </w:r>
      <w:r>
        <w:rPr>
          <w:b/>
          <w:color w:val="2D2D2D"/>
        </w:rPr>
        <w:t>si</w:t>
      </w:r>
      <w:r>
        <w:rPr>
          <w:color w:val="2D2D2D"/>
        </w:rPr>
        <w:t xml:space="preserve"> difieren, no </w:t>
      </w:r>
      <w:r>
        <w:rPr>
          <w:b/>
          <w:color w:val="2D2D2D"/>
        </w:rPr>
        <w:t>cuánto</w:t>
      </w:r>
      <w:r>
        <w:rPr>
          <w:color w:val="2D2D2D"/>
        </w:rPr>
        <w:t xml:space="preserve"> (el «cuánto» lo dan la separación de las curvas y el hazard ratio de Cox). Pierde potencia si las curvas </w:t>
      </w:r>
      <w:r>
        <w:rPr>
          <w:b/>
          <w:color w:val="2D2D2D"/>
        </w:rPr>
        <w:t>se cruzan</w:t>
      </w:r>
      <w:r>
        <w:rPr>
          <w:color w:val="2D2D2D"/>
        </w:rPr>
        <w:t xml:space="preserve"> (las diferencias tempranas y tardías se cancelan). Con más de dos grupos, no sacar conclusiones por par sin corregir por comparaciones múltiples.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Tabla de hazard ratio de la regresión de Cox (con IC y dirección)</w:t>
      </w:r>
    </w:p>
    <w:p>
      <w:pPr>
        <w:jc w:val="both"/>
      </w:pPr>
      <w:r>
        <w:t xml:space="preserve">Ajustar </w:t>
      </w:r>
      <w:r>
        <w:rPr>
          <w:rFonts w:ascii="Consolas" w:hAnsi="Consolas"/>
          <w:color w:val="9B1B30"/>
          <w:sz w:val="19"/>
        </w:rPr>
        <w:t>CoxPHFitter</w:t>
      </w:r>
      <w:r>
        <w:t xml:space="preserve"> con las covariables de negocio y reportar el </w:t>
      </w:r>
      <w:r>
        <w:rPr>
          <w:b/>
        </w:rPr>
        <w:t>hazard ratio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837279" cy="206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ca09cad86b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7279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de cada una, su </w:t>
      </w:r>
      <w:r>
        <w:rPr>
          <w:b/>
        </w:rPr>
        <w:t>intervalo de confianza al 95 %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082507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70eb107b3f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2507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) y su </w:t>
      </w:r>
      <w:r>
        <w:rPr>
          <w:b/>
        </w:rPr>
        <w:t>dirección</w:t>
      </w:r>
      <w:r>
        <w:t xml:space="preserve">. El HR es el factor por el que se </w:t>
      </w:r>
      <w:r>
        <w:rPr>
          <w:b/>
        </w:rPr>
        <w:t>multiplica</w:t>
      </w:r>
      <w:r>
        <w:t xml:space="preserve"> el hazard al aumentar la covariable en una unidad, con el resto constante.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Covariable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β (coef)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HR = exp(β)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IC 95 % (HR)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¿IC cruza 1?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[____, ____]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riesgo (&gt;1) / protector (&lt;1)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[____, ____]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[____, ____]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t xml:space="preserve">Modelo: n = ____, eventos = ____, </w:t>
      </w:r>
      <w:r>
        <w:rPr>
          <w:b/>
        </w:rPr>
        <w:t>concordancia (C-index) = ____</w:t>
      </w:r>
      <w:r>
        <w:t>, log-verosimilitud parcial = ____, LR test = ____ (____ gl).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HR &gt; 1</w:t>
      </w:r>
      <w:r>
        <w:rPr>
          <w:color w:val="2D2D2D"/>
        </w:rPr>
        <w:t xml:space="preserve"> → factor de </w:t>
      </w:r>
      <w:r>
        <w:rPr>
          <w:b/>
          <w:color w:val="2D2D2D"/>
        </w:rPr>
        <w:t>riesgo</w:t>
      </w:r>
      <w:r>
        <w:rPr>
          <w:color w:val="2D2D2D"/>
        </w:rPr>
        <w:t xml:space="preserve"> (evento más pronto); </w:t>
      </w:r>
      <w:r>
        <w:rPr>
          <w:rFonts w:ascii="Consolas" w:hAnsi="Consolas"/>
          <w:color w:val="2D2D2D"/>
          <w:sz w:val="19"/>
        </w:rPr>
        <w:t>HR &lt; 1</w:t>
      </w:r>
      <w:r>
        <w:rPr>
          <w:color w:val="2D2D2D"/>
        </w:rPr>
        <w:t xml:space="preserve"> → factor </w:t>
      </w:r>
      <w:r>
        <w:rPr>
          <w:b/>
          <w:color w:val="2D2D2D"/>
        </w:rPr>
        <w:t>protector</w:t>
      </w:r>
      <w:r>
        <w:rPr>
          <w:color w:val="2D2D2D"/>
        </w:rPr>
        <w:t xml:space="preserve">; </w:t>
      </w:r>
      <w:r>
        <w:rPr>
          <w:rFonts w:ascii="Consolas" w:hAnsi="Consolas"/>
          <w:color w:val="2D2D2D"/>
          <w:sz w:val="19"/>
        </w:rPr>
        <w:t>HR = 1</w:t>
      </w:r>
      <w:r>
        <w:rPr>
          <w:color w:val="2D2D2D"/>
        </w:rPr>
        <w:t xml:space="preserve"> → sin efecto. Si el </w:t>
      </w:r>
      <w:r>
        <w:rPr>
          <w:b/>
          <w:color w:val="2D2D2D"/>
        </w:rPr>
        <w:t>IC 95 % cruza 1</w:t>
      </w:r>
      <w:r>
        <w:rPr>
          <w:color w:val="2D2D2D"/>
        </w:rPr>
        <w:t xml:space="preserve">, el efecto no es significativo al 5 % aunque el HR puntual sea &gt; 1 o &lt; 1. El efecto es </w:t>
      </w:r>
      <w:r>
        <w:rPr>
          <w:b/>
          <w:color w:val="2D2D2D"/>
        </w:rPr>
        <w:t>multiplicativo</w:t>
      </w:r>
      <w:r>
        <w:rPr>
          <w:color w:val="2D2D2D"/>
        </w:rPr>
        <w:t xml:space="preserve"> (un HR de 1,10 aplicado 3 veces es </w:t>
      </w:r>
      <w:r>
        <w:rPr>
          <w:rFonts w:ascii="Consolas" w:hAnsi="Consolas"/>
          <w:color w:val="2D2D2D"/>
          <w:sz w:val="19"/>
        </w:rPr>
        <w:t>1,10³</w:t>
      </w:r>
      <w:r>
        <w:rPr>
          <w:color w:val="2D2D2D"/>
        </w:rPr>
        <w:t xml:space="preserve">, no +30 %) y </w:t>
      </w:r>
      <w:r>
        <w:rPr>
          <w:b/>
          <w:color w:val="2D2D2D"/>
        </w:rPr>
        <w:t>condicional</w:t>
      </w:r>
      <w:r>
        <w:rPr>
          <w:color w:val="2D2D2D"/>
        </w:rPr>
        <w:t xml:space="preserve"> al resto de covariables. Se prioriza por </w:t>
      </w:r>
      <w:r>
        <w:rPr>
          <w:b/>
          <w:color w:val="2D2D2D"/>
        </w:rPr>
        <w:t>significancia + magnitud del HR + accionabilidad</w:t>
      </w:r>
      <w:r>
        <w:rPr>
          <w:color w:val="2D2D2D"/>
        </w:rPr>
        <w:t xml:space="preserve">: una variable muy significativa pero no accionable (p. ej. la antigüedad ya transcurrida) informa, pero la intervención se diseña sobre las </w:t>
      </w:r>
      <w:r>
        <w:rPr>
          <w:b/>
          <w:color w:val="2D2D2D"/>
        </w:rPr>
        <w:t>accionables</w:t>
      </w:r>
      <w:r>
        <w:rPr>
          <w:color w:val="2D2D2D"/>
        </w:rPr>
        <w:t xml:space="preserve"> (tipo de contrato, servicio). El </w:t>
      </w:r>
      <w:r>
        <w:rPr>
          <w:b/>
          <w:color w:val="2D2D2D"/>
        </w:rPr>
        <w:t>C-index</w:t>
      </w:r>
      <w:r>
        <w:rPr>
          <w:color w:val="2D2D2D"/>
        </w:rPr>
        <w:t xml:space="preserve"> mide solo la capacidad de </w:t>
      </w:r>
      <w:r>
        <w:rPr>
          <w:b/>
          <w:color w:val="2D2D2D"/>
        </w:rPr>
        <w:t>ordenar</w:t>
      </w:r>
      <w:r>
        <w:rPr>
          <w:color w:val="2D2D2D"/>
        </w:rPr>
        <w:t xml:space="preserve"> clientes por riesgo (0,5 = azar, &gt; 0,7 = buena discriminación); no valida el supuesto de PH ni la calibración.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figuras/S13_forest_hr_cox.png</w:t>
      </w:r>
      <w:r>
        <w:t xml:space="preserve"> — forest plot de HR con IC, leído del Excel]_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Diagnóstico del supuesto de hazards proporcionales (residuales de Schoenfeld)</w:t>
      </w:r>
    </w:p>
    <w:p>
      <w:pPr>
        <w:jc w:val="both"/>
      </w:pPr>
      <w:r>
        <w:t xml:space="preserve">El modelo de Cox asume que el HR de cada covariable es </w:t>
      </w:r>
      <w:r>
        <w:rPr>
          <w:b/>
        </w:rPr>
        <w:t>constante en el tiempo</w:t>
      </w:r>
      <w:r>
        <w:t xml:space="preserve">. Verificarlo con </w:t>
      </w:r>
      <w:r>
        <w:rPr>
          <w:rFonts w:ascii="Consolas" w:hAnsi="Consolas"/>
          <w:color w:val="9B1B30"/>
          <w:sz w:val="19"/>
        </w:rPr>
        <w:t>proportional_hazard_test</w:t>
      </w:r>
      <w:r>
        <w:t xml:space="preserve"> (residuales de Schoenfeld). La lectura es </w:t>
      </w:r>
      <w:r>
        <w:rPr>
          <w:b/>
        </w:rPr>
        <w:t>opuesta</w:t>
      </w:r>
      <w:r>
        <w:t xml:space="preserve"> a la de la tabla de Cox: aquí un p </w:t>
      </w:r>
      <w:r>
        <w:rPr>
          <w:b/>
        </w:rPr>
        <w:t>bajo</w:t>
      </w:r>
      <w:r>
        <w:t xml:space="preserve"> es </w:t>
      </w:r>
      <w:r>
        <w:rPr>
          <w:b/>
        </w:rPr>
        <w:t>malo</w:t>
      </w:r>
      <w:r>
        <w:t xml:space="preserve"> (la variable viola el supuesto).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test_statistic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¿Viola PH? (p &lt; 0,05)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Corrección propuesta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estratificar / interacción con el tiempo / splines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Un p </w:t>
      </w:r>
      <w:r>
        <w:rPr>
          <w:b/>
          <w:color w:val="2D2D2D"/>
        </w:rPr>
        <w:t>bajo</w:t>
      </w:r>
      <w:r>
        <w:rPr>
          <w:color w:val="2D2D2D"/>
        </w:rPr>
        <w:t xml:space="preserve"> por covariable = su HR </w:t>
      </w:r>
      <w:r>
        <w:rPr>
          <w:b/>
          <w:color w:val="2D2D2D"/>
        </w:rPr>
        <w:t>no</w:t>
      </w:r>
      <w:r>
        <w:rPr>
          <w:color w:val="2D2D2D"/>
        </w:rPr>
        <w:t xml:space="preserve"> es constante en el tiempo (viola PH). No confundirlo con el p bajo de la tabla de Cox (allí bueno = variable significativa). Ante una violación </w:t>
      </w:r>
      <w:r>
        <w:rPr>
          <w:b/>
          <w:color w:val="2D2D2D"/>
        </w:rPr>
        <w:t>no</w:t>
      </w:r>
      <w:r>
        <w:rPr>
          <w:color w:val="2D2D2D"/>
        </w:rPr>
        <w:t xml:space="preserve"> se borra la variable: se </w:t>
      </w:r>
      <w:r>
        <w:rPr>
          <w:b/>
          <w:color w:val="2D2D2D"/>
        </w:rPr>
        <w:t>estratifica</w:t>
      </w:r>
      <w:r>
        <w:rPr>
          <w:color w:val="2D2D2D"/>
        </w:rPr>
        <w:t xml:space="preserve"> por ella (un hazard base por estrato), se añade una </w:t>
      </w:r>
      <w:r>
        <w:rPr>
          <w:b/>
          <w:color w:val="2D2D2D"/>
        </w:rPr>
        <w:t>interacción con el tiempo</w:t>
      </w:r>
      <w:r>
        <w:rPr>
          <w:color w:val="2D2D2D"/>
        </w:rPr>
        <w:t xml:space="preserve"> o se modela con </w:t>
      </w:r>
      <w:r>
        <w:rPr>
          <w:b/>
          <w:color w:val="2D2D2D"/>
        </w:rPr>
        <w:t>splines</w:t>
      </w:r>
      <w:r>
        <w:rPr>
          <w:color w:val="2D2D2D"/>
        </w:rPr>
        <w:t xml:space="preserve">. Conviene mirar variable por variable (no solo el test global) para saber </w:t>
      </w:r>
      <w:r>
        <w:rPr>
          <w:b/>
          <w:color w:val="2D2D2D"/>
        </w:rPr>
        <w:t>cuál</w:t>
      </w:r>
      <w:r>
        <w:rPr>
          <w:color w:val="2D2D2D"/>
        </w:rPr>
        <w:t xml:space="preserve"> viola. El detalle conceptual y el árbol de decisión están en </w:t>
      </w:r>
      <w:r>
        <w:rPr>
          <w:rFonts w:ascii="Consolas" w:hAnsi="Consolas"/>
          <w:color w:val="2D2D2D"/>
          <w:sz w:val="19"/>
        </w:rPr>
        <w:t>plantillas/guia_schoenfeld.docx</w:t>
      </w:r>
      <w:r>
        <w:rPr>
          <w:color w:val="2D2D2D"/>
        </w:rPr>
        <w:t>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figuras/S13_schoenfeld_age.png</w:t>
      </w:r>
      <w:r>
        <w:t xml:space="preserve"> cuando aplique — residuales de Schoenfeld vs. tiempo]_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Cálculo del CLV por segmento (desde la curva de supervivencia)</w:t>
      </w:r>
    </w:p>
    <w:p>
      <w:pPr>
        <w:jc w:val="both"/>
      </w:pPr>
      <w:r>
        <w:t>Convertir la retención en dinero con la fórmula del CLV: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4890" cy="4946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dcace80c07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890" cy="494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</w:t>
      </w:r>
      <w:r>
        <w:rPr>
          <w:rFonts w:ascii="Consolas" w:hAnsi="Consolas"/>
          <w:color w:val="9B1B30"/>
          <w:sz w:val="19"/>
        </w:rPr>
        <w:t>S(t)</w:t>
      </w:r>
      <w:r>
        <w:t xml:space="preserve"> es la supervivencia del segmento en el periodo </w:t>
      </w:r>
      <w:r>
        <w:rPr>
          <w:rFonts w:ascii="Consolas" w:hAnsi="Consolas"/>
          <w:color w:val="9B1B30"/>
          <w:sz w:val="19"/>
        </w:rPr>
        <w:t>t</w:t>
      </w:r>
      <w:r>
        <w:t xml:space="preserve">, </w:t>
      </w:r>
      <w:r>
        <w:rPr>
          <w:rFonts w:ascii="Consolas" w:hAnsi="Consolas"/>
          <w:color w:val="9B1B30"/>
          <w:sz w:val="19"/>
        </w:rPr>
        <w:t>m</w:t>
      </w:r>
      <w:r>
        <w:t xml:space="preserve"> el margen por periodo y </w:t>
      </w:r>
      <w:r>
        <w:rPr>
          <w:rFonts w:ascii="Consolas" w:hAnsi="Consolas"/>
          <w:color w:val="9B1B30"/>
          <w:sz w:val="19"/>
        </w:rPr>
        <w:t>d</w:t>
      </w:r>
      <w:r>
        <w:t xml:space="preserve"> la tasa de descuento por periodo. Se usa </w:t>
      </w:r>
      <w:r>
        <w:rPr>
          <w:rFonts w:ascii="Consolas" w:hAnsi="Consolas"/>
          <w:color w:val="9B1B30"/>
          <w:sz w:val="19"/>
        </w:rPr>
        <w:t>S(t)</w:t>
      </w:r>
      <w:r>
        <w:t xml:space="preserve"> </w:t>
      </w:r>
      <w:r>
        <w:rPr>
          <w:b/>
        </w:rPr>
        <w:t>periodo a periodo</w:t>
      </w:r>
      <w:r>
        <w:t xml:space="preserve"> (no una vida media fija) y se </w:t>
      </w:r>
      <w:r>
        <w:rPr>
          <w:b/>
        </w:rPr>
        <w:t>descuenta</w:t>
      </w:r>
      <w:r>
        <w:t>. Rellenar una fila por periodo (o por bloques de periodos) y por segmento: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Periodo `t`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`S(t)` seg. A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`m·S(t)/(1+d)ᵗ` A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`S(t)` seg. B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`m·S(t)/(1+d)ᵗ` B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`S(t)` seg. C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`m·S(t)/(1+d)ᵗ` C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…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 (horizonte)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CLV (Σ)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____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Parámetros usados: margen </w:t>
      </w:r>
      <w:r>
        <w:rPr>
          <w:rFonts w:ascii="Consolas" w:hAnsi="Consolas"/>
          <w:color w:val="9B1B30"/>
          <w:sz w:val="19"/>
        </w:rPr>
        <w:t>m</w:t>
      </w:r>
      <w:r>
        <w:t xml:space="preserve"> = ____ USD/periodo (por segmento si difiere), descuento </w:t>
      </w:r>
      <w:r>
        <w:rPr>
          <w:rFonts w:ascii="Consolas" w:hAnsi="Consolas"/>
          <w:color w:val="9B1B30"/>
          <w:sz w:val="19"/>
        </w:rPr>
        <w:t>d</w:t>
      </w:r>
      <w:r>
        <w:t xml:space="preserve"> = ____ %/periodo, horizonte </w:t>
      </w:r>
      <w:r>
        <w:rPr>
          <w:rFonts w:ascii="Consolas" w:hAnsi="Consolas"/>
          <w:color w:val="9B1B30"/>
          <w:sz w:val="19"/>
        </w:rPr>
        <w:t>H</w:t>
      </w:r>
      <w:r>
        <w:t xml:space="preserve"> = ____ periodos.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El CLV fija el </w:t>
      </w:r>
      <w:r>
        <w:rPr>
          <w:b/>
          <w:color w:val="2D2D2D"/>
        </w:rPr>
        <w:t>techo de gasto</w:t>
      </w:r>
      <w:r>
        <w:rPr>
          <w:color w:val="2D2D2D"/>
        </w:rPr>
        <w:t xml:space="preserve"> en retención/adquisición por segmento. Un segmento con </w:t>
      </w:r>
      <w:r>
        <w:rPr>
          <w:b/>
          <w:color w:val="2D2D2D"/>
        </w:rPr>
        <w:t>ingreso mensual alto</w:t>
      </w:r>
      <w:r>
        <w:rPr>
          <w:color w:val="2D2D2D"/>
        </w:rPr>
        <w:t xml:space="preserve"> puede tener el </w:t>
      </w:r>
      <w:r>
        <w:rPr>
          <w:b/>
          <w:color w:val="2D2D2D"/>
        </w:rPr>
        <w:t>valor más bajo</w:t>
      </w:r>
      <w:r>
        <w:rPr>
          <w:color w:val="2D2D2D"/>
        </w:rPr>
        <w:t xml:space="preserve"> si su retención es mala: la </w:t>
      </w:r>
      <w:r>
        <w:rPr>
          <w:b/>
          <w:color w:val="2D2D2D"/>
        </w:rPr>
        <w:t>retención domina el valor</w:t>
      </w:r>
      <w:r>
        <w:rPr>
          <w:color w:val="2D2D2D"/>
        </w:rPr>
        <w:t xml:space="preserve">. El </w:t>
      </w:r>
      <w:r>
        <w:rPr>
          <w:rFonts w:ascii="Consolas" w:hAnsi="Consolas"/>
          <w:color w:val="2D2D2D"/>
          <w:sz w:val="19"/>
        </w:rPr>
        <w:t>m</w:t>
      </w:r>
      <w:r>
        <w:rPr>
          <w:color w:val="2D2D2D"/>
        </w:rPr>
        <w:t xml:space="preserve"> de la fórmula es el </w:t>
      </w:r>
      <w:r>
        <w:rPr>
          <w:b/>
          <w:color w:val="2D2D2D"/>
        </w:rPr>
        <w:t>margen</w:t>
      </w:r>
      <w:r>
        <w:rPr>
          <w:color w:val="2D2D2D"/>
        </w:rPr>
        <w:t xml:space="preserve"> (ingreso menos coste de servir), </w:t>
      </w:r>
      <w:r>
        <w:rPr>
          <w:b/>
          <w:color w:val="2D2D2D"/>
        </w:rPr>
        <w:t>no</w:t>
      </w:r>
      <w:r>
        <w:rPr>
          <w:color w:val="2D2D2D"/>
        </w:rPr>
        <w:t xml:space="preserve"> el ingreso bruto: si se sustituye por el ingreso (p. ej. </w:t>
      </w:r>
      <w:r>
        <w:rPr>
          <w:rFonts w:ascii="Consolas" w:hAnsi="Consolas"/>
          <w:color w:val="2D2D2D"/>
          <w:sz w:val="19"/>
        </w:rPr>
        <w:t>MonthlyCharges</w:t>
      </w:r>
      <w:r>
        <w:rPr>
          <w:color w:val="2D2D2D"/>
        </w:rPr>
        <w:t xml:space="preserve">), lo que se obtiene es un </w:t>
      </w:r>
      <w:r>
        <w:rPr>
          <w:b/>
          <w:color w:val="2D2D2D"/>
        </w:rPr>
        <w:t>ingreso descontado por cliente (LTV bruto)</w:t>
      </w:r>
      <w:r>
        <w:rPr>
          <w:color w:val="2D2D2D"/>
        </w:rPr>
        <w:t xml:space="preserve">, y un CLV real todavía debe </w:t>
      </w:r>
      <w:r>
        <w:rPr>
          <w:b/>
          <w:color w:val="2D2D2D"/>
        </w:rPr>
        <w:t>aplicar el margen</w:t>
      </w:r>
      <w:r>
        <w:rPr>
          <w:color w:val="2D2D2D"/>
        </w:rPr>
        <w:t xml:space="preserve"> y </w:t>
      </w:r>
      <w:r>
        <w:rPr>
          <w:b/>
          <w:color w:val="2D2D2D"/>
        </w:rPr>
        <w:t>restar el coste de la campaña</w:t>
      </w:r>
      <w:r>
        <w:rPr>
          <w:color w:val="2D2D2D"/>
        </w:rPr>
        <w:t xml:space="preserve"> de retención. El motor del valor es </w:t>
      </w:r>
      <w:r>
        <w:rPr>
          <w:b/>
          <w:color w:val="2D2D2D"/>
        </w:rPr>
        <w:t>retención × margen</w:t>
      </w:r>
      <w:r>
        <w:rPr>
          <w:color w:val="2D2D2D"/>
        </w:rPr>
        <w:t xml:space="preserve">, no la retención sola. No usar una vida media fija (sobreestima el valor al ignorar la caída de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); no extrapolar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 más allá del horizonte observado con Kaplan-Meier (para proyectar se usa un modelo paramétrico como Weibull); no olvidar el descuento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>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figuras/S13_clv_segmento.png</w:t>
      </w:r>
      <w:r>
        <w:t xml:space="preserve"> — CLV por segmento, leído del Excel]_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Recomendación de retención priorizada por segmento</w:t>
      </w:r>
    </w:p>
    <w:p>
      <w:pPr>
        <w:jc w:val="both"/>
      </w:pPr>
      <w:r>
        <w:t xml:space="preserve">Traducir las cuatro piezas anteriores en una </w:t>
      </w:r>
      <w:r>
        <w:rPr>
          <w:b/>
        </w:rPr>
        <w:t>priorización accionable</w:t>
      </w:r>
      <w:r>
        <w:t>: qué segmento vigilar primero, con qué intervención y con qué techo de gasto (el CLV).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Retención (`S(t)` clave)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HR asociado (riesgo)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CLV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Prioridad de retención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Acción propuesta (con techo = CLV)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Alta / Media / Baja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decisión.</w:t>
      </w:r>
      <w:r>
        <w:rPr>
          <w:color w:val="2D2D2D"/>
        </w:rPr>
        <w:t xml:space="preserve"> Priorizar los segmentos que combinan </w:t>
      </w:r>
      <w:r>
        <w:rPr>
          <w:b/>
          <w:color w:val="2D2D2D"/>
        </w:rPr>
        <w:t>peor retención</w:t>
      </w:r>
      <w:r>
        <w:rPr>
          <w:color w:val="2D2D2D"/>
        </w:rPr>
        <w:t xml:space="preserve"> (curva KM que cae rápido), </w:t>
      </w:r>
      <w:r>
        <w:rPr>
          <w:b/>
          <w:color w:val="2D2D2D"/>
        </w:rPr>
        <w:t>mayor hazard</w:t>
      </w:r>
      <w:r>
        <w:rPr>
          <w:color w:val="2D2D2D"/>
        </w:rPr>
        <w:t xml:space="preserve"> (HR de Cox alto y con IC que </w:t>
      </w:r>
      <w:r>
        <w:rPr>
          <w:b/>
          <w:color w:val="2D2D2D"/>
        </w:rPr>
        <w:t>no</w:t>
      </w:r>
      <w:r>
        <w:rPr>
          <w:color w:val="2D2D2D"/>
        </w:rPr>
        <w:t xml:space="preserve"> cruza 1) y </w:t>
      </w:r>
      <w:r>
        <w:rPr>
          <w:b/>
          <w:color w:val="2D2D2D"/>
        </w:rPr>
        <w:t>CLV suficiente</w:t>
      </w:r>
      <w:r>
        <w:rPr>
          <w:color w:val="2D2D2D"/>
        </w:rPr>
        <w:t xml:space="preserve"> para justificar la inversión. El gasto en retención por cliente </w:t>
      </w:r>
      <w:r>
        <w:rPr>
          <w:b/>
          <w:color w:val="2D2D2D"/>
        </w:rPr>
        <w:t>no</w:t>
      </w:r>
      <w:r>
        <w:rPr>
          <w:color w:val="2D2D2D"/>
        </w:rPr>
        <w:t xml:space="preserve"> debe superar su CLV. Si el efecto de un factor no es significativo (IC del HR cruza 1), no priorizar sobre él. Frase para gerencia: </w:t>
      </w:r>
      <w:r>
        <w:rPr>
          <w:i/>
          <w:color w:val="2D2D2D"/>
        </w:rPr>
        <w:t xml:space="preserve">«El segmento </w:t>
      </w:r>
      <w:r>
        <w:rPr>
          <w:i/>
          <w:color w:val="2D2D2D"/>
        </w:rPr>
        <w:t>[X]</w:t>
      </w:r>
      <w:r>
        <w:rPr>
          <w:i/>
          <w:color w:val="2D2D2D"/>
        </w:rPr>
        <w:t xml:space="preserve"> retiene solo </w:t>
      </w:r>
      <w:r>
        <w:rPr>
          <w:i/>
          <w:color w:val="2D2D2D"/>
        </w:rPr>
        <w:t>[S(t)]</w:t>
      </w:r>
      <w:r>
        <w:rPr>
          <w:i/>
          <w:color w:val="2D2D2D"/>
        </w:rPr>
        <w:t xml:space="preserve"> a </w:t>
      </w:r>
      <w:r>
        <w:rPr>
          <w:i/>
          <w:color w:val="2D2D2D"/>
        </w:rPr>
        <w:t>[t]</w:t>
      </w:r>
      <w:r>
        <w:rPr>
          <w:i/>
          <w:color w:val="2D2D2D"/>
        </w:rPr>
        <w:t xml:space="preserve"> y tiene el mayor hazard de churn (HR </w:t>
      </w:r>
      <w:r>
        <w:rPr>
          <w:i/>
          <w:color w:val="2D2D2D"/>
        </w:rPr>
        <w:t>[·]</w:t>
      </w:r>
      <w:r>
        <w:rPr>
          <w:i/>
          <w:color w:val="2D2D2D"/>
        </w:rPr>
        <w:t xml:space="preserve">, IC 95 % [·,·]); su CLV de </w:t>
      </w:r>
      <w:r>
        <w:rPr>
          <w:i/>
          <w:color w:val="2D2D2D"/>
        </w:rPr>
        <w:t>[·]</w:t>
      </w:r>
      <w:r>
        <w:rPr>
          <w:i/>
          <w:color w:val="2D2D2D"/>
        </w:rPr>
        <w:t xml:space="preserve"> USD fija el techo de la oferta de retención. Se recomienda </w:t>
      </w:r>
      <w:r>
        <w:rPr>
          <w:i/>
          <w:color w:val="2D2D2D"/>
        </w:rPr>
        <w:t>[acción]</w:t>
      </w:r>
      <w:r>
        <w:rPr>
          <w:i/>
          <w:color w:val="2D2D2D"/>
        </w:rPr>
        <w:t xml:space="preserve">, que prioriza este segmento sobre </w:t>
      </w:r>
      <w:r>
        <w:rPr>
          <w:i/>
          <w:color w:val="2D2D2D"/>
        </w:rPr>
        <w:t>[Y]</w:t>
      </w:r>
      <w:r>
        <w:rPr>
          <w:i/>
          <w:color w:val="2D2D2D"/>
        </w:rPr>
        <w:t>, que retiene mejor y aporta más valor con menos intervención.»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Ejemplo — operativos del venv (ETIQUETADOS)</w:t>
      </w:r>
    </w:p>
    <w:p>
      <w:pPr>
        <w:jc w:val="both"/>
      </w:pPr>
      <w:r>
        <w:t xml:space="preserve">Valores </w:t>
      </w:r>
      <w:r>
        <w:rPr>
          <w:b/>
        </w:rPr>
        <w:t>operativos del venv</w:t>
      </w:r>
      <w:r>
        <w:t xml:space="preserve"> (lifelines 0.30.3), tomados declarado para la sesión de réplica del paper e la guía de interpretación de resultados. Sirven de referencia de lectura; las celdas del análisis propio se completan al exportar cada métrica al Excel.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(A) ROSSI — REGRESIÓN DE COX (RÉPLICA DEL PAPER), DURACIÓN `WEEK`, EVENTO `ARREST` (N = 432, EVENTOS = 114, CENSURADOS = 318).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Covariable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β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HR = exp(β)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Schoenfeld p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fin</w:t>
            </w:r>
            <w:r>
              <w:rPr>
                <w:sz w:val="19"/>
              </w:rPr>
              <w:t xml:space="preserve"> (ayuda financiera)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−0,379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0,684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protector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0,902 (cumple PH)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age</w:t>
            </w:r>
            <w:r>
              <w:rPr>
                <w:sz w:val="19"/>
              </w:rPr>
              <w:t xml:space="preserve"> (edad)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−0,057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0,944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protector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0,0007 (VIOLA PH)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prio</w:t>
            </w:r>
            <w:r>
              <w:rPr>
                <w:sz w:val="19"/>
              </w:rPr>
              <w:t xml:space="preserve"> (antecedentes)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0,091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1,096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&lt; 0,005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riesgo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0,891 (cumple PH)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Concordancia = 0,640 — KM </w:t>
      </w:r>
      <w:r>
        <w:rPr>
          <w:rFonts w:ascii="Consolas" w:hAnsi="Consolas"/>
          <w:color w:val="9B1B30"/>
          <w:sz w:val="19"/>
        </w:rPr>
        <w:t>S(52)</w:t>
      </w:r>
      <w:r>
        <w:t xml:space="preserve"> por </w:t>
      </w:r>
      <w:r>
        <w:rPr>
          <w:rFonts w:ascii="Consolas" w:hAnsi="Consolas"/>
          <w:color w:val="9B1B30"/>
          <w:sz w:val="19"/>
        </w:rPr>
        <w:t>fin</w:t>
      </w:r>
      <w:r>
        <w:t xml:space="preserve">: sin ayuda (fin=0) </w:t>
      </w:r>
      <w:r>
        <w:rPr>
          <w:b/>
        </w:rPr>
        <w:t>0,6944</w:t>
      </w:r>
      <w:r>
        <w:t xml:space="preserve">, con ayuda (fin=1) </w:t>
      </w:r>
      <w:r>
        <w:rPr>
          <w:b/>
        </w:rPr>
        <w:t>0,7778</w:t>
      </w:r>
      <w:r>
        <w:t xml:space="preserve"> → </w:t>
      </w:r>
      <w:r>
        <w:rPr>
          <w:b/>
        </w:rPr>
        <w:t>con ayuda sobrevive mejor</w:t>
      </w:r>
      <w:r>
        <w:t xml:space="preserve"> (diferencia +0,083); log-rank χ² = 3,838, p = 0,0501 (al límite de la significancia). Weibull global: forma ρ = 1,365 (&gt; 1 → hazard creciente, desgaste).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(B) TELCO CUSTOMER CHURN — NEGOCIO (7032 CLIENTES; CHURN 26,58 %, 1869 EVENTOS; DURACIÓN `TENURE`, EVENTO `CHURN == "YES"`).</w:t>
      </w:r>
    </w:p>
    <w:p>
      <w:pPr>
        <w:jc w:val="both"/>
      </w:pPr>
      <w:r>
        <w:t xml:space="preserve">Retención </w:t>
      </w:r>
      <w:r>
        <w:rPr>
          <w:rFonts w:ascii="Consolas" w:hAnsi="Consolas"/>
          <w:color w:val="9B1B30"/>
          <w:sz w:val="19"/>
        </w:rPr>
        <w:t>S(t)</w:t>
      </w:r>
      <w:r>
        <w:t xml:space="preserve"> por tipo de contrato (Kaplan-Meier) e </w:t>
      </w:r>
      <w:r>
        <w:rPr>
          <w:b/>
        </w:rPr>
        <w:t>ingreso descontado por cliente a 72 meses</w:t>
      </w:r>
      <w:r>
        <w:t xml:space="preserve"> (</w:t>
      </w:r>
      <w:r>
        <w:rPr>
          <w:rFonts w:ascii="Consolas" w:hAnsi="Consolas"/>
          <w:color w:val="9B1B30"/>
          <w:sz w:val="19"/>
        </w:rPr>
        <w:t>m</w:t>
      </w:r>
      <w:r>
        <w:t xml:space="preserve"> = </w:t>
      </w:r>
      <w:r>
        <w:rPr>
          <w:b/>
        </w:rPr>
        <w:t>MonthlyCharges</w:t>
      </w:r>
      <w:r>
        <w:t xml:space="preserve"> medio del segmento = </w:t>
      </w:r>
      <w:r>
        <w:rPr>
          <w:b/>
        </w:rPr>
        <w:t>ingreso</w:t>
      </w:r>
      <w:r>
        <w:t xml:space="preserve">, no margen; </w:t>
      </w:r>
      <w:r>
        <w:rPr>
          <w:rFonts w:ascii="Consolas" w:hAnsi="Consolas"/>
          <w:color w:val="9B1B30"/>
          <w:sz w:val="19"/>
        </w:rPr>
        <w:t>d</w:t>
      </w:r>
      <w:r>
        <w:t xml:space="preserve"> = 1 %/mes). Como </w:t>
      </w:r>
      <w:r>
        <w:rPr>
          <w:rFonts w:ascii="Consolas" w:hAnsi="Consolas"/>
          <w:color w:val="9B1B30"/>
          <w:sz w:val="19"/>
        </w:rPr>
        <w:t>m</w:t>
      </w:r>
      <w:r>
        <w:t xml:space="preserve"> es el </w:t>
      </w:r>
      <w:r>
        <w:rPr>
          <w:b/>
        </w:rPr>
        <w:t>ingreso</w:t>
      </w:r>
      <w:r>
        <w:t xml:space="preserve">, la última columna es un </w:t>
      </w:r>
      <w:r>
        <w:rPr>
          <w:b/>
        </w:rPr>
        <w:t>LTV bruto</w:t>
      </w:r>
      <w:r>
        <w:t xml:space="preserve"> (ingreso descontado, sin netear el coste de servir), </w:t>
      </w:r>
      <w:r>
        <w:rPr>
          <w:b/>
        </w:rPr>
        <w:t>no un CLV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 (`Contract`)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`S(12)`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`S(24)`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`S(72)`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`m`=ingreso (USD/mes)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LTV bruto(72)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Month-to-month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3875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0,703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0,586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0,129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66,40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1 803,77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year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1472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0,991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0,978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0,568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65,08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3 105,36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Two year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1685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0,936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60,87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3 096,58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Log-rank de los 3 grupos: χ² = 2 352,87, p ≈ 0. Cox tiempo-hasta-churn (concordancia = 0,807): </w:t>
      </w:r>
      <w:r>
        <w:rPr>
          <w:rFonts w:ascii="Consolas" w:hAnsi="Consolas"/>
          <w:color w:val="9B1B30"/>
          <w:sz w:val="19"/>
        </w:rPr>
        <w:t>contract_m2m</w:t>
      </w:r>
      <w:r>
        <w:t xml:space="preserve"> HR = </w:t>
      </w:r>
      <w:r>
        <w:rPr>
          <w:b/>
        </w:rPr>
        <w:t>15,74</w:t>
      </w:r>
      <w:r>
        <w:t xml:space="preserve"> (riesgo muy superior al de los demás contratos), </w:t>
      </w:r>
      <w:r>
        <w:rPr>
          <w:rFonts w:ascii="Consolas" w:hAnsi="Consolas"/>
          <w:color w:val="9B1B30"/>
          <w:sz w:val="19"/>
        </w:rPr>
        <w:t>fiber</w:t>
      </w:r>
      <w:r>
        <w:t xml:space="preserve"> HR = 3,49, </w:t>
      </w:r>
      <w:r>
        <w:rPr>
          <w:rFonts w:ascii="Consolas" w:hAnsi="Consolas"/>
          <w:color w:val="9B1B30"/>
          <w:sz w:val="19"/>
        </w:rPr>
        <w:t>paperless</w:t>
      </w:r>
      <w:r>
        <w:t xml:space="preserve"> HR = 1,31, </w:t>
      </w:r>
      <w:r>
        <w:rPr>
          <w:rFonts w:ascii="Consolas" w:hAnsi="Consolas"/>
          <w:color w:val="9B1B30"/>
          <w:sz w:val="19"/>
        </w:rPr>
        <w:t>MonthlyCharges</w:t>
      </w:r>
      <w:r>
        <w:t xml:space="preserve"> HR = 0,98 (efecto de </w:t>
      </w:r>
      <w:r>
        <w:rPr>
          <w:b/>
        </w:rPr>
        <w:t>supresión</w:t>
      </w:r>
      <w:r>
        <w:t xml:space="preserve"> por colinealidad con </w:t>
      </w:r>
      <w:r>
        <w:rPr>
          <w:rFonts w:ascii="Consolas" w:hAnsi="Consolas"/>
          <w:color w:val="9B1B30"/>
          <w:sz w:val="19"/>
        </w:rPr>
        <w:t>fiber</w:t>
      </w:r>
      <w:r>
        <w:t xml:space="preserve">), </w:t>
      </w:r>
      <w:r>
        <w:rPr>
          <w:rFonts w:ascii="Consolas" w:hAnsi="Consolas"/>
          <w:color w:val="9B1B30"/>
          <w:sz w:val="19"/>
        </w:rPr>
        <w:t>senior</w:t>
      </w:r>
      <w:r>
        <w:t xml:space="preserve"> HR = 0,96 (no significativo).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del ejemplo (honestidad analítica).</w:t>
      </w:r>
      <w:r>
        <w:rPr>
          <w:color w:val="2D2D2D"/>
        </w:rPr>
        <w:t xml:space="preserve"> Atención a la etiqueta: como </w:t>
      </w:r>
      <w:r>
        <w:rPr>
          <w:rFonts w:ascii="Consolas" w:hAnsi="Consolas"/>
          <w:color w:val="2D2D2D"/>
          <w:sz w:val="19"/>
        </w:rPr>
        <w:t>m</w:t>
      </w:r>
      <w:r>
        <w:rPr>
          <w:color w:val="2D2D2D"/>
        </w:rPr>
        <w:t xml:space="preserve"> es el </w:t>
      </w:r>
      <w:r>
        <w:rPr>
          <w:b/>
          <w:color w:val="2D2D2D"/>
        </w:rPr>
        <w:t>ingreso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MonthlyCharges</w:t>
      </w:r>
      <w:r>
        <w:rPr>
          <w:color w:val="2D2D2D"/>
        </w:rPr>
        <w:t xml:space="preserve">) y no el margen, las tres cifras son </w:t>
      </w:r>
      <w:r>
        <w:rPr>
          <w:b/>
          <w:color w:val="2D2D2D"/>
        </w:rPr>
        <w:t>ingreso descontado por cliente (LTV bruto, sin netear el coste de servir)</w:t>
      </w:r>
      <w:r>
        <w:rPr>
          <w:color w:val="2D2D2D"/>
        </w:rPr>
        <w:t xml:space="preserve">, </w:t>
      </w:r>
      <w:r>
        <w:rPr>
          <w:b/>
          <w:color w:val="2D2D2D"/>
        </w:rPr>
        <w:t>no un CLV</w:t>
      </w:r>
      <w:r>
        <w:rPr>
          <w:color w:val="2D2D2D"/>
        </w:rPr>
        <w:t xml:space="preserve">. Un CLV real aún debe </w:t>
      </w:r>
      <w:r>
        <w:rPr>
          <w:b/>
          <w:color w:val="2D2D2D"/>
        </w:rPr>
        <w:t>aplicar un margen</w:t>
      </w:r>
      <w:r>
        <w:rPr>
          <w:color w:val="2D2D2D"/>
        </w:rPr>
        <w:t xml:space="preserve"> (una fracción del ingreso) y </w:t>
      </w:r>
      <w:r>
        <w:rPr>
          <w:b/>
          <w:color w:val="2D2D2D"/>
        </w:rPr>
        <w:t>restar el coste de la campaña</w:t>
      </w:r>
      <w:r>
        <w:rPr>
          <w:color w:val="2D2D2D"/>
        </w:rPr>
        <w:t xml:space="preserve"> de retención. Con esa salvedad, el contrato </w:t>
      </w:r>
      <w:r>
        <w:rPr>
          <w:b/>
          <w:color w:val="2D2D2D"/>
        </w:rPr>
        <w:t>mes-a-mes</w:t>
      </w:r>
      <w:r>
        <w:rPr>
          <w:color w:val="2D2D2D"/>
        </w:rPr>
        <w:t xml:space="preserve"> tiene el </w:t>
      </w:r>
      <w:r>
        <w:rPr>
          <w:b/>
          <w:color w:val="2D2D2D"/>
        </w:rPr>
        <w:t>ingreso mensual más alto</w:t>
      </w:r>
      <w:r>
        <w:rPr>
          <w:color w:val="2D2D2D"/>
        </w:rPr>
        <w:t xml:space="preserve"> (66,40 USD/mes) pero el </w:t>
      </w:r>
      <w:r>
        <w:rPr>
          <w:b/>
          <w:color w:val="2D2D2D"/>
        </w:rPr>
        <w:t>LTV bruto más bajo</w:t>
      </w:r>
      <w:r>
        <w:rPr>
          <w:color w:val="2D2D2D"/>
        </w:rPr>
        <w:t xml:space="preserve"> (1 803,77) por su retención deficiente (</w:t>
      </w:r>
      <w:r>
        <w:rPr>
          <w:rFonts w:ascii="Consolas" w:hAnsi="Consolas"/>
          <w:color w:val="2D2D2D"/>
          <w:sz w:val="19"/>
        </w:rPr>
        <w:t>S(72)</w:t>
      </w:r>
      <w:r>
        <w:rPr>
          <w:color w:val="2D2D2D"/>
        </w:rPr>
        <w:t xml:space="preserve"> = 0,129): frente a los contratos anuales (~3 100) la </w:t>
      </w:r>
      <w:r>
        <w:rPr>
          <w:b/>
          <w:color w:val="2D2D2D"/>
        </w:rPr>
        <w:t>retención domina el valor</w:t>
      </w:r>
      <w:r>
        <w:rPr>
          <w:color w:val="2D2D2D"/>
        </w:rPr>
        <w:t xml:space="preserve"> — y el motor real del valor es </w:t>
      </w:r>
      <w:r>
        <w:rPr>
          <w:b/>
          <w:color w:val="2D2D2D"/>
        </w:rPr>
        <w:t>retención × margen</w:t>
      </w:r>
      <w:r>
        <w:rPr>
          <w:color w:val="2D2D2D"/>
        </w:rPr>
        <w:t xml:space="preserve">, no la retención sola. La comparación </w:t>
      </w:r>
      <w:r>
        <w:rPr>
          <w:b/>
          <w:color w:val="2D2D2D"/>
        </w:rPr>
        <w:t>robusta</w:t>
      </w:r>
      <w:r>
        <w:rPr>
          <w:color w:val="2D2D2D"/>
        </w:rPr>
        <w:t xml:space="preserve"> es mes-a-mes (1 803,77) </w:t>
      </w:r>
      <w:r>
        <w:rPr>
          <w:b/>
          <w:color w:val="2D2D2D"/>
        </w:rPr>
        <w:t>≪</w:t>
      </w:r>
      <w:r>
        <w:rPr>
          <w:color w:val="2D2D2D"/>
        </w:rPr>
        <w:t xml:space="preserve"> contratos anuales (~3 100); en cambio el orden </w:t>
      </w:r>
      <w:r>
        <w:rPr>
          <w:b/>
          <w:color w:val="2D2D2D"/>
        </w:rPr>
        <w:t>un año 3 105,36 &gt; dos años 3 096,58</w:t>
      </w:r>
      <w:r>
        <w:rPr>
          <w:color w:val="2D2D2D"/>
        </w:rPr>
        <w:t xml:space="preserve"> es una diferencia de </w:t>
      </w:r>
      <w:r>
        <w:rPr>
          <w:b/>
          <w:color w:val="2D2D2D"/>
        </w:rPr>
        <w:t>0,28 %</w:t>
      </w:r>
      <w:r>
        <w:rPr>
          <w:color w:val="2D2D2D"/>
        </w:rPr>
        <w:t xml:space="preserve">, dentro del </w:t>
      </w:r>
      <w:r>
        <w:rPr>
          <w:b/>
          <w:color w:val="2D2D2D"/>
        </w:rPr>
        <w:t>ruido</w:t>
      </w:r>
      <w:r>
        <w:rPr>
          <w:color w:val="2D2D2D"/>
        </w:rPr>
        <w:t xml:space="preserve"> y sensible al margen supuesto: </w:t>
      </w:r>
      <w:r>
        <w:rPr>
          <w:b/>
          <w:color w:val="2D2D2D"/>
        </w:rPr>
        <w:t>no</w:t>
      </w:r>
      <w:r>
        <w:rPr>
          <w:color w:val="2D2D2D"/>
        </w:rPr>
        <w:t xml:space="preserve"> se lee como lección. Su hazard de churn es abrumador (HR ≈ 15,7 frente al contrato de dos años). La recomendación priorizada es </w:t>
      </w:r>
      <w:r>
        <w:rPr>
          <w:b/>
          <w:color w:val="2D2D2D"/>
        </w:rPr>
        <w:t>migrar</w:t>
      </w:r>
      <w:r>
        <w:rPr>
          <w:color w:val="2D2D2D"/>
        </w:rPr>
        <w:t xml:space="preserve"> a los clientes mes-a-mes hacia contratos anuales, cuyo LTV bruto casi duplica al mensual; el techo de gasto de esa oferta lo fija el diferencial (una vez aplicado el margen y restado el coste de campaña).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</w:t>
      </w:r>
      <w:r>
        <w:rPr>
          <w:color w:val="2D2D2D"/>
        </w:rPr>
        <w:t xml:space="preserve">: </w:t>
      </w:r>
      <w:r>
        <w:rPr>
          <w:i/>
          <w:color w:val="2D2D2D"/>
        </w:rPr>
        <w:t>operativo = venv</w:t>
      </w:r>
      <w:r>
        <w:rPr>
          <w:color w:val="2D2D2D"/>
        </w:rPr>
        <w:t xml:space="preserve"> (los valores del venv son los de referencia; se vuelcan a </w:t>
      </w:r>
      <w:r>
        <w:rPr>
          <w:rFonts w:ascii="Consolas" w:hAnsi="Consolas"/>
          <w:color w:val="2D2D2D"/>
          <w:sz w:val="19"/>
        </w:rPr>
        <w:t>resultados/S13_resultados.xlsx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survival</w:t>
      </w:r>
      <w:r>
        <w:rPr>
          <w:color w:val="2D2D2D"/>
        </w:rPr>
        <w:t xml:space="preserve">). Toda cifra publicada de la técnica (salida de lifelines sobre Rossi, literatura de Cox/Kalbfleisch &amp; Prentice) se anota aparte como </w:t>
      </w:r>
      <w:r>
        <w:rPr>
          <w:i/>
          <w:color w:val="2D2D2D"/>
        </w:rPr>
        <w:t>benchmark publicado</w:t>
      </w:r>
      <w:r>
        <w:rPr>
          <w:color w:val="2D2D2D"/>
        </w:rPr>
        <w:t>, nunca mezclada como propia.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¿Se reconoció la </w:t>
      </w:r>
      <w:r>
        <w:rPr>
          <w:b/>
        </w:rPr>
        <w:t>censura por la derecha</w:t>
      </w:r>
      <w:r>
        <w:t xml:space="preserve"> (clientes activos = censurados) y se verificó que duración y evento no están intercambiados?</w:t>
      </w:r>
    </w:p>
    <w:p>
      <w:pPr>
        <w:pStyle w:val="ListBullet"/>
        <w:spacing w:after="40"/>
      </w:pPr>
      <w:r>
        <w:t xml:space="preserve">[ ] 2. ¿Se estimaron las curvas </w:t>
      </w:r>
      <w:r>
        <w:rPr>
          <w:b/>
        </w:rPr>
        <w:t>Kaplan-Meier por segmento</w:t>
      </w:r>
      <w:r>
        <w:t xml:space="preserve"> y se leyó </w:t>
      </w:r>
      <w:r>
        <w:rPr>
          <w:rFonts w:ascii="Consolas" w:hAnsi="Consolas"/>
          <w:color w:val="9B1B30"/>
          <w:sz w:val="19"/>
        </w:rPr>
        <w:t>S(t)</w:t>
      </w:r>
      <w:r>
        <w:t xml:space="preserve"> a los horizontes de negocio (con la mediana, o «indefinida» si no cruza 0,5)?</w:t>
      </w:r>
    </w:p>
    <w:p>
      <w:pPr>
        <w:pStyle w:val="ListBullet"/>
        <w:spacing w:after="40"/>
      </w:pPr>
      <w:r>
        <w:t xml:space="preserve">[ ] 3. ¿Se aplicó la prueba de </w:t>
      </w:r>
      <w:r>
        <w:rPr>
          <w:b/>
        </w:rPr>
        <w:t>log-rank</w:t>
      </w:r>
      <w:r>
        <w:t xml:space="preserve"> y se interpretó como </w:t>
      </w:r>
      <w:r>
        <w:rPr>
          <w:i/>
        </w:rPr>
        <w:t>si difieren</w:t>
      </w:r>
      <w:r>
        <w:t xml:space="preserve">, no </w:t>
      </w:r>
      <w:r>
        <w:rPr>
          <w:i/>
        </w:rPr>
        <w:t>cuánto</w:t>
      </w:r>
      <w:r>
        <w:t>?</w:t>
      </w:r>
    </w:p>
    <w:p>
      <w:pPr>
        <w:pStyle w:val="ListBullet"/>
        <w:spacing w:after="40"/>
      </w:pPr>
      <w:r>
        <w:t xml:space="preserve">[ ] 4. ¿La tabla de </w:t>
      </w:r>
      <w:r>
        <w:rPr>
          <w:b/>
        </w:rPr>
        <w:t>Cox</w:t>
      </w:r>
      <w:r>
        <w:t xml:space="preserve"> reporta HR con su </w:t>
      </w:r>
      <w:r>
        <w:rPr>
          <w:b/>
        </w:rPr>
        <w:t>IC 95 %</w:t>
      </w:r>
      <w:r>
        <w:t xml:space="preserve"> y su </w:t>
      </w:r>
      <w:r>
        <w:rPr>
          <w:b/>
        </w:rPr>
        <w:t>dirección</w:t>
      </w:r>
      <w:r>
        <w:t xml:space="preserve">, y se marcó si el IC </w:t>
      </w:r>
      <w:r>
        <w:rPr>
          <w:b/>
        </w:rPr>
        <w:t>cruza 1</w:t>
      </w:r>
      <w:r>
        <w:t>?</w:t>
      </w:r>
    </w:p>
    <w:p>
      <w:pPr>
        <w:pStyle w:val="ListBullet"/>
        <w:spacing w:after="40"/>
      </w:pPr>
      <w:r>
        <w:t xml:space="preserve">[ ] 5. ¿Se diagnosticó el </w:t>
      </w:r>
      <w:r>
        <w:rPr>
          <w:b/>
        </w:rPr>
        <w:t>supuesto de PH</w:t>
      </w:r>
      <w:r>
        <w:t xml:space="preserve"> con Schoenfeld (p bajo = viola) y se propuso la corrección para las que violan?</w:t>
      </w:r>
    </w:p>
    <w:p>
      <w:pPr>
        <w:pStyle w:val="ListBullet"/>
        <w:spacing w:after="40"/>
      </w:pPr>
      <w:r>
        <w:t xml:space="preserve">[ ] 6. ¿El </w:t>
      </w:r>
      <w:r>
        <w:rPr>
          <w:b/>
        </w:rPr>
        <w:t>CLV</w:t>
      </w:r>
      <w:r>
        <w:t xml:space="preserve"> se calculó con la ecuación (1) a partir de </w:t>
      </w:r>
      <w:r>
        <w:rPr>
          <w:rFonts w:ascii="Consolas" w:hAnsi="Consolas"/>
          <w:color w:val="9B1B30"/>
          <w:sz w:val="19"/>
        </w:rPr>
        <w:t>S(t)</w:t>
      </w:r>
      <w:r>
        <w:t xml:space="preserve"> </w:t>
      </w:r>
      <w:r>
        <w:rPr>
          <w:b/>
        </w:rPr>
        <w:t>periodo a periodo</w:t>
      </w:r>
      <w:r>
        <w:t xml:space="preserve"> (no vida fija) y con </w:t>
      </w:r>
      <w:r>
        <w:rPr>
          <w:b/>
        </w:rPr>
        <w:t>descuento</w:t>
      </w:r>
      <w:r>
        <w:t>?</w:t>
      </w:r>
    </w:p>
    <w:p>
      <w:pPr>
        <w:pStyle w:val="ListBullet"/>
        <w:spacing w:after="40"/>
      </w:pPr>
      <w:r>
        <w:t xml:space="preserve">[ ] 7. ¿La </w:t>
      </w:r>
      <w:r>
        <w:rPr>
          <w:b/>
        </w:rPr>
        <w:t>recomendación</w:t>
      </w:r>
      <w:r>
        <w:t xml:space="preserve"> prioriza por retención + hazard + CLV, con el techo de gasto = CLV, y sin priorizar factores cuyo IC cruza 1?</w:t>
      </w:r>
    </w:p>
    <w:p>
      <w:pPr>
        <w:pStyle w:val="ListBullet"/>
        <w:spacing w:after="40"/>
      </w:pPr>
      <w:r>
        <w:t xml:space="preserve">[ ] 8. ¿Las curvas y tablas se trazaron </w:t>
      </w:r>
      <w:r>
        <w:rPr>
          <w:b/>
        </w:rPr>
        <w:t>al leer el Excel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resultados/S13_resultados.xlsx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survival</w:t>
      </w:r>
      <w:r>
        <w:t>), no desde objetos en memoria?</w:t>
      </w:r>
    </w:p>
    <w:p>
      <w:pPr>
        <w:pStyle w:val="ListBullet"/>
        <w:spacing w:after="40"/>
      </w:pPr>
      <w:r>
        <w:t xml:space="preserve">[ ] 9. ¿Toda cifra propia está etiquetada </w:t>
      </w:r>
      <w:r>
        <w:rPr>
          <w:i/>
        </w:rPr>
        <w:t>operativo = venv</w:t>
      </w:r>
      <w:r>
        <w:t xml:space="preserve"> y las de la literatura van marcadas como benchmark publicado?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materializa el </w:t>
      </w:r>
      <w:r>
        <w:rPr>
          <w:b/>
          <w:color w:val="2D2D2D"/>
        </w:rPr>
        <w:t>entregable evaluable</w:t>
      </w:r>
      <w:r>
        <w:rPr>
          <w:color w:val="2D2D2D"/>
        </w:rPr>
        <w:t xml:space="preserve"> de S13: el análisis de supervivencia de churn (curvas KM por segmento + Cox + CLV) con recomendación. Se completa con los resultados del cuaderno </w:t>
      </w:r>
      <w:r>
        <w:rPr>
          <w:rFonts w:ascii="Consolas" w:hAnsi="Consolas"/>
          <w:color w:val="2D2D2D"/>
          <w:sz w:val="19"/>
        </w:rPr>
        <w:t>notebook/S13_supervivencia.ipynb</w:t>
      </w:r>
      <w:r>
        <w:rPr>
          <w:color w:val="2D2D2D"/>
        </w:rPr>
        <w:t xml:space="preserve"> (métricas y curvas exportadas a </w:t>
      </w:r>
      <w:r>
        <w:rPr>
          <w:rFonts w:ascii="Consolas" w:hAnsi="Consolas"/>
          <w:color w:val="2D2D2D"/>
          <w:sz w:val="19"/>
        </w:rPr>
        <w:t>resultados/S13_resultados.xlsx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survival</w:t>
      </w:r>
      <w:r>
        <w:rPr>
          <w:color w:val="2D2D2D"/>
        </w:rPr>
        <w:t xml:space="preserve">) y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con su rúbrica vigesimal 0–20 y a la guía de laboratorio </w:t>
      </w:r>
      <w:r>
        <w:rPr>
          <w:rFonts w:ascii="Consolas" w:hAnsi="Consolas"/>
          <w:color w:val="2D2D2D"/>
          <w:sz w:val="19"/>
        </w:rPr>
        <w:t>laboratorio/GUIA_LABORATORIO_S13.docx</w:t>
      </w:r>
      <w:r>
        <w:rPr>
          <w:color w:val="2D2D2D"/>
        </w:rPr>
        <w:t xml:space="preserve">. El diagnóstico del supuesto de hazards proporcionales se apoya en la guía hermana </w:t>
      </w:r>
      <w:r>
        <w:rPr>
          <w:rFonts w:ascii="Consolas" w:hAnsi="Consolas"/>
          <w:color w:val="2D2D2D"/>
          <w:sz w:val="19"/>
        </w:rPr>
        <w:t>plantillas/guia_schoenfeld.docx</w:t>
      </w:r>
      <w:r>
        <w:rPr>
          <w:color w:val="2D2D2D"/>
        </w:rPr>
        <w:t>; la lectura de las salidas de supervivencia se sustenta en la guía de interpretación de resultados. Cuaderno en Colab: https://colab.research.google.com/github/jonatanfigueroagil-creator/Herramientas-de-Ciencias-de-Datos/blob/master/Sesiones/S13_supervivencia/notebook/S13_supervivencia.ipynb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1 censura, Sección 3 </w:t>
      </w:r>
      <w:r>
        <w:rPr>
          <w:rFonts w:ascii="Consolas" w:hAnsi="Consolas"/>
          <w:color w:val="2D2D2D"/>
          <w:sz w:val="19"/>
        </w:rPr>
        <w:t>S(t)</w:t>
      </w:r>
      <w:r>
        <w:rPr>
          <w:color w:val="2D2D2D"/>
        </w:rPr>
        <w:t xml:space="preserve">, Sección 5 Kaplan-Meier, Sección 6 log-rank, Sección 7 Cox, Sección 8 hazard ratio, Sección 9 Schoenfeld, Sección 10 C-index, Sección 12 CLV), la guía de interpretación de resultados (Sección 1 curva KM, Sección 2 log-rank, Sección 3 tabla de Cox, Sección 4 HR, Sección 5 Schoenfeld, Sección 6 concordancia, Sección 7 CLV) y la ficha de la sesión de réplica del paper (Sección 4 resultados a reproducir, Sección 5 targets). Fuentes: Kaplan &amp; Meier (1958), JASA 53(282):457-481; Cox (1972), JRSS-B 34(2):187-220; Fader, Hardie &amp; Lee (2005), JMR 42(4):415-430; Therneau &amp; Grambsch (2000), </w:t>
      </w:r>
      <w:r>
        <w:rPr>
          <w:i/>
          <w:color w:val="2D2D2D"/>
        </w:rPr>
        <w:t>Modeling Survival Data</w:t>
      </w:r>
      <w:r>
        <w:rPr>
          <w:color w:val="2D2D2D"/>
        </w:rPr>
        <w:t>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reporte — análisis de supervivencia por segmento con cálculo de CLV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