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Guía de una página: cómo leer un experimento A/B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Herramientas para la Ciencia de Datos, Modalidad EPE, Sesión E1 (Fundamentos). Guía del estudiante para </w:t>
      </w:r>
      <w:r>
        <w:rPr>
          <w:b/>
          <w:color w:val="2D2D2D"/>
        </w:rPr>
        <w:t>leer y decidir</w:t>
      </w:r>
      <w:r>
        <w:rPr>
          <w:color w:val="2D2D2D"/>
        </w:rPr>
        <w:t xml:space="preserve"> con un A/B test sin tecnicismos. Un concepto + un árbol de decisión + un checklist. Se aplica en el laboratorio (</w:t>
      </w:r>
      <w:r>
        <w:rPr>
          <w:rFonts w:ascii="Consolas" w:hAnsi="Consolas"/>
          <w:color w:val="2D2D2D"/>
          <w:sz w:val="19"/>
        </w:rPr>
        <w:t>laboratorio/GUIA_LABORATORIO_E01.docx</w:t>
      </w:r>
      <w:r>
        <w:rPr>
          <w:color w:val="2D2D2D"/>
        </w:rPr>
        <w:t>) y en el entregable (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). Ejemplo trabajado: Cookie Cats, en el cuaderno </w:t>
      </w:r>
      <w:r>
        <w:rPr>
          <w:rFonts w:ascii="Consolas" w:hAnsi="Consolas"/>
          <w:color w:val="2D2D2D"/>
          <w:sz w:val="19"/>
        </w:rPr>
        <w:t>notebook/EPE_S1_fundamentos.ipynb</w:t>
      </w:r>
      <w:r>
        <w:rPr>
          <w:color w:val="2D2D2D"/>
        </w:rPr>
        <w:t xml:space="preserve">, bloque </w:t>
      </w:r>
      <w:r>
        <w:rPr>
          <w:i/>
          <w:color w:val="2D2D2D"/>
        </w:rPr>
        <w:t>d</w:t>
      </w:r>
      <w:r>
        <w:rPr>
          <w:color w:val="2D2D2D"/>
        </w:rPr>
        <w:t>. Español impersonal.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1. La idea en una frase</w:t>
      </w:r>
    </w:p>
    <w:p>
      <w:pPr>
        <w:jc w:val="both"/>
      </w:pPr>
      <w:r>
        <w:t xml:space="preserve">Un </w:t>
      </w:r>
      <w:r>
        <w:rPr>
          <w:b/>
        </w:rPr>
        <w:t>A/B test</w:t>
      </w:r>
      <w:r>
        <w:t xml:space="preserve"> reparte a los usuarios </w:t>
      </w:r>
      <w:r>
        <w:rPr>
          <w:b/>
        </w:rPr>
        <w:t>al azar</w:t>
      </w:r>
      <w:r>
        <w:t xml:space="preserve"> entre </w:t>
      </w:r>
      <w:r>
        <w:rPr>
          <w:b/>
        </w:rPr>
        <w:t>control</w:t>
      </w:r>
      <w:r>
        <w:t xml:space="preserve"> (situación actual) y </w:t>
      </w:r>
      <w:r>
        <w:rPr>
          <w:b/>
        </w:rPr>
        <w:t>tratamiento</w:t>
      </w:r>
      <w:r>
        <w:t xml:space="preserve"> (el cambio). Como el azar iguala los grupos en todo lo demás, la diferencia en la métrica se puede </w:t>
      </w:r>
      <w:r>
        <w:rPr>
          <w:b/>
        </w:rPr>
        <w:t>atribuir al cambio</w:t>
      </w:r>
      <w:r>
        <w:t xml:space="preserve"> (causa). Es el estándar de oro para decidir si un cambio mejora un KPI </w:t>
      </w:r>
      <w:r>
        <w:rPr>
          <w:b/>
        </w:rPr>
        <w:t>antes</w:t>
      </w:r>
      <w:r>
        <w:t xml:space="preserve"> de lanzarlo a todos.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CUATRO PALABRAS CLAVE:</w:t>
      </w:r>
    </w:p>
    <w:p>
      <w:pPr>
        <w:pStyle w:val="ListBullet"/>
        <w:spacing w:after="40"/>
      </w:pPr>
      <w:r>
        <w:rPr>
          <w:b/>
        </w:rPr>
        <w:t>OEC / métrica primaria:</w:t>
      </w:r>
      <w:r>
        <w:t xml:space="preserve"> la métrica que </w:t>
      </w:r>
      <w:r>
        <w:rPr>
          <w:b/>
        </w:rPr>
        <w:t>rige</w:t>
      </w:r>
      <w:r>
        <w:t xml:space="preserve"> la decisión, declarada </w:t>
      </w:r>
      <w:r>
        <w:rPr>
          <w:b/>
        </w:rPr>
        <w:t>antes</w:t>
      </w:r>
      <w:r>
        <w:t xml:space="preserve"> de mirar datos.</w:t>
      </w:r>
    </w:p>
    <w:p>
      <w:pPr>
        <w:pStyle w:val="ListBullet"/>
        <w:spacing w:after="40"/>
      </w:pPr>
      <w:r>
        <w:rPr>
          <w:b/>
        </w:rPr>
        <w:t>p-valor:</w:t>
      </w:r>
      <w:r>
        <w:t xml:space="preserve"> si realmente </w:t>
      </w:r>
      <w:r>
        <w:rPr>
          <w:i/>
        </w:rPr>
        <w:t>no</w:t>
      </w:r>
      <w:r>
        <w:t xml:space="preserve"> hubiera diferencia, qué tan probable sería ver este resultado. </w:t>
      </w:r>
      <w:r>
        <w:rPr>
          <w:b/>
        </w:rPr>
        <w:t>&lt; 0.05</w:t>
      </w:r>
      <w:r>
        <w:t xml:space="preserve"> → se declara la diferencia.</w:t>
      </w:r>
    </w:p>
    <w:p>
      <w:pPr>
        <w:pStyle w:val="ListBullet"/>
        <w:spacing w:after="40"/>
      </w:pPr>
      <w:r>
        <w:rPr>
          <w:b/>
        </w:rPr>
        <w:t>Lift:</w:t>
      </w:r>
      <w:r>
        <w:t xml:space="preserve"> el «cuánto mejora» en términos relativos, p. ej. −4.3 %. Es la cifra que se comunica al negocio.</w:t>
      </w:r>
    </w:p>
    <w:p>
      <w:pPr>
        <w:pStyle w:val="ListBullet"/>
        <w:spacing w:after="40"/>
      </w:pPr>
      <w:r>
        <w:rPr>
          <w:b/>
        </w:rPr>
        <w:t>Intervalo de confianza (IC):</w:t>
      </w:r>
      <w:r>
        <w:t xml:space="preserve"> el rango plausible del efecto. Si el IC </w:t>
      </w:r>
      <w:r>
        <w:rPr>
          <w:b/>
        </w:rPr>
        <w:t>cruza 0</w:t>
      </w:r>
      <w:r>
        <w:t xml:space="preserve">, el efecto </w:t>
      </w:r>
      <w:r>
        <w:rPr>
          <w:b/>
        </w:rPr>
        <w:t>no</w:t>
      </w:r>
      <w:r>
        <w:t xml:space="preserve"> es concluyente.</w:t>
      </w: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¿Qué prueba elegir? (regla práctica).</w:t>
      </w:r>
      <w:r>
        <w:rPr>
          <w:color w:val="2D2D2D"/>
        </w:rPr>
        <w:t xml:space="preserve"> Una variable </w:t>
      </w:r>
      <w:r>
        <w:rPr>
          <w:b/>
          <w:color w:val="2D2D2D"/>
        </w:rPr>
        <w:t>numérica</w:t>
      </w:r>
      <w:r>
        <w:rPr>
          <w:color w:val="2D2D2D"/>
        </w:rPr>
        <w:t xml:space="preserve"> comparada entre grupos (p. ej. el puntaje de gasto por edad o por sexo) se contrasta con una </w:t>
      </w:r>
      <w:r>
        <w:rPr>
          <w:b/>
          <w:color w:val="2D2D2D"/>
        </w:rPr>
        <w:t>t de Welch</w:t>
      </w:r>
      <w:r>
        <w:rPr>
          <w:color w:val="2D2D2D"/>
        </w:rPr>
        <w:t xml:space="preserve">, que compara </w:t>
      </w:r>
      <w:r>
        <w:rPr>
          <w:b/>
          <w:color w:val="2D2D2D"/>
        </w:rPr>
        <w:t>medias</w:t>
      </w:r>
      <w:r>
        <w:rPr>
          <w:color w:val="2D2D2D"/>
        </w:rPr>
        <w:t xml:space="preserve">. Dos variables </w:t>
      </w:r>
      <w:r>
        <w:rPr>
          <w:b/>
          <w:color w:val="2D2D2D"/>
        </w:rPr>
        <w:t>categóricas</w:t>
      </w:r>
      <w:r>
        <w:rPr>
          <w:color w:val="2D2D2D"/>
        </w:rPr>
        <w:t xml:space="preserve"> —como en este A/B: la variante (control/tratamiento) frente a si el usuario retuvo o no— se contrastan con </w:t>
      </w:r>
      <w:r>
        <w:rPr>
          <w:b/>
          <w:color w:val="2D2D2D"/>
        </w:rPr>
        <w:t>χ² de independencia</w:t>
      </w:r>
      <w:r>
        <w:rPr>
          <w:color w:val="2D2D2D"/>
        </w:rPr>
        <w:t xml:space="preserve"> o, de forma equivalente para dos proporciones, la </w:t>
      </w:r>
      <w:r>
        <w:rPr>
          <w:b/>
          <w:color w:val="2D2D2D"/>
        </w:rPr>
        <w:t>prueba z de proporciones</w:t>
      </w:r>
      <w:r>
        <w:rPr>
          <w:color w:val="2D2D2D"/>
        </w:rPr>
        <w:t>. Nunca se discretiza una variable numérica en tramos solo para forzar una χ²: se pierde información y la conclusión queda a merced de dónde se pusieron los cortes.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Atención a las escalas.</w:t>
      </w:r>
      <w:r>
        <w:rPr>
          <w:color w:val="2D2D2D"/>
        </w:rPr>
        <w:t xml:space="preserve"> El </w:t>
      </w:r>
      <w:r>
        <w:rPr>
          <w:b/>
          <w:color w:val="2D2D2D"/>
        </w:rPr>
        <w:t>lift</w:t>
      </w:r>
      <w:r>
        <w:rPr>
          <w:color w:val="2D2D2D"/>
        </w:rPr>
        <w:t xml:space="preserve"> es un cambio </w:t>
      </w:r>
      <w:r>
        <w:rPr>
          <w:b/>
          <w:color w:val="2D2D2D"/>
        </w:rPr>
        <w:t>relativo</w:t>
      </w:r>
      <w:r>
        <w:rPr>
          <w:color w:val="2D2D2D"/>
        </w:rPr>
        <w:t xml:space="preserve"> (p. ej. −4.3 %); el </w:t>
      </w:r>
      <w:r>
        <w:rPr>
          <w:b/>
          <w:color w:val="2D2D2D"/>
        </w:rPr>
        <w:t>IC de la diferencia</w:t>
      </w:r>
      <w:r>
        <w:rPr>
          <w:color w:val="2D2D2D"/>
        </w:rPr>
        <w:t xml:space="preserve"> va en </w:t>
      </w:r>
      <w:r>
        <w:rPr>
          <w:b/>
          <w:color w:val="2D2D2D"/>
        </w:rPr>
        <w:t>puntos porcentuales (pp)</w:t>
      </w:r>
      <w:r>
        <w:rPr>
          <w:color w:val="2D2D2D"/>
        </w:rPr>
        <w:t xml:space="preserve"> (p. ej. de −1.33 a −0.31 pp). Son dos escalas distintas: no se comparan cifra a cifra.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2. Árbol de decisión — ¿lanzar el cambio?</w:t>
      </w:r>
    </w:p>
    <w:p>
      <w:pPr>
        <w:spacing w:before="80" w:after="120"/>
        <w:ind w:left="170"/>
        <w:shd w:val="clear" w:color="auto" w:fill="F4F4F4"/>
        <w:pBdr>
          <w:left w:val="single" w:sz="12" w:space="6" w:color="6E6E6E"/>
        </w:pBdr>
      </w:pPr>
      <w:r>
        <w:rPr>
          <w:rFonts w:ascii="Consolas" w:hAnsi="Consolas"/>
          <w:color w:val="2D2D2D"/>
          <w:sz w:val="18"/>
        </w:rPr>
        <w:t xml:space="preserve"> +- ¿La métrica primaria (OEC) se declaró ANTES y el n/duración se fijaron?</w:t>
        <w:br/>
        <w:t xml:space="preserve"> | |</w:t>
        <w:br/>
        <w:t xml:space="preserve"> | +- No -► Rehacer el diseño. No decidir con este test (riesgo de peeking).</w:t>
        <w:br/>
        <w:t xml:space="preserve"> |</w:t>
        <w:br/>
        <w:t xml:space="preserve"> +- ¿El resultado es ESTADÍSTICAMENTE significativo? (p &lt; 0.05 y el IC no cruza 0)</w:t>
        <w:br/>
        <w:t xml:space="preserve"> | |</w:t>
        <w:br/>
        <w:t xml:space="preserve"> | +- No -► No hay evidencia suficiente.</w:t>
        <w:br/>
        <w:t xml:space="preserve"> | | ¿El poder era alto (n grande)? </w:t>
        <w:br/>
        <w:t xml:space="preserve"> | | — Sí → tratar como "sin efecto relevante": NO lanzar.</w:t>
        <w:br/>
        <w:t xml:space="preserve"> | | — No → "no concluyente": mantener la medición / ampliar muestra.</w:t>
        <w:br/>
        <w:t xml:space="preserve"> | |</w:t>
        <w:br/>
        <w:t xml:space="preserve"> | +- Sí -► ¿El efecto es PRÁCTICAMENTE relevante?</w:t>
        <w:br/>
        <w:t xml:space="preserve"> | (el lift, y su IC, superan el mínimo que paga el costo)</w:t>
        <w:br/>
        <w:t xml:space="preserve"> | |</w:t>
        <w:br/>
        <w:t xml:space="preserve"> | +- No -► Significativo pero trivial: NO lanzar.</w:t>
        <w:br/>
        <w:t xml:space="preserve"> | |</w:t>
        <w:br/>
        <w:t xml:space="preserve"> | +- Sí -► ¿El signo es favorable y sin daño en guardarraíles?</w:t>
        <w:br/>
        <w:t xml:space="preserve"> | +- No (empeora) -► NO lanzar (o revertir).</w:t>
        <w:br/>
        <w:t xml:space="preserve"> | +- Sí ---------► LANZAR.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3. Checklist de lectura (marcar antes de recomendar)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Verificación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La </w:t>
            </w:r>
            <w:r>
              <w:rPr>
                <w:b/>
                <w:sz w:val="19"/>
              </w:rPr>
              <w:t>métrica primaria (OEC)</w:t>
            </w:r>
            <w:r>
              <w:rPr>
                <w:sz w:val="19"/>
              </w:rPr>
              <w:t xml:space="preserve"> se fijó </w:t>
            </w:r>
            <w:r>
              <w:rPr>
                <w:b/>
                <w:sz w:val="19"/>
              </w:rPr>
              <w:t>antes</w:t>
            </w:r>
            <w:r>
              <w:rPr>
                <w:sz w:val="19"/>
              </w:rPr>
              <w:t xml:space="preserve"> de ver los resultados.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Los </w:t>
            </w:r>
            <w:r>
              <w:rPr>
                <w:b/>
                <w:sz w:val="19"/>
              </w:rPr>
              <w:t>grupos están balanceados</w:t>
            </w:r>
            <w:r>
              <w:rPr>
                <w:sz w:val="19"/>
              </w:rPr>
              <w:t xml:space="preserve"> y bien asignados al azar (revisar tamaños).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 reporta el </w:t>
            </w:r>
            <w:r>
              <w:rPr>
                <w:b/>
                <w:sz w:val="19"/>
              </w:rPr>
              <w:t>p-valor</w:t>
            </w:r>
            <w:r>
              <w:rPr>
                <w:sz w:val="19"/>
              </w:rPr>
              <w:t xml:space="preserve"> de la métrica primaria.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 reporta el </w:t>
            </w:r>
            <w:r>
              <w:rPr>
                <w:b/>
                <w:sz w:val="19"/>
              </w:rPr>
              <w:t>lift</w:t>
            </w:r>
            <w:r>
              <w:rPr>
                <w:sz w:val="19"/>
              </w:rPr>
              <w:t xml:space="preserve"> (cambio relativo) </w:t>
            </w:r>
            <w:r>
              <w:rPr>
                <w:b/>
                <w:sz w:val="19"/>
              </w:rPr>
              <w:t>y su intervalo de confianza</w:t>
            </w:r>
            <w:r>
              <w:rPr>
                <w:sz w:val="19"/>
              </w:rPr>
              <w:t>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 </w:t>
            </w:r>
            <w:r>
              <w:rPr>
                <w:b/>
                <w:sz w:val="19"/>
              </w:rPr>
              <w:t>IC no cruza 0</w:t>
            </w:r>
            <w:r>
              <w:rPr>
                <w:sz w:val="19"/>
              </w:rPr>
              <w:t xml:space="preserve"> (si lo cruza, no es concluyente).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 distingue </w:t>
            </w:r>
            <w:r>
              <w:rPr>
                <w:b/>
                <w:sz w:val="19"/>
              </w:rPr>
              <w:t>significancia estadística</w:t>
            </w:r>
            <w:r>
              <w:rPr>
                <w:sz w:val="19"/>
              </w:rPr>
              <w:t xml:space="preserve"> de </w:t>
            </w:r>
            <w:r>
              <w:rPr>
                <w:b/>
                <w:sz w:val="19"/>
              </w:rPr>
              <w:t>relevancia práctica</w:t>
            </w:r>
            <w:r>
              <w:rPr>
                <w:sz w:val="19"/>
              </w:rPr>
              <w:t xml:space="preserve"> (magnitud + costo).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El </w:t>
            </w:r>
            <w:r>
              <w:rPr>
                <w:b/>
                <w:sz w:val="19"/>
              </w:rPr>
              <w:t>signo</w:t>
            </w:r>
            <w:r>
              <w:rPr>
                <w:sz w:val="19"/>
              </w:rPr>
              <w:t xml:space="preserve"> del efecto es el deseado y </w:t>
            </w:r>
            <w:r>
              <w:rPr>
                <w:b/>
                <w:sz w:val="19"/>
              </w:rPr>
              <w:t>no daña</w:t>
            </w:r>
            <w:r>
              <w:rPr>
                <w:sz w:val="19"/>
              </w:rPr>
              <w:t xml:space="preserve"> métricas guardarraíl.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No hubo </w:t>
            </w:r>
            <w:r>
              <w:rPr>
                <w:b/>
                <w:sz w:val="19"/>
              </w:rPr>
              <w:t>peeking</w:t>
            </w:r>
            <w:r>
              <w:rPr>
                <w:sz w:val="19"/>
              </w:rPr>
              <w:t xml:space="preserve"> (parar al cruzar el umbral) ni se buscó significancia entre muchas métricas (</w:t>
            </w:r>
            <w:r>
              <w:rPr>
                <w:i/>
                <w:sz w:val="19"/>
              </w:rPr>
              <w:t>p-hacking</w:t>
            </w:r>
            <w:r>
              <w:rPr>
                <w:sz w:val="19"/>
              </w:rPr>
              <w:t>).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La </w:t>
            </w:r>
            <w:r>
              <w:rPr>
                <w:b/>
                <w:sz w:val="19"/>
              </w:rPr>
              <w:t>recomendación</w:t>
            </w:r>
            <w:r>
              <w:rPr>
                <w:sz w:val="19"/>
              </w:rPr>
              <w:t xml:space="preserve"> (lanzar / no lanzar / mantener la medición) es coherente con la evidencia.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4. Errores frecuentes al leer un A/B</w:t>
      </w:r>
    </w:p>
    <w:p>
      <w:pPr>
        <w:pStyle w:val="ListBullet"/>
        <w:spacing w:after="40"/>
      </w:pPr>
      <w:r>
        <w:t xml:space="preserve">Confundir el </w:t>
      </w:r>
      <w:r>
        <w:rPr>
          <w:b/>
        </w:rPr>
        <w:t>p-valor</w:t>
      </w:r>
      <w:r>
        <w:t xml:space="preserve"> con «la probabilidad de que el tratamiento funcione». (Es P(datos | no hay efecto), no lo contrario.)</w:t>
      </w:r>
    </w:p>
    <w:p>
      <w:pPr>
        <w:pStyle w:val="ListBullet"/>
        <w:spacing w:after="40"/>
      </w:pPr>
      <w:r>
        <w:t xml:space="preserve">Tomar </w:t>
      </w:r>
      <w:r>
        <w:rPr>
          <w:b/>
        </w:rPr>
        <w:t>«no significativo»</w:t>
      </w:r>
      <w:r>
        <w:t xml:space="preserve"> como </w:t>
      </w:r>
      <w:r>
        <w:rPr>
          <w:b/>
        </w:rPr>
        <w:t>«no hay efecto»</w:t>
      </w:r>
      <w:r>
        <w:t xml:space="preserve">: con muestra pequeña puede faltar </w:t>
      </w:r>
      <w:r>
        <w:rPr>
          <w:b/>
        </w:rPr>
        <w:t>poder</w:t>
      </w:r>
      <w:r>
        <w:t>.</w:t>
      </w:r>
    </w:p>
    <w:p>
      <w:pPr>
        <w:pStyle w:val="ListBullet"/>
        <w:spacing w:after="40"/>
      </w:pPr>
      <w:r>
        <w:t xml:space="preserve">Celebrar un resultado </w:t>
      </w:r>
      <w:r>
        <w:rPr>
          <w:b/>
        </w:rPr>
        <w:t>significativo pero minúsculo</w:t>
      </w:r>
      <w:r>
        <w:t xml:space="preserve"> (con muestras muy grandes, diferencias triviales «resultan» significativas).</w:t>
      </w:r>
    </w:p>
    <w:p>
      <w:pPr>
        <w:pStyle w:val="ListBullet"/>
        <w:spacing w:after="40"/>
      </w:pPr>
      <w:r>
        <w:rPr>
          <w:b/>
        </w:rPr>
        <w:t>Peeking:</w:t>
      </w:r>
      <w:r>
        <w:t xml:space="preserve"> mirar el test a diario y detenerlo apenas cruza 0.05 (infla los falsos positivos).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Ejemplo (Cookie Cats, cuaderno bloque *d*):</w:t>
      </w:r>
      <w:r>
        <w:rPr>
          <w:color w:val="2D2D2D"/>
        </w:rPr>
        <w:t xml:space="preserve"> métrica primaria = retención a 7 días; control </w:t>
      </w:r>
      <w:r>
        <w:rPr>
          <w:rFonts w:ascii="Consolas" w:hAnsi="Consolas"/>
          <w:color w:val="2D2D2D"/>
          <w:sz w:val="19"/>
        </w:rPr>
        <w:t>gate_30</w:t>
      </w:r>
      <w:r>
        <w:rPr>
          <w:color w:val="2D2D2D"/>
        </w:rPr>
        <w:t xml:space="preserve"> = 19.0 %, tratamiento </w:t>
      </w:r>
      <w:r>
        <w:rPr>
          <w:rFonts w:ascii="Consolas" w:hAnsi="Consolas"/>
          <w:color w:val="2D2D2D"/>
          <w:sz w:val="19"/>
        </w:rPr>
        <w:t>gate_40</w:t>
      </w:r>
      <w:r>
        <w:rPr>
          <w:color w:val="2D2D2D"/>
        </w:rPr>
        <w:t xml:space="preserve"> = 18.2 %; lift = </w:t>
      </w:r>
      <w:r>
        <w:rPr>
          <w:b/>
          <w:color w:val="2D2D2D"/>
        </w:rPr>
        <w:t>−4.3 %</w:t>
      </w:r>
      <w:r>
        <w:rPr>
          <w:color w:val="2D2D2D"/>
        </w:rPr>
        <w:t xml:space="preserve"> (relativo), p ≈ 0.0016, IC de la diferencia = </w:t>
      </w:r>
      <w:r>
        <w:rPr>
          <w:b/>
          <w:color w:val="2D2D2D"/>
        </w:rPr>
        <w:t>(−1.33, −0.31) pp</w:t>
      </w:r>
      <w:r>
        <w:rPr>
          <w:color w:val="2D2D2D"/>
        </w:rPr>
        <w:t xml:space="preserve">, enteramente negativo → el cambio </w:t>
      </w:r>
      <w:r>
        <w:rPr>
          <w:b/>
          <w:color w:val="2D2D2D"/>
        </w:rPr>
        <w:t>reduce</w:t>
      </w:r>
      <w:r>
        <w:rPr>
          <w:color w:val="2D2D2D"/>
        </w:rPr>
        <w:t xml:space="preserve"> la retención → </w:t>
      </w:r>
      <w:r>
        <w:rPr>
          <w:b/>
          <w:color w:val="2D2D2D"/>
        </w:rPr>
        <w:t>no mover la puerta</w:t>
      </w:r>
      <w:r>
        <w:rPr>
          <w:color w:val="2D2D2D"/>
        </w:rPr>
        <w:t xml:space="preserve">. En negocio: sobre la cohorte de 90 189 jugadores, esos −0.82 pp equivalen a ≈ </w:t>
      </w:r>
      <w:r>
        <w:rPr>
          <w:b/>
          <w:color w:val="2D2D2D"/>
        </w:rPr>
        <w:t>740 jugadores retenidos</w:t>
      </w:r>
      <w:r>
        <w:rPr>
          <w:color w:val="2D2D2D"/>
        </w:rPr>
        <w:t xml:space="preserve"> que se </w:t>
      </w:r>
      <w:r>
        <w:rPr>
          <w:b/>
          <w:color w:val="2D2D2D"/>
        </w:rPr>
        <w:t>protegen al no</w:t>
      </w:r>
      <w:r>
        <w:rPr>
          <w:color w:val="2D2D2D"/>
        </w:rPr>
        <w:t xml:space="preserve"> desplegar el cambio. Referencias: </w:t>
      </w:r>
      <w:r>
        <w:rPr>
          <w:rFonts w:ascii="Consolas" w:hAnsi="Consolas"/>
          <w:color w:val="2D2D2D"/>
          <w:sz w:val="19"/>
        </w:rPr>
        <w:t>plantillas/guia_ab.docx</w:t>
      </w:r>
      <w:r>
        <w:rPr>
          <w:color w:val="2D2D2D"/>
        </w:rPr>
        <w:t xml:space="preserve"> se usa junto con </w:t>
      </w:r>
      <w:r>
        <w:rPr>
          <w:rFonts w:ascii="Consolas" w:hAnsi="Consolas"/>
          <w:color w:val="2D2D2D"/>
          <w:sz w:val="19"/>
        </w:rPr>
        <w:t>plantillas/plantilla_exploracion.docx</w:t>
      </w:r>
      <w:r>
        <w:rPr>
          <w:color w:val="2D2D2D"/>
        </w:rPr>
        <w:t xml:space="preserve"> en el entregable y con la </w:t>
      </w:r>
      <w:r>
        <w:rPr>
          <w:rFonts w:ascii="Consolas" w:hAnsi="Consolas"/>
          <w:color w:val="2D2D2D"/>
          <w:sz w:val="19"/>
        </w:rPr>
        <w:t>plantillas/ficha_proyecto_crispdm.docx</w:t>
      </w:r>
      <w:r>
        <w:rPr>
          <w:color w:val="2D2D2D"/>
        </w:rPr>
        <w:t xml:space="preserve"> del proyecto integrador.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Guía de una página: cómo leer un experimento A/B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