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exploración de datos — checklist de calidad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Sesión E1 (Fundamentos). Plantilla del estudiante: guía el análisis exploratorio (EDA) de un conjunto de datos y verifica su </w:t>
      </w:r>
      <w:r>
        <w:rPr>
          <w:b/>
          <w:color w:val="2D2D2D"/>
        </w:rPr>
        <w:t>calidad</w:t>
      </w:r>
      <w:r>
        <w:rPr>
          <w:color w:val="2D2D2D"/>
        </w:rPr>
        <w:t xml:space="preserve"> antes de analizar o decidir. Se usa en el laboratorio (</w:t>
      </w:r>
      <w:r>
        <w:rPr>
          <w:rFonts w:ascii="Consolas" w:hAnsi="Consolas"/>
          <w:color w:val="2D2D2D"/>
          <w:sz w:val="19"/>
        </w:rPr>
        <w:t>laboratorio/GUIA_LABORATORIO_E01.docx</w:t>
      </w:r>
      <w:r>
        <w:rPr>
          <w:color w:val="2D2D2D"/>
        </w:rPr>
        <w:t>) y materializa parte del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). Español impersonal.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de oro (CRISP-DM):</w:t>
      </w:r>
      <w:r>
        <w:rPr>
          <w:color w:val="2D2D2D"/>
        </w:rPr>
        <w:t xml:space="preserve"> entre el 45% y el 80% del esfuerzo de un proyecto de datos está en </w:t>
      </w:r>
      <w:r>
        <w:rPr>
          <w:b/>
          <w:color w:val="2D2D2D"/>
        </w:rPr>
        <w:t>entender y preparar los datos</w:t>
      </w:r>
      <w:r>
        <w:rPr>
          <w:color w:val="2D2D2D"/>
        </w:rPr>
        <w:t xml:space="preserve"> (rango de la literatura CRISP-DM y de encuestas a profesionales). Un buen EDA es la mitad del trabajo. Referencia práctica: el cuaderno </w:t>
      </w:r>
      <w:r>
        <w:rPr>
          <w:rFonts w:ascii="Consolas" w:hAnsi="Consolas"/>
          <w:color w:val="2D2D2D"/>
          <w:sz w:val="19"/>
        </w:rPr>
        <w:t>notebook/EPE_S1_fundamentos.ipynb</w:t>
      </w:r>
      <w:r>
        <w:rPr>
          <w:color w:val="2D2D2D"/>
        </w:rPr>
        <w:t xml:space="preserve">, bloque </w:t>
      </w:r>
      <w:r>
        <w:rPr>
          <w:i/>
          <w:color w:val="2D2D2D"/>
        </w:rPr>
        <w:t>b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0. Identificación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Integrante(s) / código(s)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y fuente (enlace)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Unidad de análisis (qué representa una fila)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filas × columnas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Tipos de variable</w:t>
      </w:r>
    </w:p>
    <w:p>
      <w:pPr>
        <w:jc w:val="both"/>
      </w:pPr>
      <w:r>
        <w:rPr>
          <w:i/>
        </w:rPr>
        <w:t>Clasificar cada columna: cuantitativa (continua/discreta) o cualitativa (nominal/ordinal). El tipo decide qué estadístico, gráfico y prueba son válidos. Marcar los identificadores (no son variables de análisis).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¿Identificador?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Estadístico/gráfico apropiado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Estadística descriptiva</w:t>
      </w:r>
    </w:p>
    <w:p>
      <w:pPr>
        <w:jc w:val="both"/>
      </w:pPr>
      <w:r>
        <w:rPr>
          <w:i/>
        </w:rPr>
        <w:t>Para cada variable numérica: media, mediana, desviación, mínimo y máximo. Para cada categórica: conteo por categoría y balance de los grupos.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Media / conteo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Mediana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Desv.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Mín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Máx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Checklist de CALIDAD de datos</w:t>
      </w:r>
    </w:p>
    <w:p>
      <w:pPr>
        <w:jc w:val="both"/>
      </w:pPr>
      <w:r>
        <w:rPr>
          <w:i/>
        </w:rPr>
        <w:t>Marcar cada verificación. Toda casilla «No» exige una nota de qué se hizo.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Sí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Nota / acción tomada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¿Se conoce el significado de negocio de </w:t>
            </w:r>
            <w:r>
              <w:rPr>
                <w:b/>
                <w:sz w:val="19"/>
              </w:rPr>
              <w:t>cada</w:t>
            </w:r>
            <w:r>
              <w:rPr>
                <w:sz w:val="19"/>
              </w:rPr>
              <w:t xml:space="preserve"> columna?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¿El </w:t>
            </w:r>
            <w:r>
              <w:rPr>
                <w:b/>
                <w:sz w:val="19"/>
              </w:rPr>
              <w:t>tipo</w:t>
            </w:r>
            <w:r>
              <w:rPr>
                <w:sz w:val="19"/>
              </w:rPr>
              <w:t xml:space="preserve"> de cada variable es el correcto (no se promedia un código)?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¿Se contaron los </w:t>
            </w:r>
            <w:r>
              <w:rPr>
                <w:b/>
                <w:sz w:val="19"/>
              </w:rPr>
              <w:t>valores faltantes</w:t>
            </w:r>
            <w:r>
              <w:rPr>
                <w:sz w:val="19"/>
              </w:rPr>
              <w:t xml:space="preserve"> por columna?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¿Se decidió cómo tratar los faltantes (ignorar / imputar / marcar)?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¿Se buscaron </w:t>
            </w:r>
            <w:r>
              <w:rPr>
                <w:b/>
                <w:sz w:val="19"/>
              </w:rPr>
              <w:t>valores atípicos</w:t>
            </w:r>
            <w:r>
              <w:rPr>
                <w:sz w:val="19"/>
              </w:rPr>
              <w:t xml:space="preserve"> (boxplot o regla 1.5 × RIC)?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¿Se decidió qué hacer con cada atípico (corregir / eliminar / conservar) y </w:t>
            </w:r>
            <w:r>
              <w:rPr>
                <w:b/>
                <w:sz w:val="19"/>
              </w:rPr>
              <w:t>por qué</w:t>
            </w:r>
            <w:r>
              <w:rPr>
                <w:sz w:val="19"/>
              </w:rPr>
              <w:t>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¿Hay </w:t>
            </w:r>
            <w:r>
              <w:rPr>
                <w:b/>
                <w:sz w:val="19"/>
              </w:rPr>
              <w:t>duplicados</w:t>
            </w:r>
            <w:r>
              <w:rPr>
                <w:sz w:val="19"/>
              </w:rPr>
              <w:t xml:space="preserve"> o identificadores repetidos?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¿Las categorías están </w:t>
            </w:r>
            <w:r>
              <w:rPr>
                <w:b/>
                <w:sz w:val="19"/>
              </w:rPr>
              <w:t>normalizadas</w:t>
            </w:r>
            <w:r>
              <w:rPr>
                <w:sz w:val="19"/>
              </w:rPr>
              <w:t xml:space="preserve"> (mismas mayúsculas, sin espacios sobrantes)?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¿Los </w:t>
            </w:r>
            <w:r>
              <w:rPr>
                <w:b/>
                <w:sz w:val="19"/>
              </w:rPr>
              <w:t>rangos</w:t>
            </w:r>
            <w:r>
              <w:rPr>
                <w:sz w:val="19"/>
              </w:rPr>
              <w:t xml:space="preserve"> son plausibles (edad ≥ 0, porcentajes 0–100, fechas válidas)?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¿El dataset está </w:t>
            </w:r>
            <w:r>
              <w:rPr>
                <w:b/>
                <w:sz w:val="19"/>
              </w:rPr>
              <w:t>balanceado</w:t>
            </w:r>
            <w:r>
              <w:rPr>
                <w:sz w:val="19"/>
              </w:rPr>
              <w:t xml:space="preserve"> donde importa (p. ej. grupos de un experimento)?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Visualizaciones (mínimo cinco)</w:t>
      </w:r>
    </w:p>
    <w:p>
      <w:pPr>
        <w:jc w:val="both"/>
      </w:pPr>
      <w:r>
        <w:rPr>
          <w:i/>
        </w:rPr>
        <w:t>Elegir el gráfico según la pregunta. Adjuntar o referenciar cada figura del cuaderno.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Gráfico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 que responde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Hallazgo (1 línea)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Histograma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¿Cómo se distribuye una variable numérica? (forma, sesgo)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Boxplot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¿Cómo se comparan grupos y dónde hay atípicos?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Barras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¿Cuántos casos hay por categoría?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Dispersión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¿Cómo se relacionan dos variables numéricas?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Mapa de correlación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¿Qué variables se mueven juntas?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Hallazgos y siguiente paso</w:t>
      </w:r>
    </w:p>
    <w:p>
      <w:pPr>
        <w:jc w:val="both"/>
      </w:pPr>
      <w:r>
        <w:rPr>
          <w:i/>
        </w:rPr>
        <w:t xml:space="preserve">Resumir en 3–5 líneas: patrones, problemas de calidad y una hipótesis a poner a prueba. Recordar: la correlación explora </w:t>
      </w:r>
      <w:r>
        <w:rPr>
          <w:i/>
        </w:rPr>
        <w:t>asociación, no causalidad</w:t>
      </w:r>
      <w:r>
        <w:rPr>
          <w:i/>
        </w:rPr>
        <w:t>; para afirmar causa se necesita un experimento (A/B).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se conecta:</w:t>
      </w:r>
      <w:r>
        <w:rPr>
          <w:color w:val="2D2D2D"/>
        </w:rPr>
        <w:t xml:space="preserve"> este checklist alimenta el análisis EDA del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) y la fase de </w:t>
      </w:r>
      <w:r>
        <w:rPr>
          <w:i/>
          <w:color w:val="2D2D2D"/>
        </w:rPr>
        <w:t>comprensión y preparación de los datos</w:t>
      </w:r>
      <w:r>
        <w:rPr>
          <w:color w:val="2D2D2D"/>
        </w:rPr>
        <w:t xml:space="preserve"> de la </w:t>
      </w:r>
      <w:r>
        <w:rPr>
          <w:rFonts w:ascii="Consolas" w:hAnsi="Consolas"/>
          <w:color w:val="2D2D2D"/>
          <w:sz w:val="19"/>
        </w:rPr>
        <w:t>plantillas/ficha_proyecto_crispdm.docx</w:t>
      </w:r>
      <w:r>
        <w:rPr>
          <w:color w:val="2D2D2D"/>
        </w:rPr>
        <w:t xml:space="preserve">. La lectura de cada resultado se apoya en el cuaderno </w:t>
      </w:r>
      <w:r>
        <w:rPr>
          <w:rFonts w:ascii="Consolas" w:hAnsi="Consolas"/>
          <w:color w:val="2D2D2D"/>
          <w:sz w:val="19"/>
        </w:rPr>
        <w:t>notebook/EPE_S1_fundamentos.ipynb</w:t>
      </w:r>
      <w:r>
        <w:rPr>
          <w:color w:val="2D2D2D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exploración de datos — checklist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