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MODALIDAD EPE</w:t>
      </w:r>
    </w:p>
    <w:p>
      <w:pPr>
        <w:spacing w:after="40"/>
      </w:pPr>
      <w:r>
        <w:rPr>
          <w:rFonts w:ascii="Cambria" w:cs="Cambria" w:eastAsia="Cambria" w:hAnsi="Cambria"/>
          <w:b/>
          <w:bCs/>
          <w:color w:val="2D2D2D"/>
          <w:sz w:val="36"/>
          <w:szCs w:val="36"/>
        </w:rPr>
        <w:t xml:space="preserve">Entregable evaluable — Sesión EPE E3</w:t>
      </w:r>
    </w:p>
    <w:p>
      <w:pPr>
        <w:pBdr>
          <w:bottom w:val="single" w:color="E4002B" w:sz="18" w:space="10"/>
        </w:pBdr>
        <w:spacing w:after="160"/>
      </w:pPr>
      <w:r>
        <w:rPr>
          <w:rFonts w:ascii="Cambria" w:cs="Cambria" w:eastAsia="Cambria" w:hAnsi="Cambria"/>
          <w:color w:val="7A1526"/>
          <w:sz w:val="28"/>
          <w:szCs w:val="28"/>
        </w:rPr>
        <w:t xml:space="preserve">Comprimir y visualizar con PCA (caso nuevo)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EPE E3 · Demasiadas variables (regularización y PCA) · Entregable evaluable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Parejas · entrega </w:t>
            </w:r>
            <w:r>
              <w:rPr>
                <w:rFonts w:ascii="Cambria" w:cs="Cambria" w:eastAsia="Cambria" w:hAnsi="Cambria"/>
                <w:b/>
                <w:bCs/>
                <w:color w:val="2D2D2D"/>
                <w:sz w:val="19"/>
                <w:szCs w:val="19"/>
              </w:rPr>
              <w:t xml:space="preserve">individual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CALIFICACIÓN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Escala vigesimal 0–20, según la rúbrica de la sección 4 de este documento</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CASO NUEVO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Wine (UCI), no trabajado en </w:t>
            </w:r>
            <w:r>
              <w:rPr>
                <w:rFonts w:ascii="Consolas" w:cs="Consolas" w:eastAsia="Consolas" w:hAnsi="Consolas"/>
                <w:color w:val="7A1526"/>
                <w:sz w:val="17"/>
                <w:szCs w:val="17"/>
              </w:rPr>
              <w:t xml:space="preserve">notebook/EPE_S3_regularizacion_pca.ipynb</w:t>
            </w:r>
            <w:r>
              <w:rPr>
                <w:rFonts w:ascii="Cambria" w:cs="Cambria" w:eastAsia="Cambria" w:hAnsi="Cambria"/>
                <w:color w:val="2D2D2D"/>
                <w:sz w:val="19"/>
                <w:szCs w:val="19"/>
              </w:rPr>
              <w:t xml:space="preserve"> — evalúa transferencia del método, no memoria de un resultado ya visto</w:t>
            </w:r>
          </w:p>
        </w:tc>
      </w:tr>
    </w:tbl>
    <w:p>
      <w:pPr>
        <w:spacing w:after="150"/>
      </w:pPr>
    </w:p>
    <w:p>
      <w:pPr>
        <w:spacing w:after="180" w:line="265"/>
      </w:pPr>
      <w:r>
        <w:rPr>
          <w:rFonts w:ascii="Cambria" w:cs="Cambria" w:eastAsia="Cambria" w:hAnsi="Cambria"/>
          <w:color w:val="3A3A3A"/>
          <w:sz w:val="18"/>
          <w:szCs w:val="18"/>
        </w:rPr>
        <w:t xml:space="preserve">Material del estudiante. Trabajo evaluable de la Sesión E3 (Demasiadas variables: regularización y PCA). Modalidad: parejas, </w:t>
      </w:r>
      <w:r>
        <w:rPr>
          <w:rFonts w:ascii="Cambria" w:cs="Cambria" w:eastAsia="Cambria" w:hAnsi="Cambria"/>
          <w:b/>
          <w:bCs/>
          <w:color w:val="3A3A3A"/>
          <w:sz w:val="18"/>
          <w:szCs w:val="18"/>
        </w:rPr>
        <w:t xml:space="preserve">entrega individual</w:t>
      </w:r>
      <w:r>
        <w:rPr>
          <w:rFonts w:ascii="Cambria" w:cs="Cambria" w:eastAsia="Cambria" w:hAnsi="Cambria"/>
          <w:color w:val="3A3A3A"/>
          <w:sz w:val="18"/>
          <w:szCs w:val="18"/>
        </w:rPr>
        <w:t xml:space="preserve">. Calificación vigesimal 0–20 según la rúbrica de este documento. Español impersonal. </w:t>
      </w:r>
      <w:r>
        <w:rPr>
          <w:rFonts w:ascii="Cambria" w:cs="Cambria" w:eastAsia="Cambria" w:hAnsi="Cambria"/>
          <w:b/>
          <w:bCs/>
          <w:color w:val="3A3A3A"/>
          <w:sz w:val="18"/>
          <w:szCs w:val="18"/>
        </w:rPr>
        <w:t xml:space="preserve">Caso nuevo, no visto en clase.</w:t>
      </w:r>
      <w:r>
        <w:rPr>
          <w:rFonts w:ascii="Cambria" w:cs="Cambria" w:eastAsia="Cambria" w:hAnsi="Cambria"/>
          <w:color w:val="3A3A3A"/>
          <w:sz w:val="18"/>
          <w:szCs w:val="18"/>
        </w:rPr>
        <w:t xml:space="preserve"> El cuaderno </w:t>
      </w:r>
      <w:r>
        <w:rPr>
          <w:rFonts w:ascii="Consolas" w:cs="Consolas" w:eastAsia="Consolas" w:hAnsi="Consolas"/>
          <w:color w:val="7A1526"/>
          <w:sz w:val="16"/>
          <w:szCs w:val="16"/>
        </w:rPr>
        <w:t xml:space="preserve">notebook/EPE_S3_regularizacion_pca.ipynb</w:t>
      </w:r>
      <w:r>
        <w:rPr>
          <w:rFonts w:ascii="Cambria" w:cs="Cambria" w:eastAsia="Cambria" w:hAnsi="Cambria"/>
          <w:color w:val="3A3A3A"/>
          <w:sz w:val="18"/>
          <w:szCs w:val="18"/>
        </w:rPr>
        <w:t xml:space="preserve"> aplica RIDGE, LASSO y PCA sobre un único dataset (Communities and Crime). Este entregable pide aplicar PCA a un dataset distinto, que el cuaderno no trabaja, para evaluar si el método se transfiere a datos nuevos. El apoyo es la </w:t>
      </w:r>
      <w:r>
        <w:rPr>
          <w:rFonts w:ascii="Consolas" w:cs="Consolas" w:eastAsia="Consolas" w:hAnsi="Consolas"/>
          <w:color w:val="7A1526"/>
          <w:sz w:val="16"/>
          <w:szCs w:val="16"/>
        </w:rPr>
        <w:t xml:space="preserve">plantillas/guia_componentes_pca.docx</w:t>
      </w:r>
      <w:r>
        <w:rPr>
          <w:rFonts w:ascii="Cambria" w:cs="Cambria" w:eastAsia="Cambria" w:hAnsi="Cambria"/>
          <w:color w:val="3A3A3A"/>
          <w:sz w:val="18"/>
          <w:szCs w:val="18"/>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ENTREGABLE</w:t>
            </w:r>
          </w:p>
          <w:p>
            <w:pPr>
              <w:spacing w:line="280"/>
            </w:pPr>
            <w:r>
              <w:rPr>
                <w:rFonts w:ascii="Cambria" w:cs="Cambria" w:eastAsia="Cambria" w:hAnsi="Cambria"/>
                <w:color w:val="FFFFFF"/>
                <w:sz w:val="21"/>
                <w:szCs w:val="21"/>
              </w:rPr>
              <w:t xml:space="preserve">Aplicar el método de PCA (estandarizar, elegir el número de componentes, nombrar los ejes con sus cargas, visualizar en 2D y traducir la compresión a valor de negocio) a un caso nuevo que el cuaderno de clase no trabajó, y documentar una recomendación de negocio con su valor en dinero.</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Contexto de negocio</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La tarea (seis puntos, en este orden)</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máx. 2 páginas + anexos</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Formato de entrega</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Rúbrica de evaluación</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vigesimal, total 20</w:t>
            </w:r>
          </w:p>
        </w:tc>
      </w:tr>
    </w:tbl>
    <w:p>
      <w:pPr>
        <w:spacing w:after="220"/>
      </w:pP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CONTEXTO DE NEGOCIO</w:t>
      </w:r>
    </w:p>
    <w:p>
      <w:pPr>
        <w:keepNext/>
        <w:pBdr>
          <w:bottom w:val="single" w:color="E4002B" w:sz="14" w:space="8"/>
        </w:pBdr>
        <w:spacing w:after="140"/>
      </w:pPr>
      <w:r>
        <w:rPr>
          <w:rFonts w:ascii="Cambria" w:cs="Cambria" w:eastAsia="Cambria" w:hAnsi="Cambria"/>
          <w:i/>
          <w:iCs/>
          <w:color w:val="6E6E6E"/>
          <w:sz w:val="19"/>
          <w:szCs w:val="19"/>
        </w:rPr>
        <w:t xml:space="preserve">Wine (PCA) — caso nuevo, no visto en clase</w:t>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Una productora de vinos (bodega) necesita verificar, a partir de mediciones de laboratorio, a qué cultivar pertenece cada lote de uva antes de decidir con cuál mezcla (blend) o línea de producto lo destina —una tarea de control de calidad y de planificación de producción, no de investigación académica—. El dataset Wine (UCI) describe 178 vinos de tres cultivares mediante 13 medidas químicas (alcohol, fenoles, flavonoides, intensidad de color, prolina, entre otras). Con tantas variables correlacionadas, mirarlas de a pares para decidir el cultivar es inviable a escala. El Análisis de Componentes Principales (PCA) resume esas 13 variables en unas pocas componentes nuevas y permite visualizar en 2D si los lotes se agrupan por cultivar antes de decidir nada con etiquetas.</w:t>
      </w:r>
    </w:p>
    <w:p>
      <w:pPr>
        <w:spacing w:after="220"/>
      </w:pPr>
    </w:p>
    <w:p>
      <w:pPr>
        <w:spacing w:line="270"/>
      </w:pPr>
      <w:r>
        <w:rPr>
          <w:rFonts w:ascii="Cambria" w:cs="Cambria" w:eastAsia="Cambria" w:hAnsi="Cambria"/>
          <w:color w:val="2D2D2D"/>
          <w:sz w:val="20"/>
          <w:szCs w:val="20"/>
        </w:rPr>
        <w:t xml:space="preserve">Datos: </w:t>
      </w:r>
      <w:r>
        <w:rPr>
          <w:rFonts w:ascii="Consolas" w:cs="Consolas" w:eastAsia="Consolas" w:hAnsi="Consolas"/>
          <w:color w:val="7A1526"/>
          <w:sz w:val="18"/>
          <w:szCs w:val="18"/>
        </w:rPr>
        <w:t xml:space="preserve">data/wine.csv</w:t>
      </w:r>
      <w:r>
        <w:rPr>
          <w:rFonts w:ascii="Cambria" w:cs="Cambria" w:eastAsia="Cambria" w:hAnsi="Cambria"/>
          <w:color w:val="2D2D2D"/>
          <w:sz w:val="20"/>
          <w:szCs w:val="20"/>
        </w:rPr>
        <w:t xml:space="preserve"> (ver </w:t>
      </w:r>
      <w:r>
        <w:rPr>
          <w:rFonts w:ascii="Consolas" w:cs="Consolas" w:eastAsia="Consolas" w:hAnsi="Consolas"/>
          <w:color w:val="7A1526"/>
          <w:sz w:val="18"/>
          <w:szCs w:val="18"/>
        </w:rPr>
        <w:t xml:space="preserve">data/diccionario_datos.md</w:t>
      </w:r>
      <w:r>
        <w:rPr>
          <w:rFonts w:ascii="Cambria" w:cs="Cambria" w:eastAsia="Cambria" w:hAnsi="Cambria"/>
          <w:color w:val="2D2D2D"/>
          <w:sz w:val="20"/>
          <w:szCs w:val="20"/>
        </w:rPr>
        <w:t xml:space="preserve">, sección Wine). El método a aplicar es exactamente el que recorrió el cuaderno en los Pasos 7–11, pero sobre Communities and Crime. Aquí se aplica sobre un dataset que el cuaderno nunca cargó.</w:t>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TAREA</w:t>
      </w:r>
    </w:p>
    <w:p>
      <w:pPr>
        <w:keepNext/>
        <w:pBdr>
          <w:bottom w:val="single" w:color="E4002B" w:sz="14" w:space="8"/>
        </w:pBdr>
        <w:spacing w:after="140"/>
      </w:pPr>
      <w:r>
        <w:rPr>
          <w:rFonts w:ascii="Cambria" w:cs="Cambria" w:eastAsia="Cambria" w:hAnsi="Cambria"/>
          <w:i/>
          <w:iCs/>
          <w:color w:val="6E6E6E"/>
          <w:sz w:val="19"/>
          <w:szCs w:val="19"/>
        </w:rPr>
        <w:t xml:space="preserve">Estandarizar, elegir componentes, nombrarlas, visualizar, recomendar y valorar en dinero — reporte máx. 2 páginas + anexos</w:t>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Producir un </w:t>
      </w:r>
      <w:r>
        <w:rPr>
          <w:rFonts w:ascii="Cambria" w:cs="Cambria" w:eastAsia="Cambria" w:hAnsi="Cambria"/>
          <w:b/>
          <w:bCs/>
          <w:color w:val="2D2D2D"/>
          <w:sz w:val="20"/>
          <w:szCs w:val="20"/>
        </w:rPr>
        <w:t xml:space="preserve">reporte de negocio</w:t>
      </w:r>
      <w:r>
        <w:rPr>
          <w:rFonts w:ascii="Cambria" w:cs="Cambria" w:eastAsia="Cambria" w:hAnsi="Cambria"/>
          <w:color w:val="2D2D2D"/>
          <w:sz w:val="20"/>
          <w:szCs w:val="20"/>
        </w:rPr>
        <w:t xml:space="preserve"> (máx. 2 páginas + anexos del análisis propio) que contenga, en este orden:</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Estandarizar</w:t>
            </w:r>
          </w:p>
          <w:p>
            <w:pPr>
              <w:spacing w:after="70" w:line="265"/>
            </w:pPr>
            <w:r>
              <w:rPr>
                <w:rFonts w:ascii="Cambria" w:cs="Cambria" w:eastAsia="Cambria" w:hAnsi="Cambria"/>
                <w:color w:val="3A3A3A"/>
                <w:sz w:val="18"/>
                <w:szCs w:val="18"/>
              </w:rPr>
              <w:t xml:space="preserve">Cargar </w:t>
            </w:r>
            <w:r>
              <w:rPr>
                <w:rFonts w:ascii="Consolas" w:cs="Consolas" w:eastAsia="Consolas" w:hAnsi="Consolas"/>
                <w:color w:val="7A1526"/>
                <w:sz w:val="16"/>
                <w:szCs w:val="16"/>
              </w:rPr>
              <w:t xml:space="preserve">data/wine.csv</w:t>
            </w:r>
            <w:r>
              <w:rPr>
                <w:rFonts w:ascii="Cambria" w:cs="Cambria" w:eastAsia="Cambria" w:hAnsi="Cambria"/>
                <w:color w:val="3A3A3A"/>
                <w:sz w:val="18"/>
                <w:szCs w:val="18"/>
              </w:rPr>
              <w:t xml:space="preserve">, correr PCA sobre los datos </w:t>
            </w:r>
            <w:r>
              <w:rPr>
                <w:rFonts w:ascii="Cambria" w:cs="Cambria" w:eastAsia="Cambria" w:hAnsi="Cambria"/>
                <w:b/>
                <w:bCs/>
                <w:color w:val="3A3A3A"/>
                <w:sz w:val="18"/>
                <w:szCs w:val="18"/>
              </w:rPr>
              <w:t xml:space="preserve">crudos</w:t>
            </w:r>
            <w:r>
              <w:rPr>
                <w:rFonts w:ascii="Cambria" w:cs="Cambria" w:eastAsia="Cambria" w:hAnsi="Cambria"/>
                <w:color w:val="3A3A3A"/>
                <w:sz w:val="18"/>
                <w:szCs w:val="18"/>
              </w:rPr>
              <w:t xml:space="preserve"> y sobre los datos </w:t>
            </w:r>
            <w:r>
              <w:rPr>
                <w:rFonts w:ascii="Cambria" w:cs="Cambria" w:eastAsia="Cambria" w:hAnsi="Cambria"/>
                <w:b/>
                <w:bCs/>
                <w:color w:val="3A3A3A"/>
                <w:sz w:val="18"/>
                <w:szCs w:val="18"/>
              </w:rPr>
              <w:t xml:space="preserve">estandarizados</w:t>
            </w:r>
            <w:r>
              <w:rPr>
                <w:rFonts w:ascii="Cambria" w:cs="Cambria" w:eastAsia="Cambria" w:hAnsi="Cambria"/>
                <w:color w:val="3A3A3A"/>
                <w:sz w:val="18"/>
                <w:szCs w:val="18"/>
              </w:rPr>
              <w:t xml:space="preserve">, y reportar el PC1 de cada convención. Explicar en una frase por qué la diferencia entre ambos no es opcional (qué variable domina el crudo y por qué).</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2.2   </w:t>
            </w:r>
            <w:r>
              <w:rPr>
                <w:rFonts w:ascii="Calibri" w:cs="Calibri" w:eastAsia="Calibri" w:hAnsi="Calibri"/>
                <w:b/>
                <w:bCs/>
                <w:color w:val="7A1526"/>
                <w:sz w:val="19"/>
                <w:szCs w:val="19"/>
              </w:rPr>
              <w:t xml:space="preserve">Elegir el número de componentes</w:t>
            </w:r>
          </w:p>
          <w:p>
            <w:pPr>
              <w:spacing w:after="70" w:line="265"/>
            </w:pPr>
            <w:r>
              <w:rPr>
                <w:rFonts w:ascii="Cambria" w:cs="Cambria" w:eastAsia="Cambria" w:hAnsi="Cambria"/>
                <w:color w:val="3A3A3A"/>
                <w:sz w:val="18"/>
                <w:szCs w:val="18"/>
              </w:rPr>
              <w:t xml:space="preserve">Con la tabla de varianza explicada y acumulada (datos estandarizados), decidir cuántas componentes hacen falta para </w:t>
            </w:r>
            <w:r>
              <w:rPr>
                <w:rFonts w:ascii="Cambria" w:cs="Cambria" w:eastAsia="Cambria" w:hAnsi="Cambria"/>
                <w:b/>
                <w:bCs/>
                <w:color w:val="3A3A3A"/>
                <w:sz w:val="18"/>
                <w:szCs w:val="18"/>
              </w:rPr>
              <w:t xml:space="preserve">visualizar</w:t>
            </w:r>
            <w:r>
              <w:rPr>
                <w:rFonts w:ascii="Cambria" w:cs="Cambria" w:eastAsia="Cambria" w:hAnsi="Cambria"/>
                <w:color w:val="3A3A3A"/>
                <w:sz w:val="18"/>
                <w:szCs w:val="18"/>
              </w:rPr>
              <w:t xml:space="preserve"> (2D) y cuántas para </w:t>
            </w:r>
            <w:r>
              <w:rPr>
                <w:rFonts w:ascii="Cambria" w:cs="Cambria" w:eastAsia="Cambria" w:hAnsi="Cambria"/>
                <w:b/>
                <w:bCs/>
                <w:color w:val="3A3A3A"/>
                <w:sz w:val="18"/>
                <w:szCs w:val="18"/>
              </w:rPr>
              <w:t xml:space="preserve">modelar</w:t>
            </w:r>
            <w:r>
              <w:rPr>
                <w:rFonts w:ascii="Cambria" w:cs="Cambria" w:eastAsia="Cambria" w:hAnsi="Cambria"/>
                <w:color w:val="3A3A3A"/>
                <w:sz w:val="18"/>
                <w:szCs w:val="18"/>
              </w:rPr>
              <w:t xml:space="preserve">, con al menos el 90 % de la información retenida. Justificar que el número se ata al objetivo, no es una cifra fija.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2.3   </w:t>
            </w:r>
            <w:r>
              <w:rPr>
                <w:rFonts w:ascii="Calibri" w:cs="Calibri" w:eastAsia="Calibri" w:hAnsi="Calibri"/>
                <w:b/>
                <w:bCs/>
                <w:color w:val="7A1526"/>
                <w:sz w:val="19"/>
                <w:szCs w:val="19"/>
              </w:rPr>
              <w:t xml:space="preserve">Nombrar los componentes</w:t>
            </w:r>
          </w:p>
          <w:p>
            <w:pPr>
              <w:spacing w:after="70" w:line="265"/>
            </w:pPr>
            <w:r>
              <w:rPr>
                <w:rFonts w:ascii="Cambria" w:cs="Cambria" w:eastAsia="Cambria" w:hAnsi="Cambria"/>
                <w:color w:val="3A3A3A"/>
                <w:sz w:val="18"/>
                <w:szCs w:val="18"/>
              </w:rPr>
              <w:t xml:space="preserve">Calcular las </w:t>
            </w:r>
            <w:r>
              <w:rPr>
                <w:rFonts w:ascii="Cambria" w:cs="Cambria" w:eastAsia="Cambria" w:hAnsi="Cambria"/>
                <w:b/>
                <w:bCs/>
                <w:color w:val="3A3A3A"/>
                <w:sz w:val="18"/>
                <w:szCs w:val="18"/>
              </w:rPr>
              <w:t xml:space="preserve">cargas de correlación</w:t>
            </w:r>
            <w:r>
              <w:rPr>
                <w:rFonts w:ascii="Cambria" w:cs="Cambria" w:eastAsia="Cambria" w:hAnsi="Cambria"/>
                <w:color w:val="3A3A3A"/>
                <w:sz w:val="18"/>
                <w:szCs w:val="18"/>
              </w:rPr>
              <w:t xml:space="preserve"> (no el autovector unitario) de PC1 y PC2, identificar las variables de mayor peso en cada una y ponerle un nombre de negocio a cada eje (p. ej. «riqueza fenólica / cuerpo del vino»). Aclarar la diferencia entre autovector y carga con un ejemplo numérico propio.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2.4   </w:t>
            </w:r>
            <w:r>
              <w:rPr>
                <w:rFonts w:ascii="Calibri" w:cs="Calibri" w:eastAsia="Calibri" w:hAnsi="Calibri"/>
                <w:b/>
                <w:bCs/>
                <w:color w:val="7A1526"/>
                <w:sz w:val="19"/>
                <w:szCs w:val="19"/>
              </w:rPr>
              <w:t xml:space="preserve">Visualizar en 2D</w:t>
            </w:r>
          </w:p>
          <w:p>
            <w:pPr>
              <w:spacing w:after="70" w:line="265"/>
            </w:pPr>
            <w:r>
              <w:rPr>
                <w:rFonts w:ascii="Cambria" w:cs="Cambria" w:eastAsia="Cambria" w:hAnsi="Cambria"/>
                <w:color w:val="3A3A3A"/>
                <w:sz w:val="18"/>
                <w:szCs w:val="18"/>
              </w:rPr>
              <w:t xml:space="preserve">Graficar los 178 vinos en el plano PC1–PC2, coloreados por cultivar, y leer si los tres grupos se distinguen. Indicar qué porcentaje de la información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está en ese plano y qué implica para la certeza de la lectura.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2.5   </w:t>
            </w:r>
            <w:r>
              <w:rPr>
                <w:rFonts w:ascii="Calibri" w:cs="Calibri" w:eastAsia="Calibri" w:hAnsi="Calibri"/>
                <w:b/>
                <w:bCs/>
                <w:color w:val="7A1526"/>
                <w:sz w:val="19"/>
                <w:szCs w:val="19"/>
              </w:rPr>
              <w:t xml:space="preserve">Recomendación de negocio</w:t>
            </w:r>
          </w:p>
          <w:p>
            <w:pPr>
              <w:spacing w:after="70" w:line="265"/>
            </w:pPr>
            <w:r>
              <w:rPr>
                <w:rFonts w:ascii="Cambria" w:cs="Cambria" w:eastAsia="Cambria" w:hAnsi="Cambria"/>
                <w:color w:val="3A3A3A"/>
                <w:sz w:val="18"/>
                <w:szCs w:val="18"/>
              </w:rPr>
              <w:t xml:space="preserve">En una frase: ¿en qué decisión de la productora ayuda este mapa 2D (por ejemplo, screening rápido de un lote nuevo, detección de un lote atípico)? ¿Cuándo NO alcanzaría este mapa y haría falta mirar más componentes o las 13 variables originales?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2.6   </w:t>
            </w:r>
            <w:r>
              <w:rPr>
                <w:rFonts w:ascii="Calibri" w:cs="Calibri" w:eastAsia="Calibri" w:hAnsi="Calibri"/>
                <w:b/>
                <w:bCs/>
                <w:color w:val="7A1526"/>
                <w:sz w:val="19"/>
                <w:szCs w:val="19"/>
              </w:rPr>
              <w:t xml:space="preserve">Valor en dinero de comprimir</w:t>
            </w:r>
          </w:p>
          <w:p>
            <w:pPr>
              <w:spacing w:after="70" w:line="265"/>
            </w:pPr>
            <w:r>
              <w:rPr>
                <w:rFonts w:ascii="Cambria" w:cs="Cambria" w:eastAsia="Cambria" w:hAnsi="Cambria"/>
                <w:color w:val="3A3A3A"/>
                <w:sz w:val="18"/>
                <w:szCs w:val="18"/>
              </w:rPr>
              <w:t xml:space="preserve">Traducir la compresión de 13 variables a las componentes elegidas en el punto 2 a un </w:t>
            </w:r>
            <w:r>
              <w:rPr>
                <w:rFonts w:ascii="Cambria" w:cs="Cambria" w:eastAsia="Cambria" w:hAnsi="Cambria"/>
                <w:b/>
                <w:bCs/>
                <w:color w:val="3A3A3A"/>
                <w:sz w:val="18"/>
                <w:szCs w:val="18"/>
              </w:rPr>
              <w:t xml:space="preserve">supuesto de costo explícito</w:t>
            </w:r>
            <w:r>
              <w:rPr>
                <w:rFonts w:ascii="Cambria" w:cs="Cambria" w:eastAsia="Cambria" w:hAnsi="Cambria"/>
                <w:color w:val="3A3A3A"/>
                <w:sz w:val="18"/>
                <w:szCs w:val="18"/>
              </w:rPr>
              <w:t xml:space="preserve"> (por ejemplo, GB y US$/mes de almacenamiento o cómputo si se guardaran las componentes en vez de las 13 medidas originales para miles de lotes al año, o el tiempo de laboratorio ahorrado si se prioriza qué medir primero). Indicar el supuesto usado.</w:t>
            </w:r>
          </w:p>
        </w:tc>
      </w:tr>
    </w:tbl>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FORMATO DE ENTREGA</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Reporte en.md o.docx apoyado en </w:t>
            </w:r>
            <w:r>
              <w:rPr>
                <w:rFonts w:ascii="Consolas" w:cs="Consolas" w:eastAsia="Consolas" w:hAnsi="Consolas"/>
                <w:color w:val="7A1526"/>
                <w:sz w:val="17"/>
                <w:szCs w:val="17"/>
              </w:rPr>
              <w:t xml:space="preserve">plantillas/guia_componentes_pca.docx</w:t>
            </w:r>
            <w:r>
              <w:rPr>
                <w:rFonts w:ascii="Cambria" w:cs="Cambria" w:eastAsia="Cambria" w:hAnsi="Cambria"/>
                <w:color w:val="2D2D2D"/>
                <w:sz w:val="19"/>
                <w:szCs w:val="19"/>
              </w:rPr>
              <w:t xml:space="preserve">, con las figuras y tablas generadas por el propio análisis.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análisis debe ser reproducible (cuaderno o script propio, a partir de </w:t>
            </w:r>
            <w:r>
              <w:rPr>
                <w:rFonts w:ascii="Consolas" w:cs="Consolas" w:eastAsia="Consolas" w:hAnsi="Consolas"/>
                <w:color w:val="7A1526"/>
                <w:sz w:val="17"/>
                <w:szCs w:val="17"/>
              </w:rPr>
              <w:t xml:space="preserve">data/wine.csv</w:t>
            </w:r>
            <w:r>
              <w:rPr>
                <w:rFonts w:ascii="Cambria" w:cs="Cambria" w:eastAsia="Cambria" w:hAnsi="Cambria"/>
                <w:color w:val="2D2D2D"/>
                <w:sz w:val="19"/>
                <w:szCs w:val="19"/>
              </w:rPr>
              <w:t xml:space="preserve">); toda cifra citada en el reporte debe existir en ese análisis.</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Se evalúa el método aplicado, no la coincidencia con un resultado ya visto en clase: los números de Wine son distintos de los de Communities and Crime que recorre el cuaderno, y eso es intencional.</w:t>
            </w:r>
          </w:p>
        </w:tc>
      </w:tr>
    </w:tbl>
    <w:p>
      <w:pPr>
        <w:keepNext/>
        <w:spacing w:after="60" w:before="120"/>
      </w:pPr>
      <w:r>
        <w:rPr>
          <w:rFonts w:ascii="Calibri" w:cs="Calibri" w:eastAsia="Calibri" w:hAnsi="Calibri"/>
          <w:b/>
          <w:bCs/>
          <w:color w:val="7A1526"/>
          <w:sz w:val="24"/>
          <w:szCs w:val="24"/>
        </w:rPr>
        <w:t xml:space="preserve">4.  </w:t>
      </w:r>
      <w:r>
        <w:rPr>
          <w:rFonts w:ascii="Calibri" w:cs="Calibri" w:eastAsia="Calibri" w:hAnsi="Calibri"/>
          <w:b/>
          <w:bCs/>
          <w:color w:val="7A1526"/>
          <w:spacing w:val="20"/>
          <w:sz w:val="24"/>
          <w:szCs w:val="24"/>
        </w:rPr>
        <w:t xml:space="preserve">RÚBRICA DE EVALUACIÓN</w:t>
      </w:r>
    </w:p>
    <w:p>
      <w:pPr>
        <w:keepNext/>
        <w:pBdr>
          <w:bottom w:val="single" w:color="E4002B" w:sz="14" w:space="8"/>
        </w:pBdr>
        <w:spacing w:after="140"/>
      </w:pPr>
      <w:r>
        <w:rPr>
          <w:rFonts w:ascii="Cambria" w:cs="Cambria" w:eastAsia="Cambria" w:hAnsi="Cambria"/>
          <w:i/>
          <w:iCs/>
          <w:color w:val="6E6E6E"/>
          <w:sz w:val="19"/>
          <w:szCs w:val="19"/>
        </w:rPr>
        <w:t xml:space="preserve">Escala vigesimal, 0–20 · seis criterios × cuatro niveles</w:t>
      </w:r>
      <w:r>
        <w:rPr>
          <w:rFonts w:ascii="Cambria" w:cs="Cambria" w:eastAsia="Cambria" w:hAnsi="Cambria"/>
          <w:b/>
          <w:bCs/>
          <w:color w:val="7A1526"/>
          <w:sz w:val="19"/>
          <w:szCs w:val="19"/>
        </w:rPr>
        <w:t xml:space="preserve">   |   total 20 puntos</w:t>
      </w:r>
    </w:p>
    <w:p>
      <w:pPr>
        <w:spacing w:line="270"/>
      </w:pPr>
      <w:r>
        <w:rPr>
          <w:rFonts w:ascii="Cambria" w:cs="Cambria" w:eastAsia="Cambria" w:hAnsi="Cambria"/>
          <w:color w:val="2D2D2D"/>
          <w:sz w:val="20"/>
          <w:szCs w:val="20"/>
        </w:rPr>
        <w:t xml:space="preserve">Seis criterios × cuatro niveles. La columna </w:t>
      </w:r>
      <w:r>
        <w:rPr>
          <w:rFonts w:ascii="Cambria" w:cs="Cambria" w:eastAsia="Cambria" w:hAnsi="Cambria"/>
          <w:b/>
          <w:bCs/>
          <w:color w:val="2D2D2D"/>
          <w:sz w:val="20"/>
          <w:szCs w:val="20"/>
        </w:rPr>
        <w:t xml:space="preserve">Peso (máx.)</w:t>
      </w:r>
      <w:r>
        <w:rPr>
          <w:rFonts w:ascii="Cambria" w:cs="Cambria" w:eastAsia="Cambria" w:hAnsi="Cambria"/>
          <w:color w:val="2D2D2D"/>
          <w:sz w:val="20"/>
          <w:szCs w:val="20"/>
        </w:rPr>
        <w:t xml:space="preserve"> es el puntaje del nivel </w:t>
      </w:r>
      <w:r>
        <w:rPr>
          <w:rFonts w:ascii="Cambria" w:cs="Cambria" w:eastAsia="Cambria" w:hAnsi="Cambria"/>
          <w:i/>
          <w:iCs/>
          <w:color w:val="2D2D2D"/>
          <w:sz w:val="20"/>
          <w:szCs w:val="20"/>
        </w:rPr>
        <w:t xml:space="preserve">Excelente</w:t>
      </w:r>
      <w:r>
        <w:rPr>
          <w:rFonts w:ascii="Cambria" w:cs="Cambria" w:eastAsia="Cambria" w:hAnsi="Cambria"/>
          <w:color w:val="2D2D2D"/>
          <w:sz w:val="20"/>
          <w:szCs w:val="20"/>
        </w:rPr>
        <w:t xml:space="preserve">; los pesos </w:t>
      </w:r>
      <w:r>
        <w:rPr>
          <w:rFonts w:ascii="Cambria" w:cs="Cambria" w:eastAsia="Cambria" w:hAnsi="Cambria"/>
          <w:b/>
          <w:bCs/>
          <w:color w:val="2D2D2D"/>
          <w:sz w:val="20"/>
          <w:szCs w:val="20"/>
        </w:rPr>
        <w:t xml:space="preserve">suman exactamente 20</w:t>
      </w:r>
      <w:r>
        <w:rPr>
          <w:rFonts w:ascii="Cambria" w:cs="Cambria" w:eastAsia="Cambria" w:hAnsi="Cambria"/>
          <w:color w:val="2D2D2D"/>
          <w:sz w:val="20"/>
          <w:szCs w:val="20"/>
        </w:rPr>
        <w:t xml:space="preserve">. Cada nivel otorga el puntaje indicado entre paréntesis.</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20"/>
        <w:gridCol w:w="1638"/>
        <w:gridCol w:w="1638"/>
        <w:gridCol w:w="1638"/>
        <w:gridCol w:w="1638"/>
        <w:gridCol w:w="908"/>
      </w:tblGrid>
      <w:tr>
        <w:trPr>
          <w:tblHeader/>
        </w:trPr>
        <w:tc>
          <w:tcPr>
            <w:tcW w:type="dxa" w:w="2620"/>
            <w:tcBorders>
              <w:top w:val="none" w:color="FFFFFF" w:sz="0"/>
              <w:left w:val="none" w:color="FFFFFF" w:sz="0"/>
              <w:bottom w:val="none" w:color="FFFFFF" w:sz="0"/>
              <w:right w:val="none" w:color="FFFFFF" w:sz="0"/>
            </w:tcBorders>
            <w:shd w:fill="3D4450" w:color="auto" w:val="clear"/>
            <w:tcMar>
              <w:top w:type="dxa" w:w="80"/>
              <w:left w:type="dxa" w:w="150"/>
              <w:bottom w:type="dxa" w:w="80"/>
              <w:right w:type="dxa" w:w="150"/>
            </w:tcMar>
          </w:tcPr>
          <w:p>
            <w:r>
              <w:rPr>
                <w:rFonts w:ascii="Calibri" w:cs="Calibri" w:eastAsia="Calibri" w:hAnsi="Calibri"/>
                <w:b/>
                <w:bCs/>
                <w:color w:val="FFFFFF"/>
                <w:sz w:val="14"/>
                <w:szCs w:val="14"/>
              </w:rPr>
              <w:t xml:space="preserve">CRITERIO</w:t>
            </w:r>
          </w:p>
        </w:tc>
        <w:tc>
          <w:tcPr>
            <w:tcW w:type="dxa" w:w="1638"/>
            <w:tcBorders>
              <w:top w:val="none" w:color="FFFFFF" w:sz="0"/>
              <w:left w:val="none" w:color="FFFFFF" w:sz="0"/>
              <w:bottom w:val="none" w:color="FFFFFF" w:sz="0"/>
              <w:right w:val="none" w:color="FFFFFF" w:sz="0"/>
            </w:tcBorders>
            <w:shd w:fill="3D4450" w:color="auto" w:val="clear"/>
            <w:tcMar>
              <w:top w:type="dxa" w:w="80"/>
              <w:left w:type="dxa" w:w="150"/>
              <w:bottom w:type="dxa" w:w="80"/>
              <w:right w:type="dxa" w:w="150"/>
            </w:tcMar>
          </w:tcPr>
          <w:p>
            <w:pPr>
              <w:jc w:val="center"/>
            </w:pPr>
            <w:r>
              <w:rPr>
                <w:rFonts w:ascii="Calibri" w:cs="Calibri" w:eastAsia="Calibri" w:hAnsi="Calibri"/>
                <w:b/>
                <w:bCs/>
                <w:color w:val="FFFFFF"/>
                <w:sz w:val="13"/>
                <w:szCs w:val="13"/>
              </w:rPr>
              <w:t xml:space="preserve">INSUFICIENTE</w:t>
            </w:r>
          </w:p>
        </w:tc>
        <w:tc>
          <w:tcPr>
            <w:tcW w:type="dxa" w:w="1638"/>
            <w:tcBorders>
              <w:top w:val="none" w:color="FFFFFF" w:sz="0"/>
              <w:left w:val="none" w:color="FFFFFF" w:sz="0"/>
              <w:bottom w:val="none" w:color="FFFFFF" w:sz="0"/>
              <w:right w:val="none" w:color="FFFFFF" w:sz="0"/>
            </w:tcBorders>
            <w:shd w:fill="3D4450" w:color="auto" w:val="clear"/>
            <w:tcMar>
              <w:top w:type="dxa" w:w="80"/>
              <w:left w:type="dxa" w:w="150"/>
              <w:bottom w:type="dxa" w:w="80"/>
              <w:right w:type="dxa" w:w="150"/>
            </w:tcMar>
          </w:tcPr>
          <w:p>
            <w:pPr>
              <w:jc w:val="center"/>
            </w:pPr>
            <w:r>
              <w:rPr>
                <w:rFonts w:ascii="Calibri" w:cs="Calibri" w:eastAsia="Calibri" w:hAnsi="Calibri"/>
                <w:b/>
                <w:bCs/>
                <w:color w:val="FFFFFF"/>
                <w:sz w:val="13"/>
                <w:szCs w:val="13"/>
              </w:rPr>
              <w:t xml:space="preserve">BÁSICO</w:t>
            </w:r>
          </w:p>
        </w:tc>
        <w:tc>
          <w:tcPr>
            <w:tcW w:type="dxa" w:w="1638"/>
            <w:tcBorders>
              <w:top w:val="none" w:color="FFFFFF" w:sz="0"/>
              <w:left w:val="none" w:color="FFFFFF" w:sz="0"/>
              <w:bottom w:val="none" w:color="FFFFFF" w:sz="0"/>
              <w:right w:val="none" w:color="FFFFFF" w:sz="0"/>
            </w:tcBorders>
            <w:shd w:fill="3D4450" w:color="auto" w:val="clear"/>
            <w:tcMar>
              <w:top w:type="dxa" w:w="80"/>
              <w:left w:type="dxa" w:w="150"/>
              <w:bottom w:type="dxa" w:w="80"/>
              <w:right w:type="dxa" w:w="150"/>
            </w:tcMar>
          </w:tcPr>
          <w:p>
            <w:pPr>
              <w:jc w:val="center"/>
            </w:pPr>
            <w:r>
              <w:rPr>
                <w:rFonts w:ascii="Calibri" w:cs="Calibri" w:eastAsia="Calibri" w:hAnsi="Calibri"/>
                <w:b/>
                <w:bCs/>
                <w:color w:val="FFFFFF"/>
                <w:sz w:val="13"/>
                <w:szCs w:val="13"/>
              </w:rPr>
              <w:t xml:space="preserve">COMPETENTE</w:t>
            </w:r>
          </w:p>
        </w:tc>
        <w:tc>
          <w:tcPr>
            <w:tcW w:type="dxa" w:w="1638"/>
            <w:tcBorders>
              <w:top w:val="none" w:color="FFFFFF" w:sz="0"/>
              <w:left w:val="none" w:color="FFFFFF" w:sz="0"/>
              <w:bottom w:val="none" w:color="FFFFFF" w:sz="0"/>
              <w:right w:val="none" w:color="FFFFFF" w:sz="0"/>
            </w:tcBorders>
            <w:shd w:fill="3D4450" w:color="auto" w:val="clear"/>
            <w:tcMar>
              <w:top w:type="dxa" w:w="80"/>
              <w:left w:type="dxa" w:w="150"/>
              <w:bottom w:type="dxa" w:w="80"/>
              <w:right w:type="dxa" w:w="150"/>
            </w:tcMar>
          </w:tcPr>
          <w:p>
            <w:pPr>
              <w:jc w:val="center"/>
            </w:pPr>
            <w:r>
              <w:rPr>
                <w:rFonts w:ascii="Calibri" w:cs="Calibri" w:eastAsia="Calibri" w:hAnsi="Calibri"/>
                <w:b/>
                <w:bCs/>
                <w:color w:val="FFFFFF"/>
                <w:sz w:val="13"/>
                <w:szCs w:val="13"/>
              </w:rPr>
              <w:t xml:space="preserve">EXCELENTE</w:t>
            </w:r>
          </w:p>
        </w:tc>
        <w:tc>
          <w:tcPr>
            <w:tcW w:type="dxa" w:w="908"/>
            <w:tcBorders>
              <w:top w:val="none" w:color="FFFFFF" w:sz="0"/>
              <w:left w:val="none" w:color="FFFFFF" w:sz="0"/>
              <w:bottom w:val="none" w:color="FFFFFF" w:sz="0"/>
              <w:right w:val="none" w:color="FFFFFF" w:sz="0"/>
            </w:tcBorders>
            <w:shd w:fill="3D4450" w:color="auto" w:val="clear"/>
            <w:tcMar>
              <w:top w:type="dxa" w:w="80"/>
              <w:left w:type="dxa" w:w="150"/>
              <w:bottom w:type="dxa" w:w="80"/>
              <w:right w:type="dxa" w:w="150"/>
            </w:tcMar>
          </w:tcPr>
          <w:p>
            <w:pPr>
              <w:jc w:val="center"/>
            </w:pPr>
            <w:r>
              <w:rPr>
                <w:rFonts w:ascii="Calibri" w:cs="Calibri" w:eastAsia="Calibri" w:hAnsi="Calibri"/>
                <w:b/>
                <w:bCs/>
                <w:color w:val="FFFFFF"/>
                <w:sz w:val="13"/>
                <w:szCs w:val="13"/>
              </w:rPr>
              <w:t xml:space="preserve">PESO</w:t>
            </w:r>
          </w:p>
        </w:tc>
      </w:tr>
      <w:tr>
        <w:trPr>
          <w:cantSplit/>
        </w:trPr>
        <w:tc>
          <w:tcPr>
            <w:tcW w:type="dxa" w:w="2620"/>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b/>
                <w:bCs/>
                <w:color w:val="7A1526"/>
                <w:sz w:val="17"/>
                <w:szCs w:val="17"/>
              </w:rPr>
              <w:t xml:space="preserve">C1. Estandarizar</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No aplica PCA o ignora la escala. </w:t>
            </w:r>
            <w:r>
              <w:rPr>
                <w:rFonts w:ascii="Cambria" w:cs="Cambria" w:eastAsia="Cambria" w:hAnsi="Cambria"/>
                <w:b/>
                <w:bCs/>
                <w:color w:val="2D2D2D"/>
                <w:sz w:val="16"/>
                <w:szCs w:val="16"/>
              </w:rPr>
              <w:t xml:space="preserve">(0)</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Aplica PCA pero no distingue crudo vs. estandarizado. </w:t>
            </w:r>
            <w:r>
              <w:rPr>
                <w:rFonts w:ascii="Cambria" w:cs="Cambria" w:eastAsia="Cambria" w:hAnsi="Cambria"/>
                <w:b/>
                <w:bCs/>
                <w:color w:val="2D2D2D"/>
                <w:sz w:val="16"/>
                <w:szCs w:val="16"/>
              </w:rPr>
              <w:t xml:space="preserve">(1)</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Muestra ambas convenciones y reporta el PC1 de cada una. </w:t>
            </w:r>
            <w:r>
              <w:rPr>
                <w:rFonts w:ascii="Cambria" w:cs="Cambria" w:eastAsia="Cambria" w:hAnsi="Cambria"/>
                <w:b/>
                <w:bCs/>
                <w:color w:val="2D2D2D"/>
                <w:sz w:val="16"/>
                <w:szCs w:val="16"/>
              </w:rPr>
              <w:t xml:space="preserve">(2)</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Además explica por qué el PC1 crudo es un artefacto de escala y qué variable lo produce. </w:t>
            </w:r>
            <w:r>
              <w:rPr>
                <w:rFonts w:ascii="Cambria" w:cs="Cambria" w:eastAsia="Cambria" w:hAnsi="Cambria"/>
                <w:b/>
                <w:bCs/>
                <w:color w:val="2D2D2D"/>
                <w:sz w:val="16"/>
                <w:szCs w:val="16"/>
              </w:rPr>
              <w:t xml:space="preserve">(3)</w:t>
            </w:r>
          </w:p>
        </w:tc>
        <w:tc>
          <w:tcPr>
            <w:tcW w:type="dxa" w:w="90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center"/>
          </w:tcPr>
          <w:p>
            <w:pPr>
              <w:jc w:val="center"/>
            </w:pPr>
            <w:r>
              <w:rPr>
                <w:rFonts w:ascii="Calibri" w:cs="Calibri" w:eastAsia="Calibri" w:hAnsi="Calibri"/>
                <w:b/>
                <w:bCs/>
                <w:color w:val="7A1526"/>
                <w:sz w:val="19"/>
                <w:szCs w:val="19"/>
              </w:rPr>
              <w:t xml:space="preserve">3</w:t>
            </w:r>
          </w:p>
        </w:tc>
      </w:tr>
      <w:tr>
        <w:trPr>
          <w:cantSplit/>
        </w:trPr>
        <w:tc>
          <w:tcPr>
            <w:tcW w:type="dxa" w:w="2620"/>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b/>
                <w:bCs/>
                <w:color w:val="7A1526"/>
                <w:sz w:val="17"/>
                <w:szCs w:val="17"/>
              </w:rPr>
              <w:t xml:space="preserve">C2. Elegir el número de componentes</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No reporta varianza explicada. </w:t>
            </w:r>
            <w:r>
              <w:rPr>
                <w:rFonts w:ascii="Cambria" w:cs="Cambria" w:eastAsia="Cambria" w:hAnsi="Cambria"/>
                <w:b/>
                <w:bCs/>
                <w:color w:val="2D2D2D"/>
                <w:sz w:val="16"/>
                <w:szCs w:val="16"/>
              </w:rPr>
              <w:t xml:space="preserve">(0)</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Reporta la varianza pero sin decidir un número. </w:t>
            </w:r>
            <w:r>
              <w:rPr>
                <w:rFonts w:ascii="Cambria" w:cs="Cambria" w:eastAsia="Cambria" w:hAnsi="Cambria"/>
                <w:b/>
                <w:bCs/>
                <w:color w:val="2D2D2D"/>
                <w:sz w:val="16"/>
                <w:szCs w:val="16"/>
              </w:rPr>
              <w:t xml:space="preserve">(1)</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Decide el nº de componentes para visualizar y para modelar (&gt;=90 %), con la tabla de acumulada. </w:t>
            </w:r>
            <w:r>
              <w:rPr>
                <w:rFonts w:ascii="Cambria" w:cs="Cambria" w:eastAsia="Cambria" w:hAnsi="Cambria"/>
                <w:b/>
                <w:bCs/>
                <w:color w:val="2D2D2D"/>
                <w:sz w:val="16"/>
                <w:szCs w:val="16"/>
              </w:rPr>
              <w:t xml:space="preserve">(2)</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Además argumenta que el número se ata al objetivo (ver vs. modelar), no a una regla fija. </w:t>
            </w:r>
            <w:r>
              <w:rPr>
                <w:rFonts w:ascii="Cambria" w:cs="Cambria" w:eastAsia="Cambria" w:hAnsi="Cambria"/>
                <w:b/>
                <w:bCs/>
                <w:color w:val="2D2D2D"/>
                <w:sz w:val="16"/>
                <w:szCs w:val="16"/>
              </w:rPr>
              <w:t xml:space="preserve">(3)</w:t>
            </w:r>
          </w:p>
        </w:tc>
        <w:tc>
          <w:tcPr>
            <w:tcW w:type="dxa" w:w="90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center"/>
          </w:tcPr>
          <w:p>
            <w:pPr>
              <w:jc w:val="center"/>
            </w:pPr>
            <w:r>
              <w:rPr>
                <w:rFonts w:ascii="Calibri" w:cs="Calibri" w:eastAsia="Calibri" w:hAnsi="Calibri"/>
                <w:b/>
                <w:bCs/>
                <w:color w:val="7A1526"/>
                <w:sz w:val="19"/>
                <w:szCs w:val="19"/>
              </w:rPr>
              <w:t xml:space="preserve">3</w:t>
            </w:r>
          </w:p>
        </w:tc>
      </w:tr>
      <w:tr>
        <w:trPr>
          <w:cantSplit/>
        </w:trPr>
        <w:tc>
          <w:tcPr>
            <w:tcW w:type="dxa" w:w="2620"/>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b/>
                <w:bCs/>
                <w:color w:val="7A1526"/>
                <w:sz w:val="17"/>
                <w:szCs w:val="17"/>
              </w:rPr>
              <w:t xml:space="preserve">C3. Nombrar los componentes con sus cargas</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No calcula cargas ni nombra ejes. </w:t>
            </w:r>
            <w:r>
              <w:rPr>
                <w:rFonts w:ascii="Cambria" w:cs="Cambria" w:eastAsia="Cambria" w:hAnsi="Cambria"/>
                <w:b/>
                <w:bCs/>
                <w:color w:val="2D2D2D"/>
                <w:sz w:val="16"/>
                <w:szCs w:val="16"/>
              </w:rPr>
              <w:t xml:space="preserve">(0)</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Usa el autovector unitario en vez de la carga, o nombra sin evidencia. </w:t>
            </w:r>
            <w:r>
              <w:rPr>
                <w:rFonts w:ascii="Cambria" w:cs="Cambria" w:eastAsia="Cambria" w:hAnsi="Cambria"/>
                <w:b/>
                <w:bCs/>
                <w:color w:val="2D2D2D"/>
                <w:sz w:val="16"/>
                <w:szCs w:val="16"/>
              </w:rPr>
              <w:t xml:space="preserve">(1)</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Calcula la carga de correlación de PC1 y PC2 y nombra los ejes con las variables de mayor peso. </w:t>
            </w:r>
            <w:r>
              <w:rPr>
                <w:rFonts w:ascii="Cambria" w:cs="Cambria" w:eastAsia="Cambria" w:hAnsi="Cambria"/>
                <w:b/>
                <w:bCs/>
                <w:color w:val="2D2D2D"/>
                <w:sz w:val="16"/>
                <w:szCs w:val="16"/>
              </w:rPr>
              <w:t xml:space="preserve">(2)</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Además distingue autovector vs. carga con un ejemplo numérico propio. </w:t>
            </w:r>
            <w:r>
              <w:rPr>
                <w:rFonts w:ascii="Cambria" w:cs="Cambria" w:eastAsia="Cambria" w:hAnsi="Cambria"/>
                <w:b/>
                <w:bCs/>
                <w:color w:val="2D2D2D"/>
                <w:sz w:val="16"/>
                <w:szCs w:val="16"/>
              </w:rPr>
              <w:t xml:space="preserve">(3)</w:t>
            </w:r>
          </w:p>
        </w:tc>
        <w:tc>
          <w:tcPr>
            <w:tcW w:type="dxa" w:w="90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center"/>
          </w:tcPr>
          <w:p>
            <w:pPr>
              <w:jc w:val="center"/>
            </w:pPr>
            <w:r>
              <w:rPr>
                <w:rFonts w:ascii="Calibri" w:cs="Calibri" w:eastAsia="Calibri" w:hAnsi="Calibri"/>
                <w:b/>
                <w:bCs/>
                <w:color w:val="7A1526"/>
                <w:sz w:val="19"/>
                <w:szCs w:val="19"/>
              </w:rPr>
              <w:t xml:space="preserve">4</w:t>
            </w:r>
          </w:p>
        </w:tc>
      </w:tr>
      <w:tr>
        <w:trPr>
          <w:cantSplit/>
        </w:trPr>
        <w:tc>
          <w:tcPr>
            <w:tcW w:type="dxa" w:w="2620"/>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b/>
                <w:bCs/>
                <w:color w:val="7A1526"/>
                <w:sz w:val="17"/>
                <w:szCs w:val="17"/>
              </w:rPr>
              <w:t xml:space="preserve">C4. Visualizar en 2D</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No grafica o grafica sin colorear por cultivar. </w:t>
            </w:r>
            <w:r>
              <w:rPr>
                <w:rFonts w:ascii="Cambria" w:cs="Cambria" w:eastAsia="Cambria" w:hAnsi="Cambria"/>
                <w:b/>
                <w:bCs/>
                <w:color w:val="2D2D2D"/>
                <w:sz w:val="16"/>
                <w:szCs w:val="16"/>
              </w:rPr>
              <w:t xml:space="preserve">(0)</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Grafica el 2D pero sin leerlo. </w:t>
            </w:r>
            <w:r>
              <w:rPr>
                <w:rFonts w:ascii="Cambria" w:cs="Cambria" w:eastAsia="Cambria" w:hAnsi="Cambria"/>
                <w:b/>
                <w:bCs/>
                <w:color w:val="2D2D2D"/>
                <w:sz w:val="16"/>
                <w:szCs w:val="16"/>
              </w:rPr>
              <w:t xml:space="preserve">(1)</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Grafica PC1–PC2 por cultivar y lee si los grupos se distinguen. </w:t>
            </w:r>
            <w:r>
              <w:rPr>
                <w:rFonts w:ascii="Cambria" w:cs="Cambria" w:eastAsia="Cambria" w:hAnsi="Cambria"/>
                <w:b/>
                <w:bCs/>
                <w:color w:val="2D2D2D"/>
                <w:sz w:val="16"/>
                <w:szCs w:val="16"/>
              </w:rPr>
              <w:t xml:space="preserve">(2)</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Además indica el % de información fuera del plano y qué implica para la certeza de la lectura. </w:t>
            </w:r>
            <w:r>
              <w:rPr>
                <w:rFonts w:ascii="Cambria" w:cs="Cambria" w:eastAsia="Cambria" w:hAnsi="Cambria"/>
                <w:b/>
                <w:bCs/>
                <w:color w:val="2D2D2D"/>
                <w:sz w:val="16"/>
                <w:szCs w:val="16"/>
              </w:rPr>
              <w:t xml:space="preserve">(3)</w:t>
            </w:r>
          </w:p>
        </w:tc>
        <w:tc>
          <w:tcPr>
            <w:tcW w:type="dxa" w:w="90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center"/>
          </w:tcPr>
          <w:p>
            <w:pPr>
              <w:jc w:val="center"/>
            </w:pPr>
            <w:r>
              <w:rPr>
                <w:rFonts w:ascii="Calibri" w:cs="Calibri" w:eastAsia="Calibri" w:hAnsi="Calibri"/>
                <w:b/>
                <w:bCs/>
                <w:color w:val="7A1526"/>
                <w:sz w:val="19"/>
                <w:szCs w:val="19"/>
              </w:rPr>
              <w:t xml:space="preserve">3</w:t>
            </w:r>
          </w:p>
        </w:tc>
      </w:tr>
      <w:tr>
        <w:trPr>
          <w:cantSplit/>
        </w:trPr>
        <w:tc>
          <w:tcPr>
            <w:tcW w:type="dxa" w:w="2620"/>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b/>
                <w:bCs/>
                <w:color w:val="7A1526"/>
                <w:sz w:val="17"/>
                <w:szCs w:val="17"/>
              </w:rPr>
              <w:t xml:space="preserve">C5. Recomendación de negocio</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Sin recomendación o incoherente con el análisis. </w:t>
            </w:r>
            <w:r>
              <w:rPr>
                <w:rFonts w:ascii="Cambria" w:cs="Cambria" w:eastAsia="Cambria" w:hAnsi="Cambria"/>
                <w:b/>
                <w:bCs/>
                <w:color w:val="2D2D2D"/>
                <w:sz w:val="16"/>
                <w:szCs w:val="16"/>
              </w:rPr>
              <w:t xml:space="preserve">(0)</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Recomendación genérica, sin conectar con el mapa 2D propio. </w:t>
            </w:r>
            <w:r>
              <w:rPr>
                <w:rFonts w:ascii="Cambria" w:cs="Cambria" w:eastAsia="Cambria" w:hAnsi="Cambria"/>
                <w:b/>
                <w:bCs/>
                <w:color w:val="2D2D2D"/>
                <w:sz w:val="16"/>
                <w:szCs w:val="16"/>
              </w:rPr>
              <w:t xml:space="preserve">(1)</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Indica una decisión concreta que el mapa habilita y un límite de esa lectura. </w:t>
            </w:r>
            <w:r>
              <w:rPr>
                <w:rFonts w:ascii="Cambria" w:cs="Cambria" w:eastAsia="Cambria" w:hAnsi="Cambria"/>
                <w:b/>
                <w:bCs/>
                <w:color w:val="2D2D2D"/>
                <w:sz w:val="16"/>
                <w:szCs w:val="16"/>
              </w:rPr>
              <w:t xml:space="preserve">(2)</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Recomendación accionable y coherente, con el límite explícito de cuándo NO alcanza el mapa. </w:t>
            </w:r>
            <w:r>
              <w:rPr>
                <w:rFonts w:ascii="Cambria" w:cs="Cambria" w:eastAsia="Cambria" w:hAnsi="Cambria"/>
                <w:b/>
                <w:bCs/>
                <w:color w:val="2D2D2D"/>
                <w:sz w:val="16"/>
                <w:szCs w:val="16"/>
              </w:rPr>
              <w:t xml:space="preserve">(3)</w:t>
            </w:r>
          </w:p>
        </w:tc>
        <w:tc>
          <w:tcPr>
            <w:tcW w:type="dxa" w:w="90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center"/>
          </w:tcPr>
          <w:p>
            <w:pPr>
              <w:jc w:val="center"/>
            </w:pPr>
            <w:r>
              <w:rPr>
                <w:rFonts w:ascii="Calibri" w:cs="Calibri" w:eastAsia="Calibri" w:hAnsi="Calibri"/>
                <w:b/>
                <w:bCs/>
                <w:color w:val="7A1526"/>
                <w:sz w:val="19"/>
                <w:szCs w:val="19"/>
              </w:rPr>
              <w:t xml:space="preserve">3</w:t>
            </w:r>
          </w:p>
        </w:tc>
      </w:tr>
      <w:tr>
        <w:trPr>
          <w:cantSplit/>
        </w:trPr>
        <w:tc>
          <w:tcPr>
            <w:tcW w:type="dxa" w:w="2620"/>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b/>
                <w:bCs/>
                <w:color w:val="7A1526"/>
                <w:sz w:val="17"/>
                <w:szCs w:val="17"/>
              </w:rPr>
              <w:t xml:space="preserve">C6. Valor en dinero de comprimir</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No traduce la compresión a dinero. </w:t>
            </w:r>
            <w:r>
              <w:rPr>
                <w:rFonts w:ascii="Cambria" w:cs="Cambria" w:eastAsia="Cambria" w:hAnsi="Cambria"/>
                <w:b/>
                <w:bCs/>
                <w:color w:val="2D2D2D"/>
                <w:sz w:val="16"/>
                <w:szCs w:val="16"/>
              </w:rPr>
              <w:t xml:space="preserve">(0)</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Menciona ahorro solo de forma cualitativa, sin cifra. </w:t>
            </w:r>
            <w:r>
              <w:rPr>
                <w:rFonts w:ascii="Cambria" w:cs="Cambria" w:eastAsia="Cambria" w:hAnsi="Cambria"/>
                <w:b/>
                <w:bCs/>
                <w:color w:val="2D2D2D"/>
                <w:sz w:val="16"/>
                <w:szCs w:val="16"/>
              </w:rPr>
              <w:t xml:space="preserve">(1)</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Cuantifica el ahorro (almacenamiento, cómputo o tiempo) con un supuesto de costo explícito. </w:t>
            </w:r>
            <w:r>
              <w:rPr>
                <w:rFonts w:ascii="Cambria" w:cs="Cambria" w:eastAsia="Cambria" w:hAnsi="Cambria"/>
                <w:b/>
                <w:bCs/>
                <w:color w:val="2D2D2D"/>
                <w:sz w:val="16"/>
                <w:szCs w:val="16"/>
              </w:rPr>
              <w:t xml:space="preserve">(2)</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Cuantifica el ahorro y lo conecta con el nº de componentes elegido en C2, de forma coherente. </w:t>
            </w:r>
            <w:r>
              <w:rPr>
                <w:rFonts w:ascii="Cambria" w:cs="Cambria" w:eastAsia="Cambria" w:hAnsi="Cambria"/>
                <w:b/>
                <w:bCs/>
                <w:color w:val="2D2D2D"/>
                <w:sz w:val="16"/>
                <w:szCs w:val="16"/>
              </w:rPr>
              <w:t xml:space="preserve">(3)</w:t>
            </w:r>
          </w:p>
        </w:tc>
        <w:tc>
          <w:tcPr>
            <w:tcW w:type="dxa" w:w="90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center"/>
          </w:tcPr>
          <w:p>
            <w:pPr>
              <w:jc w:val="center"/>
            </w:pPr>
            <w:r>
              <w:rPr>
                <w:rFonts w:ascii="Calibri" w:cs="Calibri" w:eastAsia="Calibri" w:hAnsi="Calibri"/>
                <w:b/>
                <w:bCs/>
                <w:color w:val="7A1526"/>
                <w:sz w:val="19"/>
                <w:szCs w:val="19"/>
              </w:rPr>
              <w:t xml:space="preserve">4</w:t>
            </w:r>
          </w:p>
        </w:tc>
      </w:tr>
    </w:tbl>
    <w:p>
      <w:pPr>
        <w:spacing w:after="8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single" w:color="D9D9D9" w:sz="4"/>
              <w:left w:val="none" w:color="FFFFFF" w:sz="0"/>
              <w:bottom w:val="single" w:color="D9D9D9" w:sz="4"/>
              <w:right w:val="none" w:color="FFFFFF" w:sz="0"/>
            </w:tcBorders>
            <w:shd w:fill="F2F3F5" w:color="auto" w:val="clear"/>
            <w:tcMar>
              <w:top w:type="dxa" w:w="130"/>
              <w:left w:type="dxa" w:w="150"/>
              <w:bottom w:type="dxa" w:w="130"/>
              <w:right w:type="dxa" w:w="150"/>
            </w:tcMar>
          </w:tcPr>
          <w:p>
            <w:pPr>
              <w:jc w:val="center"/>
            </w:pPr>
            <w:r>
              <w:rPr>
                <w:rFonts w:ascii="Calibri" w:cs="Calibri" w:eastAsia="Calibri" w:hAnsi="Calibri"/>
                <w:b/>
                <w:bCs/>
                <w:color w:val="7A1526"/>
                <w:sz w:val="18"/>
                <w:szCs w:val="18"/>
              </w:rPr>
              <w:t xml:space="preserve">Puntaje total = C1 + C2 + C3 + C4 + C5 + C6 = 20 puntos.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4.1   </w:t>
            </w:r>
            <w:r>
              <w:rPr>
                <w:rFonts w:ascii="Calibri" w:cs="Calibri" w:eastAsia="Calibri" w:hAnsi="Calibri"/>
                <w:b/>
                <w:bCs/>
                <w:color w:val="7A1526"/>
                <w:sz w:val="19"/>
                <w:szCs w:val="19"/>
              </w:rPr>
              <w:t xml:space="preserve">Honestidad analítica</w:t>
            </w:r>
          </w:p>
          <w:p>
            <w:pPr>
              <w:spacing w:after="70" w:line="265"/>
            </w:pPr>
            <w:r>
              <w:rPr>
                <w:rFonts w:ascii="Cambria" w:cs="Cambria" w:eastAsia="Cambria" w:hAnsi="Cambria"/>
                <w:color w:val="3A3A3A"/>
                <w:sz w:val="18"/>
                <w:szCs w:val="18"/>
              </w:rPr>
              <w:t xml:space="preserve">No hay una única «respuesta correcta» de negocio, pero el reporte debe ser </w:t>
            </w:r>
            <w:r>
              <w:rPr>
                <w:rFonts w:ascii="Cambria" w:cs="Cambria" w:eastAsia="Cambria" w:hAnsi="Cambria"/>
                <w:b/>
                <w:bCs/>
                <w:color w:val="3A3A3A"/>
                <w:sz w:val="18"/>
                <w:szCs w:val="18"/>
              </w:rPr>
              <w:t xml:space="preserve">coherente con la evidencia</w:t>
            </w:r>
            <w:r>
              <w:rPr>
                <w:rFonts w:ascii="Cambria" w:cs="Cambria" w:eastAsia="Cambria" w:hAnsi="Cambria"/>
                <w:color w:val="3A3A3A"/>
                <w:sz w:val="18"/>
                <w:szCs w:val="18"/>
              </w:rPr>
              <w:t xml:space="preserve"> propia. El dataset Wine, sin estandarizar, produce un PC1 que «explica» el 99.8 % de la varianza —un artefacto de escala, no una compresión real—; estandarizado, el reparto es realista y hacen falta varias componentes para retener la mayoría de la información. Se evalúa el razonamiento y el uso correcto de la propia evidencia, no la coincidencia con las cifras de Communities and Crime del cuaderno.</w:t>
            </w:r>
          </w:p>
        </w:tc>
      </w:tr>
    </w:tbl>
    <w:p>
      <w:pPr>
        <w:spacing w:after="220"/>
      </w:pPr>
    </w:p>
    <w:p>
      <w:pPr>
        <w:spacing w:after="260" w:line="265"/>
      </w:pPr>
      <w:r>
        <w:rPr>
          <w:rFonts w:ascii="Cambria" w:cs="Cambria" w:eastAsia="Cambria" w:hAnsi="Cambria"/>
          <w:i/>
          <w:iCs/>
          <w:color w:val="6E6E6E"/>
          <w:sz w:val="18"/>
          <w:szCs w:val="18"/>
        </w:rPr>
        <w:t xml:space="preserve">El desempeño en este entregable se refuerza con el </w:t>
      </w:r>
      <w:r>
        <w:rPr>
          <w:rFonts w:ascii="Cambria" w:cs="Cambria" w:eastAsia="Cambria" w:hAnsi="Cambria"/>
          <w:b/>
          <w:bCs/>
          <w:i/>
          <w:iCs/>
          <w:color w:val="6E6E6E"/>
          <w:sz w:val="18"/>
          <w:szCs w:val="18"/>
        </w:rPr>
        <w:t xml:space="preserve">control corto</w:t>
      </w:r>
      <w:r>
        <w:rPr>
          <w:rFonts w:ascii="Cambria" w:cs="Cambria" w:eastAsia="Cambria" w:hAnsi="Cambria"/>
          <w:i/>
          <w:iCs/>
          <w:color w:val="6E6E6E"/>
          <w:sz w:val="18"/>
          <w:szCs w:val="18"/>
        </w:rPr>
        <w:t xml:space="preserve"> de cierre (que evalúa RIDGE/LASSO/PCA sobre Communities and Crime, el caso visto en clase) y con los ítems [E03] del banco de exámenes (el material de referencia de la sesión). Lecturas de apoyo en la portada del cuaderno (ISLR cap. 6.1–6.2 y 12.2; Provost &amp; Fawcett 2013).</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Entregable evaluable — Sesión EPE E3: comprimir y visualizar con PCA (caso nuevo)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evaluable — Sesión EPE E3</dc:title>
  <dc:creator>UPC</dc:creator>
  <dc:description>Comprimir y visualizar con PCA (caso nuevo)</dc:description>
  <cp:lastModifiedBy>Un-named</cp:lastModifiedBy>
  <cp:revision>1</cp:revision>
  <dcterms:created xsi:type="dcterms:W3CDTF">2026-09-11T14:14:42.043Z</dcterms:created>
  <dcterms:modified xsi:type="dcterms:W3CDTF">2026-09-11T14:14:42.044Z</dcterms:modified>
</cp:coreProperties>
</file>

<file path=docProps/custom.xml><?xml version="1.0" encoding="utf-8"?>
<Properties xmlns="http://schemas.openxmlformats.org/officeDocument/2006/custom-properties" xmlns:vt="http://schemas.openxmlformats.org/officeDocument/2006/docPropsVTypes"/>
</file>