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MODALIDAD EPE</w:t>
      </w:r>
    </w:p>
    <w:p>
      <w:pPr>
        <w:spacing w:after="40"/>
      </w:pPr>
      <w:r>
        <w:rPr>
          <w:rFonts w:ascii="Cambria" w:cs="Cambria" w:eastAsia="Cambria" w:hAnsi="Cambria"/>
          <w:b/>
          <w:bCs/>
          <w:color w:val="2D2D2D"/>
          <w:sz w:val="36"/>
          <w:szCs w:val="36"/>
        </w:rPr>
        <w:t xml:space="preserve">Guía de laboratorio — Sesión EPE E4</w:t>
      </w:r>
    </w:p>
    <w:p>
      <w:pPr>
        <w:pBdr>
          <w:bottom w:val="single" w:color="E4002B" w:sz="18" w:space="10"/>
        </w:pBdr>
        <w:spacing w:after="160"/>
      </w:pPr>
      <w:r>
        <w:rPr>
          <w:rFonts w:ascii="Cambria" w:cs="Cambria" w:eastAsia="Cambria" w:hAnsi="Cambria"/>
          <w:color w:val="7A1526"/>
          <w:sz w:val="28"/>
          <w:szCs w:val="28"/>
        </w:rPr>
        <w:t xml:space="preserve">Segmentar clientes y encontrar patrones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b/>
                <w:bCs/>
                <w:color w:val="2D2D2D"/>
                <w:sz w:val="19"/>
                <w:szCs w:val="19"/>
              </w:rPr>
              <w:t xml:space="preserve">Parejas</w:t>
            </w:r>
            <w:r>
              <w:rPr>
                <w:rFonts w:ascii="Cambria" w:cs="Cambria" w:eastAsia="Cambria" w:hAnsi="Cambria"/>
                <w:color w:val="2D2D2D"/>
                <w:sz w:val="19"/>
                <w:szCs w:val="19"/>
              </w:rPr>
              <w:t xml:space="preserve"> · entrega </w:t>
            </w:r>
            <w:r>
              <w:rPr>
                <w:rFonts w:ascii="Cambria" w:cs="Cambria" w:eastAsia="Cambria" w:hAnsi="Cambria"/>
                <w:b/>
                <w:bCs/>
                <w:color w:val="2D2D2D"/>
                <w:sz w:val="19"/>
                <w:szCs w:val="19"/>
              </w:rPr>
              <w:t xml:space="preserve">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90–110 min</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notebook/EPE_S4_no_supervisado.ipynb</w:t>
            </w:r>
            <w:r>
              <w:rPr>
                <w:rFonts w:ascii="Cambria" w:cs="Cambria" w:eastAsia="Cambria" w:hAnsi="Cambria"/>
                <w:color w:val="2D2D2D"/>
                <w:sz w:val="19"/>
                <w:szCs w:val="19"/>
              </w:rPr>
              <w:t xml:space="preserve"> (botón «Abrir en Colab» en su portada)</w:t>
            </w:r>
          </w:p>
        </w:tc>
      </w:tr>
    </w:tbl>
    <w:p>
      <w:pPr>
        <w:spacing w:after="15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con datos que la empresa </w:t>
            </w:r>
            <w:r>
              <w:rPr>
                <w:rFonts w:ascii="Cambria" w:cs="Cambria" w:eastAsia="Cambria" w:hAnsi="Cambria"/>
                <w:b/>
                <w:bCs/>
                <w:color w:val="FFFFFF"/>
                <w:sz w:val="21"/>
                <w:szCs w:val="21"/>
              </w:rPr>
              <w:t xml:space="preserve">ya tiene</w:t>
            </w:r>
            <w:r>
              <w:rPr>
                <w:rFonts w:ascii="Cambria" w:cs="Cambria" w:eastAsia="Cambria" w:hAnsi="Cambria"/>
                <w:color w:val="FFFFFF"/>
                <w:sz w:val="21"/>
                <w:szCs w:val="21"/>
              </w:rPr>
              <w:t xml:space="preserve"> (solo transacciones), </w:t>
            </w:r>
            <w:r>
              <w:rPr>
                <w:rFonts w:ascii="Cambria" w:cs="Cambria" w:eastAsia="Cambria" w:hAnsi="Cambria"/>
                <w:b/>
                <w:bCs/>
                <w:color w:val="FFFFFF"/>
                <w:sz w:val="21"/>
                <w:szCs w:val="21"/>
              </w:rPr>
              <w:t xml:space="preserve">segmentar clientes</w:t>
            </w:r>
            <w:r>
              <w:rPr>
                <w:rFonts w:ascii="Cambria" w:cs="Cambria" w:eastAsia="Cambria" w:hAnsi="Cambria"/>
                <w:color w:val="FFFFFF"/>
                <w:sz w:val="21"/>
                <w:szCs w:val="21"/>
              </w:rPr>
              <w:t xml:space="preserve"> (RFM + k-means) y </w:t>
            </w:r>
            <w:r>
              <w:rPr>
                <w:rFonts w:ascii="Cambria" w:cs="Cambria" w:eastAsia="Cambria" w:hAnsi="Cambria"/>
                <w:b/>
                <w:bCs/>
                <w:color w:val="FFFFFF"/>
                <w:sz w:val="21"/>
                <w:szCs w:val="21"/>
              </w:rPr>
              <w:t xml:space="preserve">encontrar productos que se compran juntos</w:t>
            </w:r>
            <w:r>
              <w:rPr>
                <w:rFonts w:ascii="Cambria" w:cs="Cambria" w:eastAsia="Cambria" w:hAnsi="Cambria"/>
                <w:color w:val="FFFFFF"/>
                <w:sz w:val="21"/>
                <w:szCs w:val="21"/>
              </w:rPr>
              <w:t xml:space="preserve"> (reglas de asociación), y </w:t>
            </w:r>
            <w:r>
              <w:rPr>
                <w:rFonts w:ascii="Cambria" w:cs="Cambria" w:eastAsia="Cambria" w:hAnsi="Cambria"/>
                <w:b/>
                <w:bCs/>
                <w:color w:val="FFFFFF"/>
                <w:sz w:val="21"/>
                <w:szCs w:val="21"/>
              </w:rPr>
              <w:t xml:space="preserve">traducir ambos</w:t>
            </w:r>
            <w:r>
              <w:rPr>
                <w:rFonts w:ascii="Cambria" w:cs="Cambria" w:eastAsia="Cambria" w:hAnsi="Cambria"/>
                <w:color w:val="FFFFFF"/>
                <w:sz w:val="21"/>
                <w:szCs w:val="21"/>
              </w:rPr>
              <w:t xml:space="preserve"> en acciones de marketing y de cross-selling.</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Segmentar clientes (RFM + k-means)</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~55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Encontrar patrones de compra (reglas de asociación)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~45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Producto esperado del laboratorio</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entregable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Abrir el cuaderno </w:t>
      </w:r>
      <w:r>
        <w:rPr>
          <w:rFonts w:ascii="Consolas" w:cs="Consolas" w:eastAsia="Consolas" w:hAnsi="Consolas"/>
          <w:color w:val="7A1526"/>
          <w:sz w:val="17"/>
          <w:szCs w:val="17"/>
        </w:rPr>
        <w:t xml:space="preserve">notebook/EPE_S4_no_supervisado.ipynb</w:t>
      </w:r>
      <w:r>
        <w:rPr>
          <w:rFonts w:ascii="Cambria" w:cs="Cambria" w:eastAsia="Cambria" w:hAnsi="Cambria"/>
          <w:color w:val="2D2D2D"/>
          <w:sz w:val="19"/>
          <w:szCs w:val="19"/>
        </w:rPr>
        <w:t xml:space="preserve"> en Google Colab (o en el venv local).</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Tener a la vista las plantillas </w:t>
      </w:r>
      <w:r>
        <w:rPr>
          <w:rFonts w:ascii="Consolas" w:cs="Consolas" w:eastAsia="Consolas" w:hAnsi="Consolas"/>
          <w:color w:val="7A1526"/>
          <w:sz w:val="17"/>
          <w:szCs w:val="17"/>
        </w:rPr>
        <w:t xml:space="preserve">plantillas/plantilla_rfm_segmentos.docx</w:t>
      </w:r>
      <w:r>
        <w:rPr>
          <w:rFonts w:ascii="Cambria" w:cs="Cambria" w:eastAsia="Cambria" w:hAnsi="Cambria"/>
          <w:color w:val="2D2D2D"/>
          <w:sz w:val="19"/>
          <w:szCs w:val="19"/>
        </w:rPr>
        <w:t xml:space="preserve"> (fichas de segmento) y </w:t>
      </w:r>
      <w:r>
        <w:rPr>
          <w:rFonts w:ascii="Consolas" w:cs="Consolas" w:eastAsia="Consolas" w:hAnsi="Consolas"/>
          <w:color w:val="7A1526"/>
          <w:sz w:val="17"/>
          <w:szCs w:val="17"/>
        </w:rPr>
        <w:t xml:space="preserve">plantillas/plantilla_top_reglas.docx</w:t>
      </w:r>
      <w:r>
        <w:rPr>
          <w:rFonts w:ascii="Cambria" w:cs="Cambria" w:eastAsia="Cambria" w:hAnsi="Cambria"/>
          <w:color w:val="2D2D2D"/>
          <w:sz w:val="19"/>
          <w:szCs w:val="19"/>
        </w:rPr>
        <w:t xml:space="preserve"> (lectura de reglas).</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obtiene las dos muestras de </w:t>
      </w:r>
      <w:r>
        <w:rPr>
          <w:rFonts w:ascii="Cambria" w:cs="Cambria" w:eastAsia="Cambria" w:hAnsi="Cambria"/>
          <w:b/>
          <w:bCs/>
          <w:color w:val="2D2D2D"/>
          <w:sz w:val="19"/>
          <w:szCs w:val="19"/>
        </w:rPr>
        <w:t xml:space="preserve">Online Retail II</w:t>
      </w:r>
      <w:r>
        <w:rPr>
          <w:rFonts w:ascii="Cambria" w:cs="Cambria" w:eastAsia="Cambria" w:hAnsi="Cambria"/>
          <w:color w:val="2D2D2D"/>
          <w:sz w:val="19"/>
          <w:szCs w:val="19"/>
        </w:rPr>
        <w:t xml:space="preserve"> (por cliente para RFM; por factura para reglas). El cuaderno los carga solo.</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Toda cifra citada debe existir en el cuaderno o en </w:t>
      </w:r>
      <w:r>
        <w:rPr>
          <w:rFonts w:ascii="Consolas" w:cs="Consolas" w:eastAsia="Consolas" w:hAnsi="Consolas"/>
          <w:color w:val="7A1526"/>
          <w:sz w:val="17"/>
          <w:szCs w:val="17"/>
        </w:rPr>
        <w:t xml:space="preserve">resultados/E04_resultados.xlsx</w:t>
      </w:r>
      <w:r>
        <w:rPr>
          <w:rFonts w:ascii="Cambria" w:cs="Cambria" w:eastAsia="Cambria" w:hAnsi="Cambria"/>
          <w:color w:val="2D2D2D"/>
          <w:sz w:val="19"/>
          <w:szCs w:val="19"/>
        </w:rPr>
        <w:t xml:space="preserve">.</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SEGMENTAR CLIENTES (RFM + K-MEANS)</w:t>
      </w:r>
    </w:p>
    <w:p>
      <w:pPr>
        <w:keepNext/>
        <w:pBdr>
          <w:bottom w:val="single" w:color="E4002B" w:sz="14" w:space="8"/>
        </w:pBdr>
        <w:spacing w:after="140"/>
      </w:pPr>
      <w:r>
        <w:rPr>
          <w:rFonts w:ascii="Cambria" w:cs="Cambria" w:eastAsia="Cambria" w:hAnsi="Cambria"/>
          <w:i/>
          <w:iCs/>
          <w:color w:val="6E6E6E"/>
          <w:sz w:val="19"/>
          <w:szCs w:val="19"/>
        </w:rPr>
        <w:t xml:space="preserve">Online Retail II — por cliente, bloques a–c del cuaderno</w:t>
      </w:r>
      <w:r>
        <w:rPr>
          <w:rFonts w:ascii="Cambria" w:cs="Cambria" w:eastAsia="Cambria" w:hAnsi="Cambria"/>
          <w:b/>
          <w:bCs/>
          <w:color w:val="7A1526"/>
          <w:sz w:val="19"/>
          <w:szCs w:val="19"/>
        </w:rPr>
        <w:t xml:space="preserve">   |   ~55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Enmarcar</w:t>
            </w:r>
          </w:p>
          <w:p>
            <w:pPr>
              <w:spacing w:line="265"/>
            </w:pPr>
            <w:r>
              <w:rPr>
                <w:rFonts w:ascii="Cambria" w:cs="Cambria" w:eastAsia="Cambria" w:hAnsi="Cambria"/>
                <w:color w:val="2D2D2D"/>
                <w:sz w:val="19"/>
                <w:szCs w:val="19"/>
              </w:rPr>
              <w:t xml:space="preserve">Escribir en una frase la pregunta de negocio: «¿Cómo agrupar a los clientes por comportamiento para tratar distinto a cada grupo?».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pregunta y la decisión que habilita.</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Calcular RFM</w:t>
            </w:r>
          </w:p>
          <w:p>
            <w:pPr>
              <w:spacing w:line="265"/>
            </w:pPr>
            <w:r>
              <w:rPr>
                <w:rFonts w:ascii="Cambria" w:cs="Cambria" w:eastAsia="Cambria" w:hAnsi="Cambria"/>
                <w:color w:val="2D2D2D"/>
                <w:sz w:val="19"/>
                <w:szCs w:val="19"/>
              </w:rPr>
              <w:t xml:space="preserve">En el cuaderno (bloque </w:t>
            </w:r>
            <w:r>
              <w:rPr>
                <w:rFonts w:ascii="Cambria" w:cs="Cambria" w:eastAsia="Cambria" w:hAnsi="Cambria"/>
                <w:i/>
                <w:iCs/>
                <w:color w:val="2D2D2D"/>
                <w:sz w:val="19"/>
                <w:szCs w:val="19"/>
              </w:rPr>
              <w:t xml:space="preserve">a</w:t>
            </w:r>
            <w:r>
              <w:rPr>
                <w:rFonts w:ascii="Cambria" w:cs="Cambria" w:eastAsia="Cambria" w:hAnsi="Cambria"/>
                <w:color w:val="2D2D2D"/>
                <w:sz w:val="19"/>
                <w:szCs w:val="19"/>
              </w:rPr>
              <w:t xml:space="preserve">), calcular </w:t>
            </w:r>
            <w:r>
              <w:rPr>
                <w:rFonts w:ascii="Cambria" w:cs="Cambria" w:eastAsia="Cambria" w:hAnsi="Cambria"/>
                <w:b/>
                <w:bCs/>
                <w:color w:val="2D2D2D"/>
                <w:sz w:val="19"/>
                <w:szCs w:val="19"/>
              </w:rPr>
              <w:t xml:space="preserve">Recencia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Frecuencia</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Monto</w:t>
            </w:r>
            <w:r>
              <w:rPr>
                <w:rFonts w:ascii="Cambria" w:cs="Cambria" w:eastAsia="Cambria" w:hAnsi="Cambria"/>
                <w:color w:val="2D2D2D"/>
                <w:sz w:val="19"/>
                <w:szCs w:val="19"/>
              </w:rPr>
              <w:t xml:space="preserve"> por cliente. Anotar en la </w:t>
            </w:r>
            <w:r>
              <w:rPr>
                <w:rFonts w:ascii="Consolas" w:cs="Consolas" w:eastAsia="Consolas" w:hAnsi="Consolas"/>
                <w:color w:val="7A1526"/>
                <w:sz w:val="17"/>
                <w:szCs w:val="17"/>
              </w:rPr>
              <w:t xml:space="preserve">plantillas/plantilla_rfm_segmentos.docx</w:t>
            </w:r>
            <w:r>
              <w:rPr>
                <w:rFonts w:ascii="Cambria" w:cs="Cambria" w:eastAsia="Cambria" w:hAnsi="Cambria"/>
                <w:color w:val="2D2D2D"/>
                <w:sz w:val="19"/>
                <w:szCs w:val="19"/>
              </w:rPr>
              <w:t xml:space="preserve"> («Sección 1») cómo se calcula cada una y la </w:t>
            </w:r>
            <w:r>
              <w:rPr>
                <w:rFonts w:ascii="Cambria" w:cs="Cambria" w:eastAsia="Cambria" w:hAnsi="Cambria"/>
                <w:b/>
                <w:bCs/>
                <w:color w:val="2D2D2D"/>
                <w:sz w:val="19"/>
                <w:szCs w:val="19"/>
              </w:rPr>
              <w:t xml:space="preserve">fecha de referencia</w:t>
            </w:r>
            <w:r>
              <w:rPr>
                <w:rFonts w:ascii="Cambria" w:cs="Cambria" w:eastAsia="Cambria" w:hAnsi="Cambria"/>
                <w:color w:val="2D2D2D"/>
                <w:sz w:val="19"/>
                <w:szCs w:val="19"/>
              </w:rPr>
              <w:t xml:space="preserve"> de la Recencia.</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RFM con la definición de cada variable.</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Preparar antes de agrupar</w:t>
            </w:r>
          </w:p>
          <w:p>
            <w:pPr>
              <w:spacing w:line="265"/>
            </w:pPr>
            <w:r>
              <w:rPr>
                <w:rFonts w:ascii="Cambria" w:cs="Cambria" w:eastAsia="Cambria" w:hAnsi="Cambria"/>
                <w:color w:val="2D2D2D"/>
                <w:sz w:val="19"/>
                <w:szCs w:val="19"/>
              </w:rPr>
              <w:t xml:space="preserve">Comprimir las colas de F y M con log y llevar las tres variables a </w:t>
            </w:r>
            <w:r>
              <w:rPr>
                <w:rFonts w:ascii="Cambria" w:cs="Cambria" w:eastAsia="Cambria" w:hAnsi="Cambria"/>
                <w:b/>
                <w:bCs/>
                <w:color w:val="2D2D2D"/>
                <w:sz w:val="19"/>
                <w:szCs w:val="19"/>
              </w:rPr>
              <w:t xml:space="preserve">escala común</w:t>
            </w:r>
            <w:r>
              <w:rPr>
                <w:rFonts w:ascii="Cambria" w:cs="Cambria" w:eastAsia="Cambria" w:hAnsi="Cambria"/>
                <w:color w:val="2D2D2D"/>
                <w:sz w:val="19"/>
                <w:szCs w:val="19"/>
              </w:rPr>
              <w:t xml:space="preserve"> (StandardScaler). Explicar en 1 línea por qué </w:t>
            </w:r>
            <w:r>
              <w:rPr>
                <w:rFonts w:ascii="Cambria" w:cs="Cambria" w:eastAsia="Cambria" w:hAnsi="Cambria"/>
                <w:b/>
                <w:bCs/>
                <w:color w:val="2D2D2D"/>
                <w:sz w:val="19"/>
                <w:szCs w:val="19"/>
              </w:rPr>
              <w:t xml:space="preserve">sin estandarizar</w:t>
            </w:r>
            <w:r>
              <w:rPr>
                <w:rFonts w:ascii="Cambria" w:cs="Cambria" w:eastAsia="Cambria" w:hAnsi="Cambria"/>
                <w:color w:val="2D2D2D"/>
                <w:sz w:val="19"/>
                <w:szCs w:val="19"/>
              </w:rPr>
              <w:t xml:space="preserve"> la segmentación reflejaría las unidades y no el comportamiento.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nota de preparación marcada en la plantilla («Sección 1»).</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Elegir cuántos segmentos</w:t>
            </w:r>
          </w:p>
          <w:p>
            <w:pPr>
              <w:spacing w:line="265"/>
            </w:pPr>
            <w:r>
              <w:rPr>
                <w:rFonts w:ascii="Cambria" w:cs="Cambria" w:eastAsia="Cambria" w:hAnsi="Cambria"/>
                <w:color w:val="2D2D2D"/>
                <w:sz w:val="19"/>
                <w:szCs w:val="19"/>
              </w:rPr>
              <w:t xml:space="preserve">Ejecutar k-means para varios k y leer la </w:t>
            </w:r>
            <w:r>
              <w:rPr>
                <w:rFonts w:ascii="Cambria" w:cs="Cambria" w:eastAsia="Cambria" w:hAnsi="Cambria"/>
                <w:b/>
                <w:bCs/>
                <w:color w:val="2D2D2D"/>
                <w:sz w:val="19"/>
                <w:szCs w:val="19"/>
              </w:rPr>
              <w:t xml:space="preserve">silueta media</w:t>
            </w:r>
            <w:r>
              <w:rPr>
                <w:rFonts w:ascii="Cambria" w:cs="Cambria" w:eastAsia="Cambria" w:hAnsi="Cambria"/>
                <w:color w:val="2D2D2D"/>
                <w:sz w:val="19"/>
                <w:szCs w:val="19"/>
              </w:rPr>
              <w:t xml:space="preserve"> (bloque </w:t>
            </w:r>
            <w:r>
              <w:rPr>
                <w:rFonts w:ascii="Cambria" w:cs="Cambria" w:eastAsia="Cambria" w:hAnsi="Cambria"/>
                <w:i/>
                <w:iCs/>
                <w:color w:val="2D2D2D"/>
                <w:sz w:val="19"/>
                <w:szCs w:val="19"/>
              </w:rPr>
              <w:t xml:space="preserve">a</w:t>
            </w:r>
            <w:r>
              <w:rPr>
                <w:rFonts w:ascii="Cambria" w:cs="Cambria" w:eastAsia="Cambria" w:hAnsi="Cambria"/>
                <w:color w:val="2D2D2D"/>
                <w:sz w:val="19"/>
                <w:szCs w:val="19"/>
              </w:rPr>
              <w:t xml:space="preserve">/</w:t>
            </w:r>
            <w:r>
              <w:rPr>
                <w:rFonts w:ascii="Cambria" w:cs="Cambria" w:eastAsia="Cambria" w:hAnsi="Cambria"/>
                <w:i/>
                <w:iCs/>
                <w:color w:val="2D2D2D"/>
                <w:sz w:val="19"/>
                <w:szCs w:val="19"/>
              </w:rPr>
              <w:t xml:space="preserve">b</w:t>
            </w:r>
            <w:r>
              <w:rPr>
                <w:rFonts w:ascii="Cambria" w:cs="Cambria" w:eastAsia="Cambria" w:hAnsi="Cambria"/>
                <w:color w:val="2D2D2D"/>
                <w:sz w:val="19"/>
                <w:szCs w:val="19"/>
              </w:rPr>
              <w:t xml:space="preserve">). Completar la tabla de silueta («Sección 2» de la plantilla) y </w:t>
            </w:r>
            <w:r>
              <w:rPr>
                <w:rFonts w:ascii="Cambria" w:cs="Cambria" w:eastAsia="Cambria" w:hAnsi="Cambria"/>
                <w:b/>
                <w:bCs/>
                <w:color w:val="2D2D2D"/>
                <w:sz w:val="19"/>
                <w:szCs w:val="19"/>
              </w:rPr>
              <w:t xml:space="preserve">elegir k</w:t>
            </w:r>
            <w:r>
              <w:rPr>
                <w:rFonts w:ascii="Cambria" w:cs="Cambria" w:eastAsia="Cambria" w:hAnsi="Cambria"/>
                <w:color w:val="2D2D2D"/>
                <w:sz w:val="19"/>
                <w:szCs w:val="19"/>
              </w:rPr>
              <w:t xml:space="preserve"> con justificación (silueta razonable </w:t>
            </w:r>
            <w:r>
              <w:rPr>
                <w:rFonts w:ascii="Cambria" w:cs="Cambria" w:eastAsia="Cambria" w:hAnsi="Cambria"/>
                <w:b/>
                <w:bCs/>
                <w:color w:val="2D2D2D"/>
                <w:sz w:val="19"/>
                <w:szCs w:val="19"/>
              </w:rPr>
              <w:t xml:space="preserve">y</w:t>
            </w:r>
            <w:r>
              <w:rPr>
                <w:rFonts w:ascii="Cambria" w:cs="Cambria" w:eastAsia="Cambria" w:hAnsi="Cambria"/>
                <w:color w:val="2D2D2D"/>
                <w:sz w:val="19"/>
                <w:szCs w:val="19"/>
              </w:rPr>
              <w:t xml:space="preserve"> segmentos accionables).</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de silueta + k elegido justificado.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Perfilar y nombrar</w:t>
            </w:r>
          </w:p>
          <w:p>
            <w:pPr>
              <w:spacing w:line="265"/>
            </w:pPr>
            <w:r>
              <w:rPr>
                <w:rFonts w:ascii="Cambria" w:cs="Cambria" w:eastAsia="Cambria" w:hAnsi="Cambria"/>
                <w:color w:val="2D2D2D"/>
                <w:sz w:val="19"/>
                <w:szCs w:val="19"/>
              </w:rPr>
              <w:t xml:space="preserve">Con el k elegido, construir el </w:t>
            </w:r>
            <w:r>
              <w:rPr>
                <w:rFonts w:ascii="Cambria" w:cs="Cambria" w:eastAsia="Cambria" w:hAnsi="Cambria"/>
                <w:b/>
                <w:bCs/>
                <w:color w:val="2D2D2D"/>
                <w:sz w:val="19"/>
                <w:szCs w:val="19"/>
              </w:rPr>
              <w:t xml:space="preserve">perfil</w:t>
            </w:r>
            <w:r>
              <w:rPr>
                <w:rFonts w:ascii="Cambria" w:cs="Cambria" w:eastAsia="Cambria" w:hAnsi="Cambria"/>
                <w:color w:val="2D2D2D"/>
                <w:sz w:val="19"/>
                <w:szCs w:val="19"/>
              </w:rPr>
              <w:t xml:space="preserve"> de cada segmento (nº de clientes y </w:t>
            </w:r>
            <w:r>
              <w:rPr>
                <w:rFonts w:ascii="Cambria" w:cs="Cambria" w:eastAsia="Cambria" w:hAnsi="Cambria"/>
                <w:b/>
                <w:bCs/>
                <w:color w:val="2D2D2D"/>
                <w:sz w:val="19"/>
                <w:szCs w:val="19"/>
              </w:rPr>
              <w:t xml:space="preserve">medianas</w:t>
            </w:r>
            <w:r>
              <w:rPr>
                <w:rFonts w:ascii="Cambria" w:cs="Cambria" w:eastAsia="Cambria" w:hAnsi="Cambria"/>
                <w:color w:val="2D2D2D"/>
                <w:sz w:val="19"/>
                <w:szCs w:val="19"/>
              </w:rPr>
              <w:t xml:space="preserve"> de R, F, M en unidades de negocio) y </w:t>
            </w:r>
            <w:r>
              <w:rPr>
                <w:rFonts w:ascii="Cambria" w:cs="Cambria" w:eastAsia="Cambria" w:hAnsi="Cambria"/>
                <w:b/>
                <w:bCs/>
                <w:color w:val="2D2D2D"/>
                <w:sz w:val="19"/>
                <w:szCs w:val="19"/>
              </w:rPr>
              <w:t xml:space="preserve">nombrarlo</w:t>
            </w:r>
            <w:r>
              <w:rPr>
                <w:rFonts w:ascii="Cambria" w:cs="Cambria" w:eastAsia="Cambria" w:hAnsi="Cambria"/>
                <w:color w:val="2D2D2D"/>
                <w:sz w:val="19"/>
                <w:szCs w:val="19"/>
              </w:rPr>
              <w:t xml:space="preserve"> por su perfil. Rellenar las </w:t>
            </w:r>
            <w:r>
              <w:rPr>
                <w:rFonts w:ascii="Cambria" w:cs="Cambria" w:eastAsia="Cambria" w:hAnsi="Cambria"/>
                <w:b/>
                <w:bCs/>
                <w:color w:val="2D2D2D"/>
                <w:sz w:val="19"/>
                <w:szCs w:val="19"/>
              </w:rPr>
              <w:t xml:space="preserve">fichas de segmento</w:t>
            </w:r>
            <w:r>
              <w:rPr>
                <w:rFonts w:ascii="Cambria" w:cs="Cambria" w:eastAsia="Cambria" w:hAnsi="Cambria"/>
                <w:color w:val="2D2D2D"/>
                <w:sz w:val="19"/>
                <w:szCs w:val="19"/>
              </w:rPr>
              <w:t xml:space="preserve"> («Sección 3») con una </w:t>
            </w:r>
            <w:r>
              <w:rPr>
                <w:rFonts w:ascii="Cambria" w:cs="Cambria" w:eastAsia="Cambria" w:hAnsi="Cambria"/>
                <w:b/>
                <w:bCs/>
                <w:color w:val="2D2D2D"/>
                <w:sz w:val="19"/>
                <w:szCs w:val="19"/>
              </w:rPr>
              <w:t xml:space="preserve">acción de marketing</w:t>
            </w:r>
            <w:r>
              <w:rPr>
                <w:rFonts w:ascii="Cambria" w:cs="Cambria" w:eastAsia="Cambria" w:hAnsi="Cambria"/>
                <w:color w:val="2D2D2D"/>
                <w:sz w:val="19"/>
                <w:szCs w:val="19"/>
              </w:rPr>
              <w:t xml:space="preserve"> por grupo.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4 fichas de segmento completas.</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A5   </w:t>
            </w:r>
            <w:r>
              <w:rPr>
                <w:rFonts w:ascii="Calibri" w:cs="Calibri" w:eastAsia="Calibri" w:hAnsi="Calibri"/>
                <w:b/>
                <w:bCs/>
                <w:color w:val="7A1526"/>
                <w:sz w:val="19"/>
                <w:szCs w:val="19"/>
              </w:rPr>
              <w:t xml:space="preserve">Encontrar lo inusual</w:t>
            </w:r>
          </w:p>
          <w:p>
            <w:pPr>
              <w:spacing w:line="265"/>
            </w:pPr>
            <w:r>
              <w:rPr>
                <w:rFonts w:ascii="Cambria" w:cs="Cambria" w:eastAsia="Cambria" w:hAnsi="Cambria"/>
                <w:color w:val="2D2D2D"/>
                <w:sz w:val="19"/>
                <w:szCs w:val="19"/>
              </w:rPr>
              <w:t xml:space="preserve">Marcar el ~5 % de clientes más </w:t>
            </w:r>
            <w:r>
              <w:rPr>
                <w:rFonts w:ascii="Cambria" w:cs="Cambria" w:eastAsia="Cambria" w:hAnsi="Cambria"/>
                <w:b/>
                <w:bCs/>
                <w:color w:val="2D2D2D"/>
                <w:sz w:val="19"/>
                <w:szCs w:val="19"/>
              </w:rPr>
              <w:t xml:space="preserve">inusuales</w:t>
            </w:r>
            <w:r>
              <w:rPr>
                <w:rFonts w:ascii="Cambria" w:cs="Cambria" w:eastAsia="Cambria" w:hAnsi="Cambria"/>
                <w:color w:val="2D2D2D"/>
                <w:sz w:val="19"/>
                <w:szCs w:val="19"/>
              </w:rPr>
              <w:t xml:space="preserve"> (bloque </w:t>
            </w:r>
            <w:r>
              <w:rPr>
                <w:rFonts w:ascii="Cambria" w:cs="Cambria" w:eastAsia="Cambria" w:hAnsi="Cambria"/>
                <w:i/>
                <w:iCs/>
                <w:color w:val="2D2D2D"/>
                <w:sz w:val="19"/>
                <w:szCs w:val="19"/>
              </w:rPr>
              <w:t xml:space="preserve">c</w:t>
            </w:r>
            <w:r>
              <w:rPr>
                <w:rFonts w:ascii="Cambria" w:cs="Cambria" w:eastAsia="Cambria" w:hAnsi="Cambria"/>
                <w:color w:val="2D2D2D"/>
                <w:sz w:val="19"/>
                <w:szCs w:val="19"/>
              </w:rPr>
              <w:t xml:space="preserve">) y clasificar los 3–5 principales como </w:t>
            </w:r>
            <w:r>
              <w:rPr>
                <w:rFonts w:ascii="Cambria" w:cs="Cambria" w:eastAsia="Cambria" w:hAnsi="Cambria"/>
                <w:b/>
                <w:bCs/>
                <w:color w:val="2D2D2D"/>
                <w:sz w:val="19"/>
                <w:szCs w:val="19"/>
              </w:rPr>
              <w:t xml:space="preserve">casos excepcionales</w:t>
            </w:r>
            <w:r>
              <w:rPr>
                <w:rFonts w:ascii="Cambria" w:cs="Cambria" w:eastAsia="Cambria" w:hAnsi="Cambria"/>
                <w:color w:val="2D2D2D"/>
                <w:sz w:val="19"/>
                <w:szCs w:val="19"/>
              </w:rPr>
              <w:t xml:space="preserve"> (atender aparte) o </w:t>
            </w:r>
            <w:r>
              <w:rPr>
                <w:rFonts w:ascii="Cambria" w:cs="Cambria" w:eastAsia="Cambria" w:hAnsi="Cambria"/>
                <w:b/>
                <w:bCs/>
                <w:color w:val="2D2D2D"/>
                <w:sz w:val="19"/>
                <w:szCs w:val="19"/>
              </w:rPr>
              <w:t xml:space="preserve">errores de registro</w:t>
            </w:r>
            <w:r>
              <w:rPr>
                <w:rFonts w:ascii="Cambria" w:cs="Cambria" w:eastAsia="Cambria" w:hAnsi="Cambria"/>
                <w:color w:val="2D2D2D"/>
                <w:sz w:val="19"/>
                <w:szCs w:val="19"/>
              </w:rPr>
              <w:t xml:space="preserve"> (depurar).</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de clientes inusuales («Sección 5» de la plantilla) con una decisión por caso.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De dónde viene esta técnica (Liu, Ting y Zhou, 2008)</w:t>
            </w:r>
          </w:p>
          <w:p>
            <w:pPr>
              <w:spacing w:after="70" w:line="265"/>
            </w:pPr>
            <w:r>
              <w:rPr>
                <w:rFonts w:ascii="Cambria" w:cs="Cambria" w:eastAsia="Cambria" w:hAnsi="Cambria"/>
                <w:color w:val="3A3A3A"/>
                <w:sz w:val="18"/>
                <w:szCs w:val="18"/>
              </w:rPr>
              <w:t xml:space="preserve">El detector que marca lo inusual en el bloque </w:t>
            </w:r>
            <w:r>
              <w:rPr>
                <w:rFonts w:ascii="Cambria" w:cs="Cambria" w:eastAsia="Cambria" w:hAnsi="Cambria"/>
                <w:i/>
                <w:iCs/>
                <w:color w:val="3A3A3A"/>
                <w:sz w:val="18"/>
                <w:szCs w:val="18"/>
              </w:rPr>
              <w:t xml:space="preserve">c</w:t>
            </w:r>
            <w:r>
              <w:rPr>
                <w:rFonts w:ascii="Cambria" w:cs="Cambria" w:eastAsia="Cambria" w:hAnsi="Cambria"/>
                <w:color w:val="3A3A3A"/>
                <w:sz w:val="18"/>
                <w:szCs w:val="18"/>
              </w:rPr>
              <w:t xml:space="preserve"> del cuaderno se llama </w:t>
            </w:r>
            <w:r>
              <w:rPr>
                <w:rFonts w:ascii="Cambria" w:cs="Cambria" w:eastAsia="Cambria" w:hAnsi="Cambria"/>
                <w:b/>
                <w:bCs/>
                <w:color w:val="3A3A3A"/>
                <w:sz w:val="18"/>
                <w:szCs w:val="18"/>
              </w:rPr>
              <w:t xml:space="preserve">Isolation Forest</w:t>
            </w:r>
            <w:r>
              <w:rPr>
                <w:rFonts w:ascii="Cambria" w:cs="Cambria" w:eastAsia="Cambria" w:hAnsi="Cambria"/>
                <w:color w:val="3A3A3A"/>
                <w:sz w:val="18"/>
                <w:szCs w:val="18"/>
              </w:rPr>
              <w:t xml:space="preserve"> y nació de un límite de cómputo muy concreto: hasta 2008, para señalar una anomalía había que construir primero un modelo de lo </w:t>
            </w:r>
            <w:r>
              <w:rPr>
                <w:rFonts w:ascii="Cambria" w:cs="Cambria" w:eastAsia="Cambria" w:hAnsi="Cambria"/>
                <w:b/>
                <w:bCs/>
                <w:color w:val="3A3A3A"/>
                <w:sz w:val="18"/>
                <w:szCs w:val="18"/>
              </w:rPr>
              <w:t xml:space="preserve">normal</w:t>
            </w:r>
            <w:r>
              <w:rPr>
                <w:rFonts w:ascii="Cambria" w:cs="Cambria" w:eastAsia="Cambria" w:hAnsi="Cambria"/>
                <w:color w:val="3A3A3A"/>
                <w:sz w:val="18"/>
                <w:szCs w:val="18"/>
              </w:rPr>
              <w:t xml:space="preserve"> y medir distancias o densidades contra él, algo tan caro que el método de referencia de la época tardaba </w:t>
            </w:r>
            <w:r>
              <w:rPr>
                <w:rFonts w:ascii="Cambria" w:cs="Cambria" w:eastAsia="Cambria" w:hAnsi="Cambria"/>
                <w:b/>
                <w:bCs/>
                <w:color w:val="3A3A3A"/>
                <w:sz w:val="18"/>
                <w:szCs w:val="18"/>
              </w:rPr>
              <w:t xml:space="preserve">más de cuatro horas</w:t>
            </w:r>
            <w:r>
              <w:rPr>
                <w:rFonts w:ascii="Cambria" w:cs="Cambria" w:eastAsia="Cambria" w:hAnsi="Cambria"/>
                <w:color w:val="3A3A3A"/>
                <w:sz w:val="18"/>
                <w:szCs w:val="18"/>
              </w:rPr>
              <w:t xml:space="preserve"> sobre un conjunto de datos que Isolation Forest resuelve en menos de un segundo, y ni siquiera terminaba sobre los conjuntos grandes. Sus autores invirtieron la pregunta: en vez de describir lo normal, </w:t>
            </w:r>
            <w:r>
              <w:rPr>
                <w:rFonts w:ascii="Cambria" w:cs="Cambria" w:eastAsia="Cambria" w:hAnsi="Cambria"/>
                <w:b/>
                <w:bCs/>
                <w:color w:val="3A3A3A"/>
                <w:sz w:val="18"/>
                <w:szCs w:val="18"/>
              </w:rPr>
              <w:t xml:space="preserve">aislar</w:t>
            </w:r>
            <w:r>
              <w:rPr>
                <w:rFonts w:ascii="Cambria" w:cs="Cambria" w:eastAsia="Cambria" w:hAnsi="Cambria"/>
                <w:color w:val="3A3A3A"/>
                <w:sz w:val="18"/>
                <w:szCs w:val="18"/>
              </w:rPr>
              <w:t xml:space="preserve"> lo raro. La idea se apoya en que las anomalías son «pocas y diferentes», de modo que bastan unos pocos cortes al azar para separar una del resto mientras que un cliente corriente exige muchos; contar cortes tiene un costo de cómputo bajo y no requiere calcular una sola distancia. Por eso el método escala a millones de registros y por eso hoy es el estándar del control de fraude, que es justo la lectura de negocio de este paso.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E4002B" w:sz="18"/>
              <w:bottom w:val="none" w:color="FFFFFF" w:sz="0"/>
              <w:right w:val="none" w:color="FFFFFF" w:sz="0"/>
            </w:tcBorders>
            <w:shd w:fill="FBEFF1" w:color="auto" w:val="clear"/>
            <w:tcMar>
              <w:top w:type="dxa" w:w="110"/>
              <w:left w:type="dxa" w:w="150"/>
              <w:bottom w:type="dxa" w:w="110"/>
              <w:right w:type="dxa" w:w="150"/>
            </w:tcMar>
          </w:tcPr>
          <w:p>
            <w:pPr>
              <w:spacing w:after="90"/>
            </w:pPr>
            <w:r>
              <w:rPr>
                <w:rFonts w:ascii="Calibri" w:cs="Calibri" w:eastAsia="Calibri" w:hAnsi="Calibri"/>
                <w:b/>
                <w:bCs/>
                <w:color w:val="7A1526"/>
                <w:spacing w:val="20"/>
                <w:sz w:val="16"/>
                <w:szCs w:val="16"/>
              </w:rPr>
              <w:t xml:space="preserve">AUTOEVALUACIÓN PARTE A</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calcularon R, F, M correctamente?</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estandarizó antes de agrupar?</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¿El k se eligió con la silueta </w:t>
            </w:r>
            <w:r>
              <w:rPr>
                <w:rFonts w:ascii="Cambria" w:cs="Cambria" w:eastAsia="Cambria" w:hAnsi="Cambria"/>
                <w:b/>
                <w:bCs/>
                <w:color w:val="2D2D2D"/>
                <w:sz w:val="19"/>
                <w:szCs w:val="19"/>
              </w:rPr>
              <w:t xml:space="preserve">y</w:t>
            </w:r>
            <w:r>
              <w:rPr>
                <w:rFonts w:ascii="Cambria" w:cs="Cambria" w:eastAsia="Cambria" w:hAnsi="Cambria"/>
                <w:color w:val="2D2D2D"/>
                <w:sz w:val="19"/>
                <w:szCs w:val="19"/>
              </w:rPr>
              <w:t xml:space="preserve"> con criterio de negocio?</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¿Cada segmento tiene nombre, cifras y acción?</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distinguió una anomalía «excepcional» de un «error»?</w:t>
            </w:r>
          </w:p>
        </w:tc>
      </w:tr>
    </w:tbl>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ENCONTRAR PATRONES DE COMPRA (REGLAS DE ASOCIACIÓN)</w:t>
      </w:r>
    </w:p>
    <w:p>
      <w:pPr>
        <w:keepNext/>
        <w:pBdr>
          <w:bottom w:val="single" w:color="E4002B" w:sz="14" w:space="8"/>
        </w:pBdr>
        <w:spacing w:after="140"/>
      </w:pPr>
      <w:r>
        <w:rPr>
          <w:rFonts w:ascii="Cambria" w:cs="Cambria" w:eastAsia="Cambria" w:hAnsi="Cambria"/>
          <w:i/>
          <w:iCs/>
          <w:color w:val="6E6E6E"/>
          <w:sz w:val="19"/>
          <w:szCs w:val="19"/>
        </w:rPr>
        <w:t xml:space="preserve">Online Retail II — por factura, bloque d del cuaderno</w:t>
      </w:r>
      <w:r>
        <w:rPr>
          <w:rFonts w:ascii="Cambria" w:cs="Cambria" w:eastAsia="Cambria" w:hAnsi="Cambria"/>
          <w:b/>
          <w:bCs/>
          <w:color w:val="7A1526"/>
          <w:sz w:val="19"/>
          <w:szCs w:val="19"/>
        </w:rPr>
        <w:t xml:space="preserve">   |   ~45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La canasta</w:t>
            </w:r>
          </w:p>
          <w:p>
            <w:pPr>
              <w:spacing w:line="265"/>
            </w:pPr>
            <w:r>
              <w:rPr>
                <w:rFonts w:ascii="Cambria" w:cs="Cambria" w:eastAsia="Cambria" w:hAnsi="Cambria"/>
                <w:color w:val="2D2D2D"/>
                <w:sz w:val="19"/>
                <w:szCs w:val="19"/>
              </w:rPr>
              <w:t xml:space="preserve">Entender la unidad de análisis: una </w:t>
            </w:r>
            <w:r>
              <w:rPr>
                <w:rFonts w:ascii="Cambria" w:cs="Cambria" w:eastAsia="Cambria" w:hAnsi="Cambria"/>
                <w:b/>
                <w:bCs/>
                <w:color w:val="2D2D2D"/>
                <w:sz w:val="19"/>
                <w:szCs w:val="19"/>
              </w:rPr>
              <w:t xml:space="preserve">transacción = los productos de una misma factura</w:t>
            </w:r>
            <w:r>
              <w:rPr>
                <w:rFonts w:ascii="Cambria" w:cs="Cambria" w:eastAsia="Cambria" w:hAnsi="Cambria"/>
                <w:color w:val="2D2D2D"/>
                <w:sz w:val="19"/>
                <w:szCs w:val="19"/>
              </w:rPr>
              <w:t xml:space="preserve">. Agrupar las líneas por </w:t>
            </w:r>
            <w:r>
              <w:rPr>
                <w:rFonts w:ascii="Consolas" w:cs="Consolas" w:eastAsia="Consolas" w:hAnsi="Consolas"/>
                <w:color w:val="7A1526"/>
                <w:sz w:val="17"/>
                <w:szCs w:val="17"/>
              </w:rPr>
              <w:t xml:space="preserve">Invoice</w:t>
            </w:r>
            <w:r>
              <w:rPr>
                <w:rFonts w:ascii="Cambria" w:cs="Cambria" w:eastAsia="Cambria" w:hAnsi="Cambria"/>
                <w:color w:val="2D2D2D"/>
                <w:sz w:val="19"/>
                <w:szCs w:val="19"/>
              </w:rPr>
              <w:t xml:space="preserve"> (bloque </w:t>
            </w:r>
            <w:r>
              <w:rPr>
                <w:rFonts w:ascii="Cambria" w:cs="Cambria" w:eastAsia="Cambria" w:hAnsi="Cambria"/>
                <w:i/>
                <w:iCs/>
                <w:color w:val="2D2D2D"/>
                <w:sz w:val="19"/>
                <w:szCs w:val="19"/>
              </w:rPr>
              <w:t xml:space="preserve">d</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nota de qué representa una canasta (una fila = un ticket).</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Minar itemsets y reglas</w:t>
            </w:r>
          </w:p>
          <w:p>
            <w:pPr>
              <w:spacing w:line="265"/>
            </w:pPr>
            <w:r>
              <w:rPr>
                <w:rFonts w:ascii="Cambria" w:cs="Cambria" w:eastAsia="Cambria" w:hAnsi="Cambria"/>
                <w:color w:val="2D2D2D"/>
                <w:sz w:val="19"/>
                <w:szCs w:val="19"/>
              </w:rPr>
              <w:t xml:space="preserve">Codificar las canastas en </w:t>
            </w:r>
            <w:r>
              <w:rPr>
                <w:rFonts w:ascii="Cambria" w:cs="Cambria" w:eastAsia="Cambria" w:hAnsi="Cambria"/>
                <w:b/>
                <w:bCs/>
                <w:color w:val="2D2D2D"/>
                <w:sz w:val="19"/>
                <w:szCs w:val="19"/>
              </w:rPr>
              <w:t xml:space="preserve">one-hot por ticket</w:t>
            </w:r>
            <w:r>
              <w:rPr>
                <w:rFonts w:ascii="Cambria" w:cs="Cambria" w:eastAsia="Cambria" w:hAnsi="Cambria"/>
                <w:color w:val="2D2D2D"/>
                <w:sz w:val="19"/>
                <w:szCs w:val="19"/>
              </w:rPr>
              <w:t xml:space="preserve">, minar los </w:t>
            </w:r>
            <w:r>
              <w:rPr>
                <w:rFonts w:ascii="Cambria" w:cs="Cambria" w:eastAsia="Cambria" w:hAnsi="Cambria"/>
                <w:b/>
                <w:bCs/>
                <w:color w:val="2D2D2D"/>
                <w:sz w:val="19"/>
                <w:szCs w:val="19"/>
              </w:rPr>
              <w:t xml:space="preserve">itemsets frecuentes</w:t>
            </w:r>
            <w:r>
              <w:rPr>
                <w:rFonts w:ascii="Cambria" w:cs="Cambria" w:eastAsia="Cambria" w:hAnsi="Cambria"/>
                <w:color w:val="2D2D2D"/>
                <w:sz w:val="19"/>
                <w:szCs w:val="19"/>
              </w:rPr>
              <w:t xml:space="preserve"> (Apriori con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y generar las </w:t>
            </w:r>
            <w:r>
              <w:rPr>
                <w:rFonts w:ascii="Cambria" w:cs="Cambria" w:eastAsia="Cambria" w:hAnsi="Cambria"/>
                <w:b/>
                <w:bCs/>
                <w:color w:val="2D2D2D"/>
                <w:sz w:val="19"/>
                <w:szCs w:val="19"/>
              </w:rPr>
              <w:t xml:space="preserve">reglas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association_rules</w:t>
            </w:r>
            <w:r>
              <w:rPr>
                <w:rFonts w:ascii="Cambria" w:cs="Cambria" w:eastAsia="Cambria" w:hAnsi="Cambria"/>
                <w:color w:val="2D2D2D"/>
                <w:sz w:val="19"/>
                <w:szCs w:val="19"/>
              </w:rPr>
              <w:t xml:space="preserve">). Anotar en la </w:t>
            </w:r>
            <w:r>
              <w:rPr>
                <w:rFonts w:ascii="Consolas" w:cs="Consolas" w:eastAsia="Consolas" w:hAnsi="Consolas"/>
                <w:color w:val="7A1526"/>
                <w:sz w:val="17"/>
                <w:szCs w:val="17"/>
              </w:rPr>
              <w:t xml:space="preserve">plantillas/plantilla_top_reglas.docx</w:t>
            </w:r>
            <w:r>
              <w:rPr>
                <w:rFonts w:ascii="Cambria" w:cs="Cambria" w:eastAsia="Cambria" w:hAnsi="Cambria"/>
                <w:color w:val="2D2D2D"/>
                <w:sz w:val="19"/>
                <w:szCs w:val="19"/>
              </w:rPr>
              <w:t xml:space="preserve"> («Sección 0») el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el nº de itemsets y el nº de reglas.</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conteos registrados.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De dónde viene esta técnica (Agrawal y Srikant, 1994)</w:t>
            </w:r>
          </w:p>
          <w:p>
            <w:pPr>
              <w:spacing w:after="70" w:line="265"/>
            </w:pPr>
            <w:r>
              <w:rPr>
                <w:rFonts w:ascii="Cambria" w:cs="Cambria" w:eastAsia="Cambria" w:hAnsi="Cambria"/>
                <w:color w:val="3A3A3A"/>
                <w:sz w:val="18"/>
                <w:szCs w:val="18"/>
              </w:rPr>
              <w:t xml:space="preserve">Apriori no descubrió que hay productos que se compran juntos: el problema, el soporte y la confianza ya estaban definidos en 1993. Su aporte es la primera palabra del título original, </w:t>
            </w:r>
            <w:r>
              <w:rPr>
                <w:rFonts w:ascii="Cambria" w:cs="Cambria" w:eastAsia="Cambria" w:hAnsi="Cambria"/>
                <w:i/>
                <w:iCs/>
                <w:color w:val="3A3A3A"/>
                <w:sz w:val="18"/>
                <w:szCs w:val="18"/>
              </w:rPr>
              <w:t xml:space="preserve">Fast</w:t>
            </w:r>
            <w:r>
              <w:rPr>
                <w:rFonts w:ascii="Cambria" w:cs="Cambria" w:eastAsia="Cambria" w:hAnsi="Cambria"/>
                <w:color w:val="3A3A3A"/>
                <w:sz w:val="18"/>
                <w:szCs w:val="18"/>
              </w:rPr>
              <w:t xml:space="preserve">: la pregunta era si hallar </w:t>
            </w:r>
            <w:r>
              <w:rPr>
                <w:rFonts w:ascii="Cambria" w:cs="Cambria" w:eastAsia="Cambria" w:hAnsi="Cambria"/>
                <w:b/>
                <w:bCs/>
                <w:color w:val="3A3A3A"/>
                <w:sz w:val="18"/>
                <w:szCs w:val="18"/>
              </w:rPr>
              <w:t xml:space="preserve">todas</w:t>
            </w:r>
            <w:r>
              <w:rPr>
                <w:rFonts w:ascii="Cambria" w:cs="Cambria" w:eastAsia="Cambria" w:hAnsi="Cambria"/>
                <w:color w:val="3A3A3A"/>
                <w:sz w:val="18"/>
                <w:szCs w:val="18"/>
              </w:rPr>
              <w:t xml:space="preserve"> las reglas por encima de un umbral resultaba siquiera </w:t>
            </w:r>
            <w:r>
              <w:rPr>
                <w:rFonts w:ascii="Cambria" w:cs="Cambria" w:eastAsia="Cambria" w:hAnsi="Cambria"/>
                <w:b/>
                <w:bCs/>
                <w:color w:val="3A3A3A"/>
                <w:sz w:val="18"/>
                <w:szCs w:val="18"/>
              </w:rPr>
              <w:t xml:space="preserve">calculable</w:t>
            </w:r>
            <w:r>
              <w:rPr>
                <w:rFonts w:ascii="Cambria" w:cs="Cambria" w:eastAsia="Cambria" w:hAnsi="Cambria"/>
                <w:color w:val="3A3A3A"/>
                <w:sz w:val="18"/>
                <w:szCs w:val="18"/>
              </w:rPr>
              <w:t xml:space="preserve">. Con mil productos distintos, el número de combinaciones posibles desborda cualquier cómputo, y la máquina del experimento era una estación de 33 MHz cuyo disco leía dos megabytes por segundo, así que cada pasada sobre los tickets costaba tiempo real. La salida no fue una máquina mayor, sino una observación: si un conjunto de productos no alcanza el soporte mínimo, </w:t>
            </w:r>
            <w:r>
              <w:rPr>
                <w:rFonts w:ascii="Cambria" w:cs="Cambria" w:eastAsia="Cambria" w:hAnsi="Cambria"/>
                <w:b/>
                <w:bCs/>
                <w:color w:val="3A3A3A"/>
                <w:sz w:val="18"/>
                <w:szCs w:val="18"/>
              </w:rPr>
              <w:t xml:space="preserve">ninguno de sus superconjuntos lo alcanzará</w:t>
            </w:r>
            <w:r>
              <w:rPr>
                <w:rFonts w:ascii="Cambria" w:cs="Cambria" w:eastAsia="Cambria" w:hAnsi="Cambria"/>
                <w:color w:val="3A3A3A"/>
                <w:sz w:val="18"/>
                <w:szCs w:val="18"/>
              </w:rPr>
              <w:t xml:space="preserve">, de modo que se descarta sin contarlo y sin abrir el archivo. Esa poda gratuita es lo que hace el </w:t>
            </w:r>
            <w:r>
              <w:rPr>
                <w:rFonts w:ascii="Consolas" w:cs="Consolas" w:eastAsia="Consolas" w:hAnsi="Consolas"/>
                <w:color w:val="7A1526"/>
                <w:sz w:val="16"/>
                <w:szCs w:val="16"/>
              </w:rPr>
              <w:t xml:space="preserve">min_support</w:t>
            </w:r>
            <w:r>
              <w:rPr>
                <w:rFonts w:ascii="Cambria" w:cs="Cambria" w:eastAsia="Cambria" w:hAnsi="Cambria"/>
                <w:color w:val="3A3A3A"/>
                <w:sz w:val="18"/>
                <w:szCs w:val="18"/>
              </w:rPr>
              <w:t xml:space="preserve"> de este paso. Conviene retener un límite que los propios autores declararon: dejaron fuera </w:t>
            </w:r>
            <w:r>
              <w:rPr>
                <w:rFonts w:ascii="Cambria" w:cs="Cambria" w:eastAsia="Cambria" w:hAnsi="Cambria"/>
                <w:b/>
                <w:bCs/>
                <w:color w:val="3A3A3A"/>
                <w:sz w:val="18"/>
                <w:szCs w:val="18"/>
              </w:rPr>
              <w:t xml:space="preserve">qué hace interesante a una regla</w:t>
            </w:r>
            <w:r>
              <w:rPr>
                <w:rFonts w:ascii="Cambria" w:cs="Cambria" w:eastAsia="Cambria" w:hAnsi="Cambria"/>
                <w:color w:val="3A3A3A"/>
                <w:sz w:val="18"/>
                <w:szCs w:val="18"/>
              </w:rPr>
              <w:t xml:space="preserve">, porque el algoritmo es el motor y el criterio lo pone el negocio. Eso es exactamente lo que ocurre en los pasos B2 y B3 con el lift.</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Leer soporte, confianza y lift</w:t>
            </w:r>
          </w:p>
          <w:p>
            <w:pPr>
              <w:spacing w:line="265"/>
            </w:pPr>
            <w:r>
              <w:rPr>
                <w:rFonts w:ascii="Cambria" w:cs="Cambria" w:eastAsia="Cambria" w:hAnsi="Cambria"/>
                <w:color w:val="2D2D2D"/>
                <w:sz w:val="19"/>
                <w:szCs w:val="19"/>
              </w:rPr>
              <w:t xml:space="preserve">Para una regla concreta, interpretar sus tres números con la tabla «Sección 1» de la plantilla. Explicar por qué una </w:t>
            </w:r>
            <w:r>
              <w:rPr>
                <w:rFonts w:ascii="Cambria" w:cs="Cambria" w:eastAsia="Cambria" w:hAnsi="Cambria"/>
                <w:b/>
                <w:bCs/>
                <w:color w:val="2D2D2D"/>
                <w:sz w:val="19"/>
                <w:szCs w:val="19"/>
              </w:rPr>
              <w:t xml:space="preserve">confianza alta con lift ≈ 1</w:t>
            </w:r>
            <w:r>
              <w:rPr>
                <w:rFonts w:ascii="Cambria" w:cs="Cambria" w:eastAsia="Cambria" w:hAnsi="Cambria"/>
                <w:color w:val="2D2D2D"/>
                <w:sz w:val="19"/>
                <w:szCs w:val="19"/>
              </w:rPr>
              <w:t xml:space="preserve"> es una regla </w:t>
            </w:r>
            <w:r>
              <w:rPr>
                <w:rFonts w:ascii="Cambria" w:cs="Cambria" w:eastAsia="Cambria" w:hAnsi="Cambria"/>
                <w:b/>
                <w:bCs/>
                <w:color w:val="2D2D2D"/>
                <w:sz w:val="19"/>
                <w:szCs w:val="19"/>
              </w:rPr>
              <w:t xml:space="preserve">trivial</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lectura de una regla + explicación de la regla trivial.</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B3   </w:t>
            </w:r>
            <w:r>
              <w:rPr>
                <w:rFonts w:ascii="Calibri" w:cs="Calibri" w:eastAsia="Calibri" w:hAnsi="Calibri"/>
                <w:b/>
                <w:bCs/>
                <w:color w:val="7A1526"/>
                <w:sz w:val="19"/>
                <w:szCs w:val="19"/>
              </w:rPr>
              <w:t xml:space="preserve">Seleccionar el top-N</w:t>
            </w:r>
          </w:p>
          <w:p>
            <w:pPr>
              <w:spacing w:line="265"/>
            </w:pPr>
            <w:r>
              <w:rPr>
                <w:rFonts w:ascii="Cambria" w:cs="Cambria" w:eastAsia="Cambria" w:hAnsi="Cambria"/>
                <w:b/>
                <w:bCs/>
                <w:color w:val="2D2D2D"/>
                <w:sz w:val="19"/>
                <w:szCs w:val="19"/>
              </w:rPr>
              <w:t xml:space="preserve">Ordenar por lift</w:t>
            </w:r>
            <w:r>
              <w:rPr>
                <w:rFonts w:ascii="Cambria" w:cs="Cambria" w:eastAsia="Cambria" w:hAnsi="Cambria"/>
                <w:color w:val="2D2D2D"/>
                <w:sz w:val="19"/>
                <w:szCs w:val="19"/>
              </w:rPr>
              <w:t xml:space="preserve">, aplicar los filtros («Sección 2») y elegir entre 5 y 10 reglas accionables. Completar la </w:t>
            </w:r>
            <w:r>
              <w:rPr>
                <w:rFonts w:ascii="Cambria" w:cs="Cambria" w:eastAsia="Cambria" w:hAnsi="Cambria"/>
                <w:b/>
                <w:bCs/>
                <w:color w:val="2D2D2D"/>
                <w:sz w:val="19"/>
                <w:szCs w:val="19"/>
              </w:rPr>
              <w:t xml:space="preserve">tabla top-N</w:t>
            </w:r>
            <w:r>
              <w:rPr>
                <w:rFonts w:ascii="Cambria" w:cs="Cambria" w:eastAsia="Cambria" w:hAnsi="Cambria"/>
                <w:color w:val="2D2D2D"/>
                <w:sz w:val="19"/>
                <w:szCs w:val="19"/>
              </w:rPr>
              <w:t xml:space="preserve"> («Sección 3») con una </w:t>
            </w:r>
            <w:r>
              <w:rPr>
                <w:rFonts w:ascii="Cambria" w:cs="Cambria" w:eastAsia="Cambria" w:hAnsi="Cambria"/>
                <w:b/>
                <w:bCs/>
                <w:color w:val="2D2D2D"/>
                <w:sz w:val="19"/>
                <w:szCs w:val="19"/>
              </w:rPr>
              <w:t xml:space="preserve">palanca</w:t>
            </w:r>
            <w:r>
              <w:rPr>
                <w:rFonts w:ascii="Cambria" w:cs="Cambria" w:eastAsia="Cambria" w:hAnsi="Cambria"/>
                <w:color w:val="2D2D2D"/>
                <w:sz w:val="19"/>
                <w:szCs w:val="19"/>
              </w:rPr>
              <w:t xml:space="preserve"> (colocación / oferta conjunta / cupón / recomendación) y una lectura de negocio por regla.</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top-N de cross-selling.</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B4   </w:t>
            </w:r>
            <w:r>
              <w:rPr>
                <w:rFonts w:ascii="Calibri" w:cs="Calibri" w:eastAsia="Calibri" w:hAnsi="Calibri"/>
                <w:b/>
                <w:bCs/>
                <w:color w:val="7A1526"/>
                <w:sz w:val="19"/>
                <w:szCs w:val="19"/>
              </w:rPr>
              <w:t xml:space="preserve">Del patrón a la acción</w:t>
            </w:r>
          </w:p>
          <w:p>
            <w:pPr>
              <w:spacing w:line="265"/>
            </w:pPr>
            <w:r>
              <w:rPr>
                <w:rFonts w:ascii="Cambria" w:cs="Cambria" w:eastAsia="Cambria" w:hAnsi="Cambria"/>
                <w:color w:val="2D2D2D"/>
                <w:sz w:val="19"/>
                <w:szCs w:val="19"/>
              </w:rPr>
              <w:t xml:space="preserve">Para las 3 mejores reglas, proponer una </w:t>
            </w:r>
            <w:r>
              <w:rPr>
                <w:rFonts w:ascii="Cambria" w:cs="Cambria" w:eastAsia="Cambria" w:hAnsi="Cambria"/>
                <w:b/>
                <w:bCs/>
                <w:color w:val="2D2D2D"/>
                <w:sz w:val="19"/>
                <w:szCs w:val="19"/>
              </w:rPr>
              <w:t xml:space="preserve">acción de cross-selling</w:t>
            </w:r>
            <w:r>
              <w:rPr>
                <w:rFonts w:ascii="Cambria" w:cs="Cambria" w:eastAsia="Cambria" w:hAnsi="Cambria"/>
                <w:color w:val="2D2D2D"/>
                <w:sz w:val="19"/>
                <w:szCs w:val="19"/>
              </w:rPr>
              <w:t xml:space="preserve"> concreta y estimar el </w:t>
            </w:r>
            <w:r>
              <w:rPr>
                <w:rFonts w:ascii="Cambria" w:cs="Cambria" w:eastAsia="Cambria" w:hAnsi="Cambria"/>
                <w:b/>
                <w:bCs/>
                <w:color w:val="2D2D2D"/>
                <w:sz w:val="19"/>
                <w:szCs w:val="19"/>
              </w:rPr>
              <w:t xml:space="preserve">impacto £</w:t>
            </w:r>
            <w:r>
              <w:rPr>
                <w:rFonts w:ascii="Cambria" w:cs="Cambria" w:eastAsia="Cambria" w:hAnsi="Cambria"/>
                <w:color w:val="2D2D2D"/>
                <w:sz w:val="19"/>
                <w:szCs w:val="19"/>
              </w:rPr>
              <w:t xml:space="preserve"> de la mejor (columna «Impacto £ estimado» de la plantilla: AOV +15–30 % × base de tickets del antecedente). Marcar el aviso </w:t>
            </w:r>
            <w:r>
              <w:rPr>
                <w:rFonts w:ascii="Cambria" w:cs="Cambria" w:eastAsia="Cambria" w:hAnsi="Cambria"/>
                <w:b/>
                <w:bCs/>
                <w:color w:val="2D2D2D"/>
                <w:sz w:val="19"/>
                <w:szCs w:val="19"/>
              </w:rPr>
              <w:t xml:space="preserve">asociación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causalidad</w:t>
            </w:r>
            <w:r>
              <w:rPr>
                <w:rFonts w:ascii="Cambria" w:cs="Cambria" w:eastAsia="Cambria" w:hAnsi="Cambria"/>
                <w:color w:val="2D2D2D"/>
                <w:sz w:val="19"/>
                <w:szCs w:val="19"/>
              </w:rPr>
              <w:t xml:space="preserve"> («Sección 5»): la acción y su cifra £ son una hipótesis a validar con un A/B.</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3 acciones de cross-selling con su impacto £ y su advertencia causal.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E4002B" w:sz="18"/>
              <w:bottom w:val="none" w:color="FFFFFF" w:sz="0"/>
              <w:right w:val="none" w:color="FFFFFF" w:sz="0"/>
            </w:tcBorders>
            <w:shd w:fill="FBEFF1" w:color="auto" w:val="clear"/>
            <w:tcMar>
              <w:top w:type="dxa" w:w="110"/>
              <w:left w:type="dxa" w:w="150"/>
              <w:bottom w:type="dxa" w:w="110"/>
              <w:right w:type="dxa" w:w="150"/>
            </w:tcMar>
          </w:tcPr>
          <w:p>
            <w:pPr>
              <w:spacing w:after="90"/>
            </w:pPr>
            <w:r>
              <w:rPr>
                <w:rFonts w:ascii="Calibri" w:cs="Calibri" w:eastAsia="Calibri" w:hAnsi="Calibri"/>
                <w:b/>
                <w:bCs/>
                <w:color w:val="7A1526"/>
                <w:spacing w:val="20"/>
                <w:sz w:val="16"/>
                <w:szCs w:val="16"/>
              </w:rPr>
              <w:t xml:space="preserve">AUTOEVALUACIÓN PARTE B</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armó la canasta </w:t>
            </w:r>
            <w:r>
              <w:rPr>
                <w:rFonts w:ascii="Cambria" w:cs="Cambria" w:eastAsia="Cambria" w:hAnsi="Cambria"/>
                <w:b/>
                <w:bCs/>
                <w:color w:val="2D2D2D"/>
                <w:sz w:val="19"/>
                <w:szCs w:val="19"/>
              </w:rPr>
              <w:t xml:space="preserve">por ticket</w:t>
            </w:r>
            <w:r>
              <w:rPr>
                <w:rFonts w:ascii="Cambria" w:cs="Cambria" w:eastAsia="Cambria" w:hAnsi="Cambria"/>
                <w:color w:val="2D2D2D"/>
                <w:sz w:val="19"/>
                <w:szCs w:val="19"/>
              </w:rPr>
              <w:t xml:space="preserve"> (no por cliente)?</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ordenó por </w:t>
            </w:r>
            <w:r>
              <w:rPr>
                <w:rFonts w:ascii="Cambria" w:cs="Cambria" w:eastAsia="Cambria" w:hAnsi="Cambria"/>
                <w:b/>
                <w:bCs/>
                <w:color w:val="2D2D2D"/>
                <w:sz w:val="19"/>
                <w:szCs w:val="19"/>
              </w:rPr>
              <w:t xml:space="preserve">lift</w:t>
            </w:r>
            <w:r>
              <w:rPr>
                <w:rFonts w:ascii="Cambria" w:cs="Cambria" w:eastAsia="Cambria" w:hAnsi="Cambria"/>
                <w:color w:val="2D2D2D"/>
                <w:sz w:val="19"/>
                <w:szCs w:val="19"/>
              </w:rPr>
              <w:t xml:space="preserve"> y no por confianza?</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descartaron reglas triviales?</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¿Cada regla del top tiene una palanca y una lectura de negocio?</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recordó que el lift es asociación, no causa?</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PRODUCTO ESPERADO DEL LABORATORIO</w:t>
      </w:r>
    </w:p>
    <w:p>
      <w:pPr>
        <w:keepNext/>
        <w:pBdr>
          <w:bottom w:val="single" w:color="E4002B" w:sz="14" w:space="8"/>
        </w:pBdr>
        <w:spacing w:after="140"/>
      </w:pPr>
      <w:r>
        <w:rPr>
          <w:rFonts w:ascii="Cambria" w:cs="Cambria" w:eastAsia="Cambria" w:hAnsi="Cambria"/>
          <w:i/>
          <w:iCs/>
          <w:color w:val="6E6E6E"/>
          <w:sz w:val="19"/>
          <w:szCs w:val="19"/>
        </w:rPr>
        <w:t xml:space="preserve">Entregable de la sesión</w:t>
      </w:r>
      <w:r>
        <w:rPr>
          <w:rFonts w:ascii="Cambria" w:cs="Cambria" w:eastAsia="Cambria" w:hAnsi="Cambria"/>
          <w:b/>
          <w:bCs/>
          <w:color w:val="7A1526"/>
          <w:sz w:val="19"/>
          <w:szCs w:val="19"/>
        </w:rPr>
        <w:t xml:space="preserve">   |   máx. 2 páginas + figuras</w:t>
      </w:r>
    </w:p>
    <w:p>
      <w:pPr>
        <w:spacing w:line="270"/>
      </w:pPr>
      <w:r>
        <w:rPr>
          <w:rFonts w:ascii="Cambria" w:cs="Cambria" w:eastAsia="Cambria" w:hAnsi="Cambria"/>
          <w:color w:val="2D2D2D"/>
          <w:sz w:val="20"/>
          <w:szCs w:val="20"/>
        </w:rPr>
        <w:t xml:space="preserve">Un mini-reporte (máx. 2 páginas + figuras del cuaderno) con: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pregunta de negocio y la unidad de análisis de cada parte.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w:t>
            </w:r>
            <w:r>
              <w:rPr>
                <w:rFonts w:ascii="Cambria" w:cs="Cambria" w:eastAsia="Cambria" w:hAnsi="Cambria"/>
                <w:b/>
                <w:bCs/>
                <w:color w:val="2D2D2D"/>
                <w:sz w:val="19"/>
                <w:szCs w:val="19"/>
              </w:rPr>
              <w:t xml:space="preserve">segmentación</w:t>
            </w:r>
            <w:r>
              <w:rPr>
                <w:rFonts w:ascii="Cambria" w:cs="Cambria" w:eastAsia="Cambria" w:hAnsi="Cambria"/>
                <w:color w:val="2D2D2D"/>
                <w:sz w:val="19"/>
                <w:szCs w:val="19"/>
              </w:rPr>
              <w:t xml:space="preserve">: tabla RFM, silueta + k elegido, </w:t>
            </w:r>
            <w:r>
              <w:rPr>
                <w:rFonts w:ascii="Cambria" w:cs="Cambria" w:eastAsia="Cambria" w:hAnsi="Cambria"/>
                <w:b/>
                <w:bCs/>
                <w:color w:val="2D2D2D"/>
                <w:sz w:val="19"/>
                <w:szCs w:val="19"/>
              </w:rPr>
              <w:t xml:space="preserve">4 fichas de segmento</w:t>
            </w:r>
            <w:r>
              <w:rPr>
                <w:rFonts w:ascii="Cambria" w:cs="Cambria" w:eastAsia="Cambria" w:hAnsi="Cambria"/>
                <w:color w:val="2D2D2D"/>
                <w:sz w:val="19"/>
                <w:szCs w:val="19"/>
              </w:rPr>
              <w:t xml:space="preserve"> con acción, y la tabla de clientes inusuales.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Las </w:t>
            </w:r>
            <w:r>
              <w:rPr>
                <w:rFonts w:ascii="Cambria" w:cs="Cambria" w:eastAsia="Cambria" w:hAnsi="Cambria"/>
                <w:b/>
                <w:bCs/>
                <w:color w:val="2D2D2D"/>
                <w:sz w:val="19"/>
                <w:szCs w:val="19"/>
              </w:rPr>
              <w:t xml:space="preserve">reglas</w:t>
            </w:r>
            <w:r>
              <w:rPr>
                <w:rFonts w:ascii="Cambria" w:cs="Cambria" w:eastAsia="Cambria" w:hAnsi="Cambria"/>
                <w:color w:val="2D2D2D"/>
                <w:sz w:val="19"/>
                <w:szCs w:val="19"/>
              </w:rPr>
              <w:t xml:space="preserve">: conteos, </w:t>
            </w:r>
            <w:r>
              <w:rPr>
                <w:rFonts w:ascii="Cambria" w:cs="Cambria" w:eastAsia="Cambria" w:hAnsi="Cambria"/>
                <w:b/>
                <w:bCs/>
                <w:color w:val="2D2D2D"/>
                <w:sz w:val="19"/>
                <w:szCs w:val="19"/>
              </w:rPr>
              <w:t xml:space="preserve">top-N ordenado por lift</w:t>
            </w:r>
            <w:r>
              <w:rPr>
                <w:rFonts w:ascii="Cambria" w:cs="Cambria" w:eastAsia="Cambria" w:hAnsi="Cambria"/>
                <w:color w:val="2D2D2D"/>
                <w:sz w:val="19"/>
                <w:szCs w:val="19"/>
              </w:rPr>
              <w:t xml:space="preserve"> con palanca y lectura de negocio.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Una </w:t>
            </w:r>
            <w:r>
              <w:rPr>
                <w:rFonts w:ascii="Cambria" w:cs="Cambria" w:eastAsia="Cambria" w:hAnsi="Cambria"/>
                <w:b/>
                <w:bCs/>
                <w:color w:val="2D2D2D"/>
                <w:sz w:val="19"/>
                <w:szCs w:val="19"/>
              </w:rPr>
              <w:t xml:space="preserve">recomendación de negocio</w:t>
            </w:r>
            <w:r>
              <w:rPr>
                <w:rFonts w:ascii="Cambria" w:cs="Cambria" w:eastAsia="Cambria" w:hAnsi="Cambria"/>
                <w:color w:val="2D2D2D"/>
                <w:sz w:val="19"/>
                <w:szCs w:val="19"/>
              </w:rPr>
              <w:t xml:space="preserve"> en una frase (a quién priorizar y qué cross-selling activar).</w:t>
            </w:r>
          </w:p>
        </w:tc>
      </w:tr>
    </w:tbl>
    <w:p>
      <w:pPr>
        <w:spacing w:after="180"/>
      </w:pPr>
    </w:p>
    <w:p>
      <w:pPr>
        <w:spacing w:after="260" w:line="265"/>
      </w:pPr>
      <w:r>
        <w:rPr>
          <w:rFonts w:ascii="Cambria" w:cs="Cambria" w:eastAsia="Cambria" w:hAnsi="Cambria"/>
          <w:i/>
          <w:iCs/>
          <w:color w:val="6E6E6E"/>
          <w:sz w:val="18"/>
          <w:szCs w:val="18"/>
        </w:rPr>
        <w:t xml:space="preserve">Este producto es la base del </w:t>
      </w:r>
      <w:r>
        <w:rPr>
          <w:rFonts w:ascii="Cambria" w:cs="Cambria" w:eastAsia="Cambria" w:hAnsi="Cambria"/>
          <w:b/>
          <w:bCs/>
          <w:i/>
          <w:iCs/>
          <w:color w:val="6E6E6E"/>
          <w:sz w:val="18"/>
          <w:szCs w:val="18"/>
        </w:rPr>
        <w:t xml:space="preserve">entregable evaluable</w:t>
      </w:r>
      <w:r>
        <w:rPr>
          <w:rFonts w:ascii="Cambria" w:cs="Cambria" w:eastAsia="Cambria" w:hAnsi="Cambria"/>
          <w:i/>
          <w:iCs/>
          <w:color w:val="6E6E6E"/>
          <w:sz w:val="18"/>
          <w:szCs w:val="18"/>
        </w:rPr>
        <w:t xml:space="preserve"> de la sesión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 rúbrica vigesimal total = 20) y alimenta las fases «Modelado/Despliegue» del proyecto integrador. Los ejercicios de práctica están en </w:t>
      </w:r>
      <w:r>
        <w:rPr>
          <w:rFonts w:ascii="Consolas" w:cs="Consolas" w:eastAsia="Consolas" w:hAnsi="Consolas"/>
          <w:i/>
          <w:iCs/>
          <w:color w:val="7A1526"/>
          <w:sz w:val="16"/>
          <w:szCs w:val="16"/>
        </w:rPr>
        <w:t xml:space="preserve">evaluacion/drills.docx</w:t>
      </w:r>
      <w:r>
        <w:rPr>
          <w:rFonts w:ascii="Cambria" w:cs="Cambria" w:eastAsia="Cambria" w:hAnsi="Cambria"/>
          <w:i/>
          <w:iCs/>
          <w:color w:val="6E6E6E"/>
          <w:sz w:val="18"/>
          <w:szCs w:val="18"/>
        </w:rPr>
        <w:t xml:space="preserve">.</w:t>
      </w:r>
    </w:p>
    <w:p>
      <w:pPr>
        <w:keepNext/>
        <w:spacing w:after="110" w:before="240"/>
      </w:pPr>
      <w:r>
        <w:rPr>
          <w:rFonts w:ascii="Calibri" w:cs="Calibri" w:eastAsia="Calibri" w:hAnsi="Calibri"/>
          <w:b/>
          <w:bCs/>
          <w:color w:val="7A1526"/>
          <w:sz w:val="21"/>
          <w:szCs w:val="21"/>
        </w:rPr>
        <w:t xml:space="preserve">4. Checklist final de autoevaluación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R, F, M calculadas por cliente con la fecha de referencia correcta.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Datos estandarizados (con log en F y M) antes de agrupar.</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k elegido con la silueta </w:t>
            </w:r>
            <w:r>
              <w:rPr>
                <w:rFonts w:ascii="Cambria" w:cs="Cambria" w:eastAsia="Cambria" w:hAnsi="Cambria"/>
                <w:b/>
                <w:bCs/>
                <w:color w:val="2D2D2D"/>
                <w:sz w:val="19"/>
                <w:szCs w:val="19"/>
              </w:rPr>
              <w:t xml:space="preserve">y</w:t>
            </w:r>
            <w:r>
              <w:rPr>
                <w:rFonts w:ascii="Cambria" w:cs="Cambria" w:eastAsia="Cambria" w:hAnsi="Cambria"/>
                <w:color w:val="2D2D2D"/>
                <w:sz w:val="19"/>
                <w:szCs w:val="19"/>
              </w:rPr>
              <w:t xml:space="preserve"> con criterio de negocio (accionable).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Cuatro fichas de segmento con nombre, cifras (medianas) y acción de marketing.</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Clientes inusuales marcados y clasificados (excepcional vs. error).</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Canasta armada </w:t>
            </w:r>
            <w:r>
              <w:rPr>
                <w:rFonts w:ascii="Cambria" w:cs="Cambria" w:eastAsia="Cambria" w:hAnsi="Cambria"/>
                <w:b/>
                <w:bCs/>
                <w:color w:val="2D2D2D"/>
                <w:sz w:val="19"/>
                <w:szCs w:val="19"/>
              </w:rPr>
              <w:t xml:space="preserve">por ticket</w:t>
            </w:r>
            <w:r>
              <w:rPr>
                <w:rFonts w:ascii="Cambria" w:cs="Cambria" w:eastAsia="Cambria" w:hAnsi="Cambria"/>
                <w:color w:val="2D2D2D"/>
                <w:sz w:val="19"/>
                <w:szCs w:val="19"/>
              </w:rPr>
              <w:t xml:space="preserve">; itemsets y reglas minados con su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Top-N de reglas </w:t>
            </w:r>
            <w:r>
              <w:rPr>
                <w:rFonts w:ascii="Cambria" w:cs="Cambria" w:eastAsia="Cambria" w:hAnsi="Cambria"/>
                <w:b/>
                <w:bCs/>
                <w:color w:val="2D2D2D"/>
                <w:sz w:val="19"/>
                <w:szCs w:val="19"/>
              </w:rPr>
              <w:t xml:space="preserve">ordenado por lift</w:t>
            </w:r>
            <w:r>
              <w:rPr>
                <w:rFonts w:ascii="Cambria" w:cs="Cambria" w:eastAsia="Cambria" w:hAnsi="Cambria"/>
                <w:color w:val="2D2D2D"/>
                <w:sz w:val="19"/>
                <w:szCs w:val="19"/>
              </w:rPr>
              <w:t xml:space="preserve">, sin triviales, con palanca, lectura e </w:t>
            </w:r>
            <w:r>
              <w:rPr>
                <w:rFonts w:ascii="Cambria" w:cs="Cambria" w:eastAsia="Cambria" w:hAnsi="Cambria"/>
                <w:b/>
                <w:bCs/>
                <w:color w:val="2D2D2D"/>
                <w:sz w:val="19"/>
                <w:szCs w:val="19"/>
              </w:rPr>
              <w:t xml:space="preserve">impacto £</w:t>
            </w:r>
            <w:r>
              <w:rPr>
                <w:rFonts w:ascii="Cambria" w:cs="Cambria" w:eastAsia="Cambria" w:hAnsi="Cambria"/>
                <w:color w:val="2D2D2D"/>
                <w:sz w:val="19"/>
                <w:szCs w:val="19"/>
              </w:rPr>
              <w:t xml:space="preserve"> de la mejor.</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Recomendación de negocio accionable y aviso de asociación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causalidad.</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EPE E4: Segmentar clientes y encontrar patrones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EPE E4</dc:title>
  <dc:creator>UPC</dc:creator>
  <dc:description>Segmentar clientes y encontrar patrones</dc:description>
  <cp:lastModifiedBy>Un-named</cp:lastModifiedBy>
  <cp:revision>1</cp:revision>
  <dcterms:created xsi:type="dcterms:W3CDTF">2026-09-11T14:14:43.491Z</dcterms:created>
  <dcterms:modified xsi:type="dcterms:W3CDTF">2026-09-11T14:14:43.492Z</dcterms:modified>
</cp:coreProperties>
</file>

<file path=docProps/custom.xml><?xml version="1.0" encoding="utf-8"?>
<Properties xmlns="http://schemas.openxmlformats.org/officeDocument/2006/custom-properties" xmlns:vt="http://schemas.openxmlformats.org/officeDocument/2006/docPropsVTypes"/>
</file>