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200"/>
        <w:ind w:left="113"/>
        <w:shd w:val="clear" w:color="auto" w:fill="E4002B"/>
        <w:pBdr>
          <w:top w:val="single" w:sz="18" w:space="6" w:color="E4002B"/>
          <w:bottom w:val="single" w:sz="18" w:space="6" w:color="E4002B"/>
          <w:left w:val="single" w:sz="18" w:space="6" w:color="E4002B"/>
          <w:right w:val="single" w:sz="18" w:space="6" w:color="E4002B"/>
        </w:pBdr>
      </w:pPr>
      <w:r>
        <w:rPr>
          <w:b/>
          <w:color w:val="FFFFFF"/>
          <w:sz w:val="40"/>
        </w:rPr>
        <w:t>Plantilla de cálculo RFM y fichas de segmento (con acciones de marketing)</w:t>
      </w:r>
    </w:p>
    <w:p>
      <w:pPr>
        <w:spacing w:before="80" w:after="8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color w:val="2D2D2D"/>
        </w:rPr>
        <w:t xml:space="preserve">Herramientas para la Ciencia de Datos, Modalidad EPE, Sesión E4 (Segmentar clientes y encontrar&gt; patrones). Plantilla del estudiante: guía el cálculo </w:t>
      </w:r>
      <w:r>
        <w:rPr>
          <w:b/>
          <w:color w:val="2D2D2D"/>
        </w:rPr>
        <w:t>RFM</w:t>
      </w:r>
      <w:r>
        <w:rPr>
          <w:color w:val="2D2D2D"/>
        </w:rPr>
        <w:t xml:space="preserve">, la elección del número de segmentos y la construcción de una </w:t>
      </w:r>
      <w:r>
        <w:rPr>
          <w:b/>
          <w:color w:val="2D2D2D"/>
        </w:rPr>
        <w:t>ficha por segmento</w:t>
      </w:r>
      <w:r>
        <w:rPr>
          <w:color w:val="2D2D2D"/>
        </w:rPr>
        <w:t xml:space="preserve"> con su </w:t>
      </w:r>
      <w:r>
        <w:rPr>
          <w:b/>
          <w:color w:val="2D2D2D"/>
        </w:rPr>
        <w:t>acción de marketing</w:t>
      </w:r>
      <w:r>
        <w:rPr>
          <w:color w:val="2D2D2D"/>
        </w:rPr>
        <w:t>. Se usa en el laboratorio (</w:t>
      </w:r>
      <w:r>
        <w:rPr>
          <w:rFonts w:ascii="Consolas" w:hAnsi="Consolas"/>
          <w:color w:val="2D2D2D"/>
          <w:sz w:val="19"/>
        </w:rPr>
        <w:t>laboratorio/GUIA_LABORATORIO_E04.docx</w:t>
      </w:r>
      <w:r>
        <w:rPr>
          <w:color w:val="2D2D2D"/>
        </w:rPr>
        <w:t>) y materializa parte del entregable (</w:t>
      </w:r>
      <w:r>
        <w:rPr>
          <w:rFonts w:ascii="Consolas" w:hAnsi="Consolas"/>
          <w:color w:val="2D2D2D"/>
          <w:sz w:val="19"/>
        </w:rPr>
        <w:t>evaluacion/entregable.docx</w:t>
      </w:r>
      <w:r>
        <w:rPr>
          <w:color w:val="2D2D2D"/>
        </w:rPr>
        <w:t xml:space="preserve">). Referencia práctica: el cuaderno </w:t>
      </w:r>
      <w:r>
        <w:rPr>
          <w:rFonts w:ascii="Consolas" w:hAnsi="Consolas"/>
          <w:color w:val="2D2D2D"/>
          <w:sz w:val="19"/>
        </w:rPr>
        <w:t>notebook/EPE_S4_no_supervisado.ipynb</w:t>
      </w:r>
      <w:r>
        <w:rPr>
          <w:color w:val="2D2D2D"/>
        </w:rPr>
        <w:t xml:space="preserve">, bloques </w:t>
      </w:r>
      <w:r>
        <w:rPr>
          <w:i/>
          <w:color w:val="2D2D2D"/>
        </w:rPr>
        <w:t>a</w:t>
      </w:r>
      <w:r>
        <w:rPr>
          <w:color w:val="2D2D2D"/>
        </w:rPr>
        <w:t xml:space="preserve"> y </w:t>
      </w:r>
      <w:r>
        <w:rPr>
          <w:i/>
          <w:color w:val="2D2D2D"/>
        </w:rPr>
        <w:t>b</w:t>
      </w:r>
      <w:r>
        <w:rPr>
          <w:color w:val="2D2D2D"/>
        </w:rPr>
        <w:t>. Español impersonal.</w:t>
      </w:r>
    </w:p>
    <w:p>
      <w:pPr>
        <w:spacing w:before="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Regla de oro:</w:t>
      </w:r>
      <w:r>
        <w:rPr>
          <w:color w:val="2D2D2D"/>
        </w:rPr>
        <w:t xml:space="preserve"> un segmento sin </w:t>
      </w:r>
      <w:r>
        <w:rPr>
          <w:b/>
          <w:color w:val="2D2D2D"/>
        </w:rPr>
        <w:t>perfilar</w:t>
      </w:r>
      <w:r>
        <w:rPr>
          <w:color w:val="2D2D2D"/>
        </w:rPr>
        <w:t xml:space="preserve"> es solo un número de etiqueta. El valor está en ponerle </w:t>
      </w:r>
      <w:r>
        <w:rPr>
          <w:b/>
          <w:color w:val="2D2D2D"/>
        </w:rPr>
        <w:t>nombre, cifras y una acción</w:t>
      </w:r>
      <w:r>
        <w:rPr>
          <w:color w:val="2D2D2D"/>
        </w:rPr>
        <w:t>.</w:t>
      </w: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0. Identificación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4873"/>
        <w:gridCol w:w="4873"/>
      </w:tblGrid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Respuesta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Integrante(s) / código(s)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Fecha (DD/MM/YYYY)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Dataset y unidad de análisis (una fila = …)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Nº de clientes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Fecha de referencia para la Recencia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1. Cálculo de R, F, M (por cliente)</w:t>
      </w:r>
    </w:p>
    <w:p>
      <w:pPr>
        <w:jc w:val="both"/>
      </w:pPr>
      <w:r>
        <w:rPr>
          <w:i/>
        </w:rPr>
        <w:t xml:space="preserve">Desde el registro de transacciones. Recordar: `Amount = Quantity × Price`; la fecha de referencia suele ser la </w:t>
      </w:r>
      <w:r>
        <w:rPr>
          <w:i/>
        </w:rPr>
        <w:t>última fecha del dataset + 1 día</w:t>
      </w:r>
      <w:r>
        <w:rPr>
          <w:i/>
        </w:rPr>
        <w:t>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Variable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Cómo se calcula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Interpretación (mejor si…)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Recencia (R)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Días entre la </w:t>
            </w:r>
            <w:r>
              <w:rPr>
                <w:b/>
                <w:sz w:val="19"/>
              </w:rPr>
              <w:t>última compra</w:t>
            </w:r>
            <w:r>
              <w:rPr>
                <w:sz w:val="19"/>
              </w:rPr>
              <w:t xml:space="preserve"> del cliente y la fecha de referencia.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Menor</w:t>
            </w:r>
            <w:r>
              <w:rPr>
                <w:sz w:val="19"/>
              </w:rPr>
              <w:t xml:space="preserve"> (compró hace poco = activo).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Frecuencia (F)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Nº de </w:t>
            </w:r>
            <w:r>
              <w:rPr>
                <w:b/>
                <w:sz w:val="19"/>
              </w:rPr>
              <w:t>facturas/pedidos</w:t>
            </w:r>
            <w:r>
              <w:rPr>
                <w:sz w:val="19"/>
              </w:rPr>
              <w:t xml:space="preserve"> distintos del cliente.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Mayor</w:t>
            </w:r>
            <w:r>
              <w:rPr>
                <w:sz w:val="19"/>
              </w:rPr>
              <w:t xml:space="preserve"> (compra seguido).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Monto (M)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Gasto total</w:t>
            </w:r>
            <w:r>
              <w:rPr>
                <w:sz w:val="19"/>
              </w:rPr>
              <w:t xml:space="preserve"> del cliente (suma de </w:t>
            </w:r>
            <w:r>
              <w:rPr>
                <w:rFonts w:ascii="Consolas" w:hAnsi="Consolas"/>
                <w:color w:val="9B1B30"/>
                <w:sz w:val="19"/>
              </w:rPr>
              <w:t>Amount</w:t>
            </w:r>
            <w:r>
              <w:rPr>
                <w:sz w:val="19"/>
              </w:rPr>
              <w:t>).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Mayor</w:t>
            </w:r>
            <w:r>
              <w:rPr>
                <w:sz w:val="19"/>
              </w:rPr>
              <w:t xml:space="preserve"> (deja más dinero).</w:t>
            </w:r>
          </w:p>
        </w:tc>
      </w:tr>
    </w:tbl>
    <w:p>
      <w:pPr>
        <w:spacing w:after="40"/>
      </w:pP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Preparación antes de agrupar</w:t>
      </w:r>
      <w:r>
        <w:rPr>
          <w:color w:val="2D2D2D"/>
        </w:rPr>
        <w:t xml:space="preserve"> (marcar): ☐ colas largas de F y M comprimidas con </w:t>
      </w:r>
      <w:r>
        <w:rPr>
          <w:rFonts w:ascii="Consolas" w:hAnsi="Consolas"/>
          <w:color w:val="2D2D2D"/>
          <w:sz w:val="19"/>
        </w:rPr>
        <w:t>log</w:t>
      </w:r>
      <w:r>
        <w:rPr>
          <w:color w:val="2D2D2D"/>
        </w:rPr>
        <w:t xml:space="preserve"> — ☐ las tres variables llevadas a </w:t>
      </w:r>
      <w:r>
        <w:rPr>
          <w:b/>
          <w:color w:val="2D2D2D"/>
        </w:rPr>
        <w:t>escala común</w:t>
      </w:r>
      <w:r>
        <w:rPr>
          <w:color w:val="2D2D2D"/>
        </w:rPr>
        <w:t xml:space="preserve"> (</w:t>
      </w:r>
      <w:r>
        <w:rPr>
          <w:rFonts w:ascii="Consolas" w:hAnsi="Consolas"/>
          <w:color w:val="2D2D2D"/>
          <w:sz w:val="19"/>
        </w:rPr>
        <w:t>StandardScaler</w:t>
      </w:r>
      <w:r>
        <w:rPr>
          <w:color w:val="2D2D2D"/>
        </w:rPr>
        <w:t xml:space="preserve">). </w:t>
      </w:r>
      <w:r>
        <w:rPr>
          <w:i/>
          <w:color w:val="2D2D2D"/>
        </w:rPr>
        <w:t>Sin estandarizar, el Monto domina y la segmentación refleja las unidades, no el comportamiento.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2. Elección del número de segmentos (silueta)</w:t>
      </w:r>
    </w:p>
    <w:p>
      <w:pPr>
        <w:jc w:val="both"/>
      </w:pPr>
      <w:r>
        <w:rPr>
          <w:i/>
        </w:rPr>
        <w:t xml:space="preserve">Probar varios `k` y anotar la </w:t>
      </w:r>
      <w:r>
        <w:rPr>
          <w:i/>
        </w:rPr>
        <w:t>silueta media</w:t>
      </w:r>
      <w:r>
        <w:rPr>
          <w:i/>
        </w:rPr>
        <w:t xml:space="preserve">. Elegir un `k` con buena silueta </w:t>
      </w:r>
      <w:r>
        <w:rPr>
          <w:i/>
        </w:rPr>
        <w:t>y</w:t>
      </w:r>
      <w:r>
        <w:rPr>
          <w:i/>
        </w:rPr>
        <w:t xml:space="preserve"> segmentos accionables (la métrica informa, no decide sola).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k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Silueta media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¿Segmentos interpretables?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jc w:val="both"/>
      </w:pPr>
      <w:r>
        <w:rPr>
          <w:b/>
        </w:rPr>
        <w:t>k elegido:</w:t>
      </w:r>
      <w:r>
        <w:t xml:space="preserve"> ______ </w:t>
      </w:r>
      <w:r>
        <w:rPr>
          <w:b/>
        </w:rPr>
        <w:t>Justificación (1 línea):</w:t>
      </w:r>
      <w:r>
        <w:t xml:space="preserve"> _______________________________________________</w:t>
      </w: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La silueta suele ser casi plana.</w:t>
      </w:r>
      <w:r>
        <w:rPr>
          <w:color w:val="2D2D2D"/>
        </w:rPr>
        <w:t xml:space="preserve"> En RFM el rango de la silueta entre k=2 y k=6 acostumbra ser muy reducido (~0,03, del orden del </w:t>
      </w:r>
      <w:r>
        <w:rPr>
          <w:b/>
          <w:color w:val="2D2D2D"/>
        </w:rPr>
        <w:t>ruido de semilla</w:t>
      </w:r>
      <w:r>
        <w:rPr>
          <w:color w:val="2D2D2D"/>
        </w:rPr>
        <w:t xml:space="preserve">): no identifica un k superior y su máximo puede caer en cualquier k. Por eso </w:t>
      </w:r>
      <w:r>
        <w:rPr>
          <w:b/>
          <w:color w:val="2D2D2D"/>
        </w:rPr>
        <w:t>el k se elige por interpretabilidad/negocio</w:t>
      </w:r>
      <w:r>
        <w:rPr>
          <w:color w:val="2D2D2D"/>
        </w:rPr>
        <w:t>, no por el 3.er decimal de la métrica.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3. Fichas de segmento (una por grupo)</w:t>
      </w:r>
    </w:p>
    <w:p>
      <w:pPr>
        <w:jc w:val="both"/>
      </w:pPr>
      <w:r>
        <w:rPr>
          <w:i/>
        </w:rPr>
        <w:t xml:space="preserve">Rellenar una ficha por segmento con las </w:t>
      </w:r>
      <w:r>
        <w:rPr>
          <w:i/>
        </w:rPr>
        <w:t>medianas en unidades de negocio</w:t>
      </w:r>
      <w:r>
        <w:rPr>
          <w:i/>
        </w:rPr>
        <w:t xml:space="preserve"> (la mediana describe mejor al cliente típico cuando hay colas largas). Un solo cliente-ballena puede disparar la </w:t>
      </w:r>
      <w:r>
        <w:rPr>
          <w:i/>
        </w:rPr>
        <w:t>media</w:t>
      </w:r>
      <w:r>
        <w:rPr>
          <w:i/>
        </w:rPr>
        <w:t xml:space="preserve"> del Monto muy por encima de la mediana; por eso se reporta la </w:t>
      </w:r>
      <w:r>
        <w:rPr>
          <w:i/>
        </w:rPr>
        <w:t>mediana</w:t>
      </w:r>
      <w:r>
        <w:rPr>
          <w:i/>
        </w:rPr>
        <w:t xml:space="preserve"> como cifra típica del segmento. Nombrar el segmento por su perfil y asignarle </w:t>
      </w:r>
      <w:r>
        <w:rPr>
          <w:i/>
        </w:rPr>
        <w:t>una</w:t>
      </w:r>
      <w:r>
        <w:rPr>
          <w:i/>
        </w:rPr>
        <w:t xml:space="preserve"> acción.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Nombre del segmento</w:t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Nº clientes (%)</w:t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R mediana</w:t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F mediana</w:t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M mediana</w:t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Perfil (1 línea)</w:t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Acción de marketing</w:t>
            </w:r>
          </w:p>
        </w:tc>
      </w:tr>
      <w:tr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4. Cheat-sheet RFM → acción (para nombrar y decidir)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Perfil RFM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Nombre típico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Acción de marketing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R baja, F alta, M alto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Campeones / VIP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Fidelizar (trato preferente, acceso anticipado). No malgastar descuentos.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R baja/media, F media, M bueno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Leales de alto valor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Cross-selling / up-selling; mantener activos.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R baja, F baja, M bajo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Recientes / nuevos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Onboarding; incentivar la </w:t>
            </w:r>
            <w:r>
              <w:rPr>
                <w:b/>
                <w:sz w:val="19"/>
              </w:rPr>
              <w:t>segunda compra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R alta (hace mucho) — F y M bajos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Inactivos / en riesgo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Reactivación de </w:t>
            </w:r>
            <w:r>
              <w:rPr>
                <w:b/>
                <w:sz w:val="19"/>
              </w:rPr>
              <w:t>bajo costo</w:t>
            </w:r>
            <w:r>
              <w:rPr>
                <w:sz w:val="19"/>
              </w:rPr>
              <w:t>; descartar si no responden.</w:t>
            </w:r>
          </w:p>
        </w:tc>
      </w:tr>
    </w:tbl>
    <w:p>
      <w:pPr>
        <w:spacing w:after="40"/>
      </w:pP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Prioridad = valor × tamaño.</w:t>
      </w:r>
      <w:r>
        <w:rPr>
          <w:color w:val="2D2D2D"/>
        </w:rPr>
        <w:t xml:space="preserve"> Una campaña cara no se justifica para un grupo muy reducido, salvo que su </w:t>
      </w:r>
      <w:r>
        <w:rPr>
          <w:b/>
          <w:color w:val="2D2D2D"/>
        </w:rPr>
        <w:t>valor</w:t>
      </w:r>
      <w:r>
        <w:rPr>
          <w:color w:val="2D2D2D"/>
        </w:rPr>
        <w:t xml:space="preserve"> (los VIP) lo amerite. El tamaño del segmento pondera cuánto invertir.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5. Clientes inusuales (anomalías) — para revisar</w:t>
      </w:r>
    </w:p>
    <w:p>
      <w:pPr>
        <w:jc w:val="both"/>
      </w:pPr>
      <w:r>
        <w:rPr>
          <w:i/>
        </w:rPr>
        <w:t xml:space="preserve">Listar los 3–5 clientes más </w:t>
      </w:r>
      <w:r>
        <w:rPr>
          <w:i/>
        </w:rPr>
        <w:t>inusuales</w:t>
      </w:r>
      <w:r>
        <w:rPr>
          <w:i/>
        </w:rPr>
        <w:t xml:space="preserve"> (mayor score de rareza). Marcar si parecen </w:t>
      </w:r>
      <w:r>
        <w:rPr>
          <w:i/>
        </w:rPr>
        <w:t>casos excepcionales</w:t>
      </w:r>
      <w:r>
        <w:rPr>
          <w:i/>
        </w:rPr>
        <w:t xml:space="preserve"> (atender aparte) o </w:t>
      </w:r>
      <w:r>
        <w:rPr>
          <w:i/>
        </w:rPr>
        <w:t>errores de registro</w:t>
      </w:r>
      <w:r>
        <w:rPr>
          <w:i/>
        </w:rPr>
        <w:t xml:space="preserve"> (depurar). Una bandera de anomalía es una </w:t>
      </w:r>
      <w:r>
        <w:rPr>
          <w:i/>
        </w:rPr>
        <w:t>hipótesis</w:t>
      </w:r>
      <w:r>
        <w:rPr>
          <w:i/>
        </w:rPr>
        <w:t xml:space="preserve">, no una sentencia. Anotar el </w:t>
      </w:r>
      <w:r>
        <w:rPr>
          <w:i/>
        </w:rPr>
        <w:t>valor en £</w:t>
      </w:r>
      <w:r>
        <w:rPr>
          <w:i/>
        </w:rPr>
        <w:t xml:space="preserve"> que está en juego en cada caso (p. ej. el gasto del cliente): decidir «cuidar / verificar / excluir» es una </w:t>
      </w:r>
      <w:r>
        <w:rPr>
          <w:i/>
        </w:rPr>
        <w:t>apuesta monetaria</w:t>
      </w:r>
      <w:r>
        <w:rPr>
          <w:i/>
        </w:rPr>
        <w:t>, no solo estadística.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Cliente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R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F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M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¿Excepcional o error?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Qué hacer</w:t>
            </w:r>
          </w:p>
        </w:tc>
      </w:tr>
    </w:tbl>
    <w:p>
      <w:pPr>
        <w:spacing w:after="40"/>
      </w:pPr>
    </w:p>
    <w:p>
      <w:pPr>
        <w:spacing w:before="40" w:after="40"/>
        <w:pBdr>
          <w:bottom w:val="single" w:sz="6" w:space="1" w:color="D9D9D9"/>
        </w:pBdr>
      </w:pP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Cómo se conecta:</w:t>
      </w:r>
      <w:r>
        <w:rPr>
          <w:color w:val="2D2D2D"/>
        </w:rPr>
        <w:t xml:space="preserve"> esta plantilla alimenta la parte de segmentación del entregable (</w:t>
      </w:r>
      <w:r>
        <w:rPr>
          <w:rFonts w:ascii="Consolas" w:hAnsi="Consolas"/>
          <w:color w:val="2D2D2D"/>
          <w:sz w:val="19"/>
        </w:rPr>
        <w:t>evaluacion/entregable.docx</w:t>
      </w:r>
      <w:r>
        <w:rPr>
          <w:color w:val="2D2D2D"/>
        </w:rPr>
        <w:t xml:space="preserve">) y se complementa con </w:t>
      </w:r>
      <w:r>
        <w:rPr>
          <w:rFonts w:ascii="Consolas" w:hAnsi="Consolas"/>
          <w:color w:val="2D2D2D"/>
          <w:sz w:val="19"/>
        </w:rPr>
        <w:t>plantillas/plantilla_top_reglas.docx</w:t>
      </w:r>
      <w:r>
        <w:rPr>
          <w:color w:val="2D2D2D"/>
        </w:rPr>
        <w:t xml:space="preserve"> (reglas de&gt; cross-selling). La lectura de cada resultado se apoya en el cuaderno </w:t>
      </w:r>
      <w:r>
        <w:rPr>
          <w:rFonts w:ascii="Consolas" w:hAnsi="Consolas"/>
          <w:color w:val="2D2D2D"/>
          <w:sz w:val="19"/>
        </w:rPr>
        <w:t>notebook/EPE_S4_no_supervisado.ipynb</w:t>
      </w:r>
      <w:r>
        <w:rPr>
          <w:color w:val="2D2D2D"/>
        </w:rPr>
        <w:t xml:space="preserve"> y en </w:t>
      </w:r>
      <w:r>
        <w:rPr>
          <w:rFonts w:ascii="Consolas" w:hAnsi="Consolas"/>
          <w:color w:val="2D2D2D"/>
          <w:sz w:val="19"/>
        </w:rPr>
        <w:t>resultados/E04_resultados.xlsx</w:t>
      </w:r>
      <w:r>
        <w:rPr>
          <w:color w:val="2D2D2D"/>
        </w:rPr>
        <w:t>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020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2" w:color="D9D9D9"/>
      </w:pBdr>
    </w:pPr>
    <w:r>
      <w:rPr>
        <w:color w:val="6E6E6E"/>
        <w:sz w:val="16"/>
      </w:rPr>
      <w:t xml:space="preserve">Herramientas para la Ciencia de Datos, UPC, Facultad de Negocios     |     </w:t>
    </w:r>
    <w:r>
      <w:rPr>
        <w:color w:val="6E6E6E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2" w:color="E4002B"/>
      </w:pBdr>
    </w:pPr>
    <w:r>
      <w:rPr>
        <w:color w:val="6E6E6E"/>
        <w:sz w:val="16"/>
      </w:rPr>
      <w:t>Plantilla de cálculo RFM y fichas de segmento (con acciones de marketing)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/>
      <w:color w:val="2D2D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