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la presentación de sustentación (EPE)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para la Ciencia de Datos, Modalidad EPE, UPC. Insumo de la Sesión </w:t>
      </w:r>
      <w:r>
        <w:rPr>
          <w:b/>
          <w:color w:val="2D2D2D"/>
        </w:rPr>
        <w:t>E7</w:t>
      </w:r>
      <w:r>
        <w:rPr>
          <w:color w:val="2D2D2D"/>
        </w:rPr>
        <w:t xml:space="preserve"> (cierre). Guion de la </w:t>
      </w:r>
      <w:r>
        <w:rPr>
          <w:b/>
          <w:color w:val="2D2D2D"/>
        </w:rPr>
        <w:t>sustentación final</w:t>
      </w:r>
      <w:r>
        <w:rPr>
          <w:color w:val="2D2D2D"/>
        </w:rPr>
        <w:t xml:space="preserve"> del proyecto integrador, adaptado a EPE de </w:t>
      </w:r>
      <w:r>
        <w:rPr>
          <w:rFonts w:ascii="Consolas" w:hAnsi="Consolas"/>
          <w:color w:val="2D2D2D"/>
          <w:sz w:val="19"/>
        </w:rPr>
        <w:t>Proyecto_Integrador/presentacion_sustentacion_guion.md</w:t>
      </w:r>
      <w:r>
        <w:rPr>
          <w:color w:val="2D2D2D"/>
        </w:rPr>
        <w:t xml:space="preserve">. La sustentación se evalúa con la rúbrica de </w:t>
      </w:r>
      <w:r>
        <w:rPr>
          <w:rFonts w:ascii="Consolas" w:hAnsi="Consolas"/>
          <w:color w:val="2D2D2D"/>
          <w:sz w:val="19"/>
        </w:rPr>
        <w:t>plantillas/guia_proyecto_integrador_epe.docx</w:t>
      </w:r>
      <w:r>
        <w:rPr>
          <w:color w:val="2D2D2D"/>
        </w:rPr>
        <w:t xml:space="preserve"> (0–20). Español impersonal; DD/MM/YYYY.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La idea en una frase</w:t>
      </w:r>
    </w:p>
    <w:p>
      <w:pPr>
        <w:jc w:val="both"/>
      </w:pPr>
      <w:r>
        <w:t xml:space="preserve">La sustentación cuenta el proyecto en la lógica ejecutiva </w:t>
      </w:r>
      <w:r>
        <w:rPr>
          <w:b/>
        </w:rPr>
        <w:t>problema → evidencia → recomendación</w:t>
      </w:r>
      <w:r>
        <w:t xml:space="preserve">. El detalle técnico vive en el </w:t>
      </w:r>
      <w:r>
        <w:rPr>
          <w:b/>
        </w:rPr>
        <w:t>repositorio</w:t>
      </w:r>
      <w:r>
        <w:t xml:space="preserve"> (ver </w:t>
      </w:r>
      <w:r>
        <w:rPr>
          <w:rFonts w:ascii="Consolas" w:hAnsi="Consolas"/>
          <w:color w:val="9B1B30"/>
          <w:sz w:val="19"/>
        </w:rPr>
        <w:t>plantillas/repositorio_plantilla_epe.docx</w:t>
      </w:r>
      <w:r>
        <w:t xml:space="preserve">) y se defiende en la ronda de preguntas. </w:t>
      </w:r>
      <w:r>
        <w:rPr>
          <w:b/>
        </w:rPr>
        <w:t>Sin fórmulas:</w:t>
      </w:r>
      <w:r>
        <w:t xml:space="preserve"> máximo una diapositiva técnica por técnica aplicada.</w:t>
      </w:r>
    </w:p>
    <w:p>
      <w:pPr>
        <w:jc w:val="both"/>
      </w:pPr>
      <w:r>
        <w:rPr>
          <w:b/>
        </w:rPr>
        <w:t>Formato de referencia:</w:t>
      </w:r>
      <w:r>
        <w:t xml:space="preserve"> 8–12 diapositivas — </w:t>
      </w:r>
      <w:r>
        <w:rPr>
          <w:b/>
        </w:rPr>
        <w:t>10 minutos de exposición + 5 de preguntas</w:t>
      </w:r>
      <w:r>
        <w:t xml:space="preserve"> (la duración exacta la fija el docente en el calendario).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Estructura, tiempos y qué debe lograr cada diapositiva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Diapositiva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debe lograr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Portada</w:t>
            </w:r>
            <w:r>
              <w:rPr>
                <w:sz w:val="19"/>
              </w:rPr>
              <w:t xml:space="preserve"> — título del proyecto (de negocio, no de técnica), participante, fecha (DD/MM/YYYY)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0:00–0:30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Presentar el proyecto con un título que un directivo entienda.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 problema y la decisión en juego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0:30–2:00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Qué le ocurre a la organización, qué decisión habilita el análisis y quién la toma; enunciar el </w:t>
            </w:r>
            <w:r>
              <w:rPr>
                <w:b/>
                <w:sz w:val="19"/>
              </w:rPr>
              <w:t>KPI</w:t>
            </w:r>
            <w:r>
              <w:rPr>
                <w:sz w:val="19"/>
              </w:rPr>
              <w:t xml:space="preserve"> con su línea base.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Los datos en una diapositiva</w:t>
            </w:r>
            <w:r>
              <w:rPr>
                <w:sz w:val="19"/>
              </w:rPr>
              <w:t xml:space="preserve"> — fuente, tamaño, periodo, variable objetivo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2:00–3:00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Mostrar que los datos son reales, accesibles y suficientes; declarar las limitaciones principales.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Enfoque analítico</w:t>
            </w:r>
            <w:r>
              <w:rPr>
                <w:sz w:val="19"/>
              </w:rPr>
              <w:t xml:space="preserve"> — qué técnicas se combinaron y por qué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3:00–5:00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Justificar la combinación de </w:t>
            </w:r>
            <w:r>
              <w:rPr>
                <w:b/>
                <w:sz w:val="19"/>
              </w:rPr>
              <w:t>≥ 2 familias</w:t>
            </w:r>
            <w:r>
              <w:rPr>
                <w:sz w:val="19"/>
              </w:rPr>
              <w:t xml:space="preserve"> de técnicas frente a alternativas, en lenguaje de negocio; mencionar cómo se evaluó cada una.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Resultados con lectura de negocio</w:t>
            </w:r>
            <w:r>
              <w:rPr>
                <w:sz w:val="19"/>
              </w:rPr>
              <w:t xml:space="preserve"> — las 2–3 cifras que sostienen la recomendación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5:00–7:30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Cada cifra con su significado para la decisión; gráficos que se entienden solos.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Recomendación accionable y próximos pasos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7:30–9:00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Qué debería hacer la organización y con qué impacto esperado sobre el KPI.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Cierre</w:t>
            </w:r>
            <w:r>
              <w:rPr>
                <w:sz w:val="19"/>
              </w:rPr>
              <w:t xml:space="preserve"> — limitaciones y riesgos declarados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9:00–10:00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Declarar límites, supuestos y riesgos éticos/privacidad; reconectar con el problema inicial.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Ronda de preguntas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10:00–15:00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Defender las decisiones metodológicas con apoyo del repositorio.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Dónde se evidencia cada criterio de la rúbrica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Criterio de la rúbrica (peso)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Dónde se evidencia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1. Negocio y trazabilidad CRISP-DM (3)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Diapositivas 2–3 y coherencia global: el KPI y la variable objetivo declarado para la sesión llegan intactos a la recomendación.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2. Selección y combinación de técnicas (4)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Diapositiva 4: ≥ 2 familias elegidas por la pregunta de negocio y contrastadas con alternativas.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3. Evaluación y validez (4)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Diapositivas 4–5 y preguntas: particiones, métricas justificadas y resultados reproducibles.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4. Resultados y recomendaciones (3)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Diapositivas 5–6: lectura de negocio de cada cifra y recomendación ligada al KPI.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5. Informe ejecutivo (3)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 entrega con el repositorio; la exposición debe ser consistente con él.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6. Sustentación oral y preguntas (3)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Toda la exposición: narrativa, dominio del tiempo y solidez en las respuestas.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Checklist de preparación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Ensayar con reloj</w:t>
            </w:r>
            <w:r>
              <w:rPr>
                <w:sz w:val="19"/>
              </w:rPr>
              <w:t>: el dominio del tiempo forma parte del criterio 6.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Título de negocio</w:t>
            </w:r>
            <w:r>
              <w:rPr>
                <w:sz w:val="19"/>
              </w:rPr>
              <w:t>, no de técnica, en la portada.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Una idea por diapositiva</w:t>
            </w:r>
            <w:r>
              <w:rPr>
                <w:sz w:val="19"/>
              </w:rPr>
              <w:t xml:space="preserve"> (si necesita &gt; 1,5 min, se divide).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Cifras consistentes</w:t>
            </w:r>
            <w:r>
              <w:rPr>
                <w:sz w:val="19"/>
              </w:rPr>
              <w:t xml:space="preserve"> entre presentación, informe y repositorio (coinciden exactamente).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Reproducibilidad la víspera</w:t>
            </w:r>
            <w:r>
              <w:rPr>
                <w:sz w:val="19"/>
              </w:rPr>
              <w:t>: los cuadernos ejecutan de inicio a fin en Colab.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Tres preguntas anticipadas</w:t>
            </w:r>
            <w:r>
              <w:rPr>
                <w:sz w:val="19"/>
              </w:rPr>
              <w:t>: ¿por qué esa técnica?, ¿cómo se validó?, ¿qué pasa si se aplica la recomendación?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Riesgos éticos/privacidad</w:t>
            </w:r>
            <w:r>
              <w:rPr>
                <w:sz w:val="19"/>
              </w:rPr>
              <w:t xml:space="preserve"> declarados en el cierre.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Errores frecuentes a evitar</w:t>
      </w:r>
    </w:p>
    <w:p>
      <w:pPr>
        <w:pStyle w:val="ListBullet"/>
        <w:spacing w:after="40"/>
      </w:pPr>
      <w:r>
        <w:t xml:space="preserve">Abrir con la técnica en vez del </w:t>
      </w:r>
      <w:r>
        <w:rPr>
          <w:b/>
        </w:rPr>
        <w:t>problema de negocio</w:t>
      </w:r>
      <w:r>
        <w:t>.</w:t>
      </w:r>
    </w:p>
    <w:p>
      <w:pPr>
        <w:pStyle w:val="ListBullet"/>
        <w:spacing w:after="40"/>
      </w:pPr>
      <w:r>
        <w:t xml:space="preserve">Llenar diapositivas de </w:t>
      </w:r>
      <w:r>
        <w:rPr>
          <w:b/>
        </w:rPr>
        <w:t>fórmulas</w:t>
      </w:r>
      <w:r>
        <w:t xml:space="preserve"> o tablas ilegibles (el detalle va al repositorio).</w:t>
      </w:r>
    </w:p>
    <w:p>
      <w:pPr>
        <w:pStyle w:val="ListBullet"/>
        <w:spacing w:after="40"/>
      </w:pPr>
      <w:r>
        <w:t xml:space="preserve">Reportar cifras </w:t>
      </w:r>
      <w:r>
        <w:rPr>
          <w:b/>
        </w:rPr>
        <w:t>sin lectura de negocio</w:t>
      </w:r>
      <w:r>
        <w:t xml:space="preserve"> ni conexión con el KPI.</w:t>
      </w:r>
    </w:p>
    <w:p>
      <w:pPr>
        <w:pStyle w:val="ListBullet"/>
        <w:spacing w:after="40"/>
      </w:pPr>
      <w:r>
        <w:t xml:space="preserve">Una recomendación </w:t>
      </w:r>
      <w:r>
        <w:rPr>
          <w:b/>
        </w:rPr>
        <w:t>genérica</w:t>
      </w:r>
      <w:r>
        <w:t xml:space="preserve"> («continuar el análisis») en vez de accionable.</w:t>
      </w:r>
    </w:p>
    <w:p>
      <w:pPr>
        <w:pStyle w:val="ListBullet"/>
        <w:spacing w:after="40"/>
      </w:pPr>
      <w:r>
        <w:t xml:space="preserve">Descuadres entre los </w:t>
      </w:r>
      <w:r>
        <w:rPr>
          <w:b/>
        </w:rPr>
        <w:t>números</w:t>
      </w:r>
      <w:r>
        <w:t xml:space="preserve"> de la presentación y del informe.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Materiales hermanos: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plantillas/guia_proyecto_integrador_epe.docx</w:t>
      </w:r>
      <w:r>
        <w:rPr>
          <w:color w:val="2D2D2D"/>
        </w:rPr>
        <w:t xml:space="preserve"> (guía + rúbrica), </w:t>
      </w:r>
      <w:r>
        <w:rPr>
          <w:rFonts w:ascii="Consolas" w:hAnsi="Consolas"/>
          <w:color w:val="2D2D2D"/>
          <w:sz w:val="19"/>
        </w:rPr>
        <w:t>plantillas/repositorio_plantilla_epe.docx</w:t>
      </w:r>
      <w:r>
        <w:rPr>
          <w:color w:val="2D2D2D"/>
        </w:rPr>
        <w:t xml:space="preserve"> (repo reproducible) y el cuaderno </w:t>
      </w:r>
      <w:r>
        <w:rPr>
          <w:rFonts w:ascii="Consolas" w:hAnsi="Consolas"/>
          <w:color w:val="2D2D2D"/>
          <w:sz w:val="19"/>
        </w:rPr>
        <w:t>notebook/EPE_S7_recomendacion_proyecto.ipynb</w:t>
      </w:r>
      <w:r>
        <w:rPr>
          <w:color w:val="2D2D2D"/>
        </w:rPr>
        <w:t xml:space="preserve"> (bloque </w:t>
      </w:r>
      <w:r>
        <w:rPr>
          <w:i/>
          <w:color w:val="2D2D2D"/>
        </w:rPr>
        <w:t>g</w:t>
      </w:r>
      <w:r>
        <w:rPr>
          <w:color w:val="2D2D2D"/>
        </w:rPr>
        <w:t xml:space="preserve">, cierre). Deriva de </w:t>
      </w:r>
      <w:r>
        <w:rPr>
          <w:rFonts w:ascii="Consolas" w:hAnsi="Consolas"/>
          <w:color w:val="2D2D2D"/>
          <w:sz w:val="19"/>
        </w:rPr>
        <w:t>Proyecto_Integrador/presentacion_sustentacion_guion.md</w:t>
      </w:r>
      <w:r>
        <w:rPr>
          <w:color w:val="2D2D2D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la presentación de sustentación (EPE)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