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Formulario de diagnóstico de entrada — punto de inicio del estudiante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 — Sesión 01. Especificación de preguntas lista para construir en </w:t>
      </w:r>
      <w:r>
        <w:rPr>
          <w:b/>
          <w:color w:val="2D2D2D"/>
        </w:rPr>
        <w:t>Google Forms</w:t>
      </w:r>
      <w:r>
        <w:rPr>
          <w:color w:val="2D2D2D"/>
        </w:rPr>
        <w:t xml:space="preserve">. Copia editable en Drive: https://docs.google.com/document/d/1pvZfuRh9wTOUHK0YSJpxFR8MiywMqX8iI85z3eLopY0/edit (no es un instrumento evaluado ni calificado; no entra en la ficha de la sesión CRISP-DM ni en la rúbrica de </w:t>
      </w:r>
      <w:r>
        <w:rPr>
          <w:rFonts w:ascii="Consolas" w:hAnsi="Consolas"/>
          <w:color w:val="2D2D2D"/>
          <w:sz w:val="19"/>
        </w:rPr>
        <w:t>evaluacion/</w:t>
      </w:r>
      <w:r>
        <w:rPr>
          <w:color w:val="2D2D2D"/>
        </w:rPr>
        <w:t xml:space="preserve">). Se administra </w:t>
      </w:r>
      <w:r>
        <w:rPr>
          <w:b/>
          <w:color w:val="2D2D2D"/>
        </w:rPr>
        <w:t>antes de la sesión</w:t>
      </w:r>
      <w:r>
        <w:rPr>
          <w:color w:val="2D2D2D"/>
        </w:rPr>
        <w:t xml:space="preserve"> (compartido por el aula virtual con unos días de anticipación) o, si no es posible, </w:t>
      </w:r>
      <w:r>
        <w:rPr>
          <w:b/>
          <w:color w:val="2D2D2D"/>
        </w:rPr>
        <w:t>al llegar los estudiantes</w:t>
      </w:r>
      <w:r>
        <w:rPr>
          <w:color w:val="2D2D2D"/>
        </w:rPr>
        <w:t xml:space="preserve">, antes de proyectar la slide 1 — no consume minutos del reloj de clase ni forma parte de las 29 slides del deck. Duración estimada: </w:t>
      </w:r>
      <w:r>
        <w:rPr>
          <w:b/>
          <w:color w:val="2D2D2D"/>
        </w:rPr>
        <w:t>4-6 minutos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Propósito.</w:t>
      </w:r>
      <w:r>
        <w:rPr>
          <w:color w:val="2D2D2D"/>
        </w:rPr>
        <w:t xml:space="preserve"> Ubicar el punto de partida real de cada estudiante frente a lo que el curso asume cubierto (</w:t>
      </w:r>
      <w:r>
        <w:rPr>
          <w:rFonts w:ascii="Consolas" w:hAnsi="Consolas"/>
          <w:color w:val="2D2D2D"/>
          <w:sz w:val="19"/>
        </w:rPr>
        <w:t>Silabo/Silabo_Detallado_UPC.md</w:t>
      </w:r>
      <w:r>
        <w:rPr>
          <w:color w:val="2D2D2D"/>
        </w:rPr>
        <w:t xml:space="preserve">: «entorno y Git — Introducción a CD; pandas y SQL — PAGD 2; K-Means, KNN y SVM — IA I») y frente a sus expectativas del curso. El docente usa los resultados para calibrar el ritmo y los ejemplos de las primeras sesiones (en particular el ritmo de la Sección 0.3 «Diagnóstico estadístico ligero» y el Acto 1 de S02); </w:t>
      </w:r>
      <w:r>
        <w:rPr>
          <w:b/>
          <w:color w:val="2D2D2D"/>
        </w:rPr>
        <w:t>no se usa para calificar ni para filtrar matrícula</w:t>
      </w:r>
      <w:r>
        <w:rPr>
          <w:color w:val="2D2D2D"/>
        </w:rP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Cómo construir este formulario en Google Forms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t>Crear un formulario nuevo (no un «Cuestionario» — dejar desactivada la opción «Convertir en cuestionario», porque no se califica).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>Copiar el título y la descripción de arriba en el encabezado del formulario.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t xml:space="preserve">Añadir cada pregunta con el </w:t>
      </w:r>
      <w:r>
        <w:rPr>
          <w:b/>
        </w:rPr>
        <w:t>tipo exacto</w:t>
      </w:r>
      <w:r>
        <w:t xml:space="preserve"> indicado entre corchetes; los ítems marcados «(opcional)» se dejan sin activar «Obligatoria».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t>En Configuración, activar «Limitar a 1 respuesta» y, si se desea vincular la respuesta al estudiante, «Recopilar direcciones de correo electrónico» (institucional).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t xml:space="preserve">Organizar en 3 secciones con el botón «Añadir sección»: </w:t>
      </w:r>
      <w:r>
        <w:rPr>
          <w:b/>
        </w:rPr>
        <w:t>Identificación</w:t>
      </w:r>
      <w:r>
        <w:t xml:space="preserve">, </w:t>
      </w:r>
      <w:r>
        <w:rPr>
          <w:b/>
        </w:rPr>
        <w:t>A — Conocimientos previos técnicos</w:t>
      </w:r>
      <w:r>
        <w:t xml:space="preserve">, </w:t>
      </w:r>
      <w:r>
        <w:rPr>
          <w:b/>
        </w:rPr>
        <w:t>B — Expectativas y objetivos del curso</w:t>
      </w:r>
      <w:r>
        <w:t xml:space="preserve"> — los títulos de sección van abajo.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180" w:after="60"/>
      </w:pPr>
      <w:r>
        <w:rPr>
          <w:b/>
          <w:color w:val="9B1B30"/>
          <w:sz w:val="25"/>
        </w:rPr>
        <w:t>Sección — Identificación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Tipo (Google Forms)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Obligatoria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Nombres y apellidos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Respuesta corta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Correo institucional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Respuesta corta (validación: expresión regular de correo)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180" w:after="60"/>
      </w:pPr>
      <w:r>
        <w:rPr>
          <w:b/>
          <w:color w:val="9B1B30"/>
          <w:sz w:val="25"/>
        </w:rPr>
        <w:t>Sección A — Conocimientos previos técnicos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Descripción de la sección (copiar textualmente): </w:t>
      </w:r>
      <w:r>
        <w:rPr>
          <w:i/>
          <w:color w:val="2D2D2D"/>
        </w:rPr>
        <w:t>«Autoevaluación del nivel actual, sin importar si se aprendió en un curso, de forma autodidacta o en el trabajo. No hay respuesta correcta ni incorrecta: esto no se califica.»</w:t>
      </w:r>
    </w:p>
    <w:p>
      <w:pPr>
        <w:jc w:val="both"/>
      </w:pPr>
      <w:r>
        <w:rPr>
          <w:b/>
        </w:rPr>
        <w:t>3. Nivel de experiencia por herramienta o tema</w:t>
      </w:r>
      <w:r>
        <w:t xml:space="preserve"> — </w:t>
      </w:r>
      <w:r>
        <w:rPr>
          <w:b/>
        </w:rPr>
        <w:t>[Tipo: Cuadrícula de opción múltiple]</w:t>
      </w:r>
      <w:r>
        <w:t xml:space="preserve"> Filas (una por herramienta/tema) y columnas (escala 1-5), tal como se usan en el curso:</w:t>
      </w:r>
    </w:p>
    <w:p>
      <w:pPr>
        <w:jc w:val="both"/>
      </w:pPr>
      <w:r>
        <w:t>Filas:</w:t>
      </w:r>
    </w:p>
    <w:p>
      <w:pPr>
        <w:pStyle w:val="ListBullet"/>
        <w:spacing w:after="40"/>
      </w:pPr>
      <w:r>
        <w:t>Python (sintaxis, tipos de dato, funciones)</w:t>
      </w:r>
    </w:p>
    <w:p>
      <w:pPr>
        <w:pStyle w:val="ListBullet"/>
        <w:spacing w:after="40"/>
      </w:pPr>
      <w:r>
        <w:t>Jupyter Notebook / Google Colab</w:t>
      </w:r>
    </w:p>
    <w:p>
      <w:pPr>
        <w:pStyle w:val="ListBullet"/>
        <w:spacing w:after="40"/>
      </w:pPr>
      <w:r>
        <w:t>Git / GitHub (control de versiones)</w:t>
      </w:r>
    </w:p>
    <w:p>
      <w:pPr>
        <w:pStyle w:val="ListBullet"/>
        <w:spacing w:after="40"/>
      </w:pPr>
      <w:r>
        <w:t>pandas (manipulación de datos tabulares)</w:t>
      </w:r>
    </w:p>
    <w:p>
      <w:pPr>
        <w:pStyle w:val="ListBullet"/>
        <w:spacing w:after="40"/>
      </w:pPr>
      <w:r>
        <w:t>SQL (consultas, joins, agregaciones)</w:t>
      </w:r>
    </w:p>
    <w:p>
      <w:pPr>
        <w:pStyle w:val="ListBullet"/>
        <w:spacing w:after="40"/>
      </w:pPr>
      <w:r>
        <w:t>Excel (tablas dinámicas, fórmulas, gráficos)</w:t>
      </w:r>
    </w:p>
    <w:p>
      <w:pPr>
        <w:pStyle w:val="ListBullet"/>
        <w:spacing w:after="40"/>
      </w:pPr>
      <w:r>
        <w:t>Estadística descriptiva (media, mediana, desviación estándar)</w:t>
      </w:r>
    </w:p>
    <w:p>
      <w:pPr>
        <w:pStyle w:val="ListBullet"/>
        <w:spacing w:after="40"/>
      </w:pPr>
      <w:r>
        <w:t>Estadística inferencial (pruebas de hipótesis, valor p)</w:t>
      </w:r>
    </w:p>
    <w:p>
      <w:pPr>
        <w:pStyle w:val="ListBullet"/>
        <w:spacing w:after="40"/>
      </w:pPr>
      <w:r>
        <w:t>Algoritmos de Machine Learning básicos (K-Means, KNN, SVM)</w:t>
      </w:r>
    </w:p>
    <w:p>
      <w:pPr>
        <w:jc w:val="both"/>
      </w:pPr>
      <w:r>
        <w:t>Columnas: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t>Nunca lo he usado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>Lo he visto, pero no lo he practicado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t>Lo he usado en un curso, con guía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t>Lo he usado por mi cuenta en al menos un proyecto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t>Lo uso con soltura</w:t>
      </w:r>
    </w:p>
    <w:p>
      <w:pPr>
        <w:jc w:val="both"/>
      </w:pPr>
      <w:r>
        <w:rPr>
          <w:b/>
        </w:rPr>
        <w:t>4.</w:t>
      </w:r>
      <w:r>
        <w:t xml:space="preserve"> ¿Existe un proyecto de análisis de datos completado de inicio a fin (desde datos crudos hasta una conclusión o recomendación)? — </w:t>
      </w:r>
      <w:r>
        <w:rPr>
          <w:b/>
        </w:rPr>
        <w:t>[Tipo: Opción múltiple]</w:t>
      </w:r>
      <w:r>
        <w:t xml:space="preserve"> Opciones: Sí, solo(a), Sí, en equipo, Parcialmente (quedó incompleto), No, nunca</w:t>
      </w:r>
    </w:p>
    <w:p>
      <w:pPr>
        <w:jc w:val="both"/>
      </w:pPr>
      <w:r>
        <w:rPr>
          <w:b/>
        </w:rPr>
        <w:t>5.</w:t>
      </w:r>
      <w:r>
        <w:t xml:space="preserve"> ¿Qué herramienta o lenguaje distinto a Python se ha usado para analizar datos, si alguno? </w:t>
      </w:r>
      <w:r>
        <w:rPr>
          <w:i/>
        </w:rPr>
        <w:t>(opcional)</w:t>
      </w:r>
      <w:r>
        <w:t xml:space="preserve"> — </w:t>
      </w:r>
      <w:r>
        <w:rPr>
          <w:b/>
        </w:rPr>
        <w:t>[Tipo: Respuesta corta]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180" w:after="60"/>
      </w:pPr>
      <w:r>
        <w:rPr>
          <w:b/>
          <w:color w:val="9B1B30"/>
          <w:sz w:val="25"/>
        </w:rPr>
        <w:t>Sección B — Expectativas y objetivos del curso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Descripción de la sección (copiar textualmente): </w:t>
      </w:r>
      <w:r>
        <w:rPr>
          <w:i/>
          <w:color w:val="2D2D2D"/>
        </w:rPr>
        <w:t>«Estas respuestas ayudan a ajustar los ejemplos y el ritmo de las primeras sesiones a los intereses del grupo.»</w:t>
      </w:r>
    </w:p>
    <w:p>
      <w:pPr>
        <w:jc w:val="both"/>
      </w:pPr>
      <w:r>
        <w:rPr>
          <w:b/>
        </w:rPr>
        <w:t>6.</w:t>
      </w:r>
      <w:r>
        <w:t xml:space="preserve"> ¿Qué se espera lograr o aprender en este curso? — </w:t>
      </w:r>
      <w:r>
        <w:rPr>
          <w:b/>
        </w:rPr>
        <w:t>[Tipo: Párrafo]</w:t>
      </w:r>
    </w:p>
    <w:p>
      <w:pPr>
        <w:jc w:val="both"/>
      </w:pPr>
      <w:r>
        <w:rPr>
          <w:b/>
        </w:rPr>
        <w:t>7.</w:t>
      </w:r>
      <w:r>
        <w:t xml:space="preserve"> ¿En qué tipo de problema de negocio interesaría aplicar lo aprendido? — </w:t>
      </w:r>
      <w:r>
        <w:rPr>
          <w:b/>
        </w:rPr>
        <w:t>[Tipo: Casillas de verificación]</w:t>
      </w:r>
      <w:r>
        <w:t xml:space="preserve"> Opciones: Predicción de fuga de clientes (</w:t>
      </w:r>
      <w:r>
        <w:rPr>
          <w:i/>
        </w:rPr>
        <w:t>churn</w:t>
      </w:r>
      <w:r>
        <w:t>), Segmentación de clientes, Pronóstico de demanda, Detección de fraude o anomalías, Fijación de precios, Recomendación de productos, Otro (con campo de texto)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Nota de anclaje: las tres primeras opciones son los mismos tres casos de negocio de apertura de S01; las siguientes son técnicas nombradas en el mapa del curso — no se agrega ninguna técnica fuera del roadmap del sílabo.</w:t>
      </w:r>
    </w:p>
    <w:p>
      <w:pPr>
        <w:jc w:val="both"/>
      </w:pPr>
      <w:r>
        <w:rPr>
          <w:b/>
        </w:rPr>
        <w:t>8.</w:t>
      </w:r>
      <w:r>
        <w:t xml:space="preserve"> Nivel de preparación percibido para el nivel de programación y estadística que anticipa este curso — </w:t>
      </w:r>
      <w:r>
        <w:rPr>
          <w:b/>
        </w:rPr>
        <w:t>[Tipo: Escala lineal]</w:t>
      </w:r>
      <w:r>
        <w:t xml:space="preserve"> Escala: 1 (Nada preparado/a) a 5 (Muy preparado/a)</w:t>
      </w:r>
    </w:p>
    <w:p>
      <w:pPr>
        <w:jc w:val="both"/>
      </w:pPr>
      <w:r>
        <w:rPr>
          <w:b/>
        </w:rPr>
        <w:t>9.</w:t>
      </w:r>
      <w:r>
        <w:t xml:space="preserve"> ¿Qué inquietud o necesidad de apoyo adicional podría surgir durante el curso? </w:t>
      </w:r>
      <w:r>
        <w:rPr>
          <w:i/>
        </w:rPr>
        <w:t>(opcional)</w:t>
      </w:r>
      <w:r>
        <w:t xml:space="preserve"> — </w:t>
      </w:r>
      <w:r>
        <w:rPr>
          <w:b/>
        </w:rPr>
        <w:t>[Tipo: Párrafo]</w:t>
      </w:r>
    </w:p>
    <w:p>
      <w:pPr>
        <w:jc w:val="both"/>
      </w:pPr>
      <w:r>
        <w:rPr>
          <w:b/>
        </w:rPr>
        <w:t>10.</w:t>
      </w:r>
      <w:r>
        <w:t xml:space="preserve"> ¿Qué se espera obtener del proyecto integrador transversal del curso (el que arranca hoy con la ficha de la sesión CRISP-DM)? — </w:t>
      </w:r>
      <w:r>
        <w:rPr>
          <w:b/>
        </w:rPr>
        <w:t>[Tipo: Respuesta corta]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Uso de los resultados (nota para el docente)</w:t>
      </w:r>
    </w:p>
    <w:p>
      <w:pPr>
        <w:pStyle w:val="ListBullet"/>
        <w:spacing w:after="40"/>
      </w:pPr>
      <w:r>
        <w:t>Los resultados de la Sección A no cambian el contenido de S01 ni se anuncian en clase como «nivel bajo/alto»: sirven para decidir, en privado, cuánto detalle dar en los ejemplos de S02-S04 y a quién ofrecer apoyo adicional.</w:t>
      </w:r>
    </w:p>
    <w:p>
      <w:pPr>
        <w:pStyle w:val="ListBullet"/>
        <w:spacing w:after="40"/>
      </w:pPr>
      <w:r>
        <w:t>Los resultados de la Sección B son un insumo opcional para elegir ejemplos y casos de negocio afines al grupo en las siguientes sesiones; no obligan a cambiar ningún dataset ni target de réplica ya fijado en las fichas de cada sesión.</w:t>
      </w:r>
    </w:p>
    <w:p>
      <w:pPr>
        <w:pStyle w:val="ListBullet"/>
        <w:spacing w:after="40"/>
      </w:pPr>
      <w:r>
        <w:t xml:space="preserve">Este formulario </w:t>
      </w:r>
      <w:r>
        <w:rPr>
          <w:b/>
        </w:rPr>
        <w:t>no sustituye</w:t>
      </w:r>
      <w:r>
        <w:t xml:space="preserve"> ni se confunde con la Sección 0.3 «Diagnóstico estadístico ligero» del Bloque 0: ese es contenido que se enseña a toda la clase; este formulario mide el punto de partida individual antes de enseñarlo.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Formulario de diagnóstico de entrada — punto de inicio del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