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Reporte de EDA con checklist de calidad de datos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>Plantilla de trabajo de la Sesión S02 — Herramientas para la Ciencia de Datos (UPC). Guía de una página: un concepto y una lista de verificación. Se completa antes de cualquier prueba estadística o modelo.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 xml:space="preserve">El </w:t>
      </w:r>
      <w:r>
        <w:rPr>
          <w:b/>
        </w:rPr>
        <w:t>análisis exploratorio de datos (EDA)</w:t>
      </w:r>
      <w:r>
        <w:t xml:space="preserve"> es la actitud y el conjunto de técnicas —sobre todo gráficas— para examinar un conjunto de datos y descubrir su estructura, patrones, anomalías y supuestos, </w:t>
      </w:r>
      <w:r>
        <w:rPr>
          <w:b/>
        </w:rPr>
        <w:t>antes</w:t>
      </w:r>
      <w:r>
        <w:t xml:space="preserve"> de formular o ajustar cualquier modelo (Tukey, 1977; ISLR cap. 2). Su producto principal es un </w:t>
      </w:r>
      <w:r>
        <w:rPr>
          <w:b/>
        </w:rPr>
        <w:t>diagnóstico de calidad de datos</w:t>
      </w:r>
      <w:r>
        <w:t xml:space="preserve">: qué tipo tiene cada variable, cuántos faltantes y atípicos hay, qué forma tienen las distribuciones y qué asociaciones se observan. Un EDA disciplinado evita decidir sobre datos sucios o mal entendidos y reduce el retrabajo costoso. </w:t>
      </w:r>
      <w:r>
        <w:rPr>
          <w:b/>
        </w:rPr>
        <w:t>Advertencia:</w:t>
      </w:r>
      <w:r>
        <w:t xml:space="preserve"> la correlación se EXPLORA aquí, pero NO implica causalidad ni se ajusta un modelo de regresión sobre ella (eso corresponde a sesiones posteriores).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Metadatos del reporte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Dataset analizado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Fuente / enlace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Nº de filas × columnas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del análisis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Analista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Sección 1 — Tipos de variable</w:t>
      </w:r>
    </w:p>
    <w:p>
      <w:pPr>
        <w:jc w:val="both"/>
      </w:pPr>
      <w:r>
        <w:t xml:space="preserve">Clasificar cada columna: </w:t>
      </w:r>
      <w:r>
        <w:rPr>
          <w:b/>
        </w:rPr>
        <w:t>cuantitativa</w:t>
      </w:r>
      <w:r>
        <w:t xml:space="preserve"> (continua o discreta) o </w:t>
      </w:r>
      <w:r>
        <w:rPr>
          <w:b/>
        </w:rPr>
        <w:t>cualitativa/categórica</w:t>
      </w:r>
      <w:r>
        <w:t xml:space="preserve"> (nominal u ordinal). El tipo determina qué estadístico, gráfico y prueba son válidos (ISLR cap. 2).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Tipo (cuant. continua / cuant. discreta / cat. nominal / cat. ordinal)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Observación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Sección 2 — Valores faltantes</w:t>
      </w:r>
    </w:p>
    <w:p>
      <w:pPr>
        <w:jc w:val="both"/>
      </w:pPr>
      <w:r>
        <w:t>Reportar el número y el porcentaje de faltantes por variable e indicar si el patrón parece aleatorio o sistemático. Los faltantes rara vez son aleatorios; tratarlos mal sesga toda conclusión posterior.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Nº faltantes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% faltantes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¿Patrón aleatorio o sistemático?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Decisión (ignorar / imputar / marcar)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Sección 3 — Valores atípicos (outliers)</w:t>
      </w:r>
    </w:p>
    <w:p>
      <w:pPr>
        <w:jc w:val="both"/>
      </w:pPr>
      <w:r>
        <w:t xml:space="preserve">Detectar visualmente (boxplot) o por la </w:t>
      </w:r>
      <w:r>
        <w:rPr>
          <w:b/>
        </w:rPr>
        <w:t>regla del rango intercuartílico (RIC)</w:t>
      </w:r>
      <w:r>
        <w:t>: se marcan como atípicos los valores fuera del intervalo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30189" cy="29510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47822612810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0189" cy="295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con </w:t>
      </w:r>
      <w:r>
        <w:drawing>
          <wp:inline xmlns:a="http://schemas.openxmlformats.org/drawingml/2006/main" xmlns:pic="http://schemas.openxmlformats.org/drawingml/2006/picture">
            <wp:extent cx="245892" cy="206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6f4df691f9b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892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y </w:t>
      </w:r>
      <w:r>
        <w:drawing>
          <wp:inline xmlns:a="http://schemas.openxmlformats.org/drawingml/2006/main" xmlns:pic="http://schemas.openxmlformats.org/drawingml/2006/picture">
            <wp:extent cx="245892" cy="206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b0d8bc1f07d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892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el primer y tercer cuartil. Decidir para cada caso si se corrige, elimina o conserva; es una decisión de negocio además de técnica.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Nº atípicos detectados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Método (boxplot / regla RIC)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¿Error de captura o caso genuino?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Decisión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Sección 4 — Distribuciones</w:t>
      </w:r>
    </w:p>
    <w:p>
      <w:pPr>
        <w:jc w:val="both"/>
      </w:pPr>
      <w:r>
        <w:t>Para cada variable numérica relevante, describir forma (simetría o sesgo), moda(s) y dispersión con histograma y boxplot (o violín si se sospecha bimodalidad). Indicar si la media es representativa o si el sesgo la vuelve engañosa.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Gráfico usado (histograma / boxplot / violín)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Forma (simétrica / sesgada / bimodal)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¿Media representativa?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Sección 5 — Correlaciones</w:t>
      </w:r>
    </w:p>
    <w:p>
      <w:pPr>
        <w:jc w:val="both"/>
      </w:pPr>
      <w:r>
        <w:t xml:space="preserve">Explorar asociaciones entre variables numéricas con un heatmap de correlación (Pearson). Anotar los pares con asociación fuerte y las posibles redundancias. La correlación </w:t>
      </w:r>
      <w:r>
        <w:rPr>
          <w:b/>
        </w:rPr>
        <w:t>explora asociación, no causa</w:t>
      </w:r>
      <w: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Par de variables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Coeficiente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Fuerza (débil / moderada / fuerte)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Sección 6 — Conclusiones</w:t>
      </w:r>
    </w:p>
    <w:p>
      <w:pPr>
        <w:jc w:val="both"/>
      </w:pPr>
      <w:r>
        <w:t>Resumir en 3–5 frases los hallazgos de calidad de datos, los riesgos detectados y las decisiones de limpieza tomadas antes de pasar a inferencia o modelado. Enlazar con la hipótesis de negocio que motiva el análisis.</w:t>
      </w:r>
    </w:p>
    <w:p>
      <w:pPr>
        <w:pStyle w:val="ListBullet"/>
        <w:spacing w:after="40"/>
      </w:pPr>
      <w:r>
        <w:t>Hallazgo principal:</w:t>
      </w:r>
    </w:p>
    <w:p>
      <w:pPr>
        <w:pStyle w:val="ListBullet"/>
        <w:spacing w:after="40"/>
      </w:pPr>
      <w:r>
        <w:t>Riesgos de calidad de datos:</w:t>
      </w:r>
    </w:p>
    <w:p>
      <w:pPr>
        <w:pStyle w:val="ListBullet"/>
        <w:spacing w:after="40"/>
      </w:pPr>
      <w:r>
        <w:t>Decisiones de limpieza aplicadas:</w:t>
      </w:r>
    </w:p>
    <w:p>
      <w:pPr>
        <w:pStyle w:val="ListBullet"/>
        <w:spacing w:after="40"/>
      </w:pPr>
      <w:r>
        <w:t>Siguiente paso (prueba estadística o experimento propuesto):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diagnósticos del EDA (leer la distribución antes de elegir la prueba)</w:t>
      </w:r>
    </w:p>
    <w:p>
      <w:pPr>
        <w:jc w:val="both"/>
      </w:pPr>
      <w:r>
        <w:t xml:space="preserve">El EDA no «prueba» nada, pero al leer una distribución se hacen </w:t>
      </w:r>
      <w:r>
        <w:rPr>
          <w:b/>
        </w:rPr>
        <w:t>supuestos implícitos</w:t>
      </w:r>
      <w:r>
        <w:t xml:space="preserve"> cuyo incumplimiento invalida el paso siguiente. Su función es doble: diagnosticar la calidad de los datos y </w:t>
      </w:r>
      <w:r>
        <w:rPr>
          <w:b/>
        </w:rPr>
        <w:t>decidir qué prueba es válida</w:t>
      </w:r>
      <w:r>
        <w:t xml:space="preserve"> antes de calcular ningún p-valor. El desarrollo completo —qué es cada uno, su umbral y su alcance en S02— es la guía de supuestos de la sesión (Parte 3, supuestos implícitos del EDA).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Supuesto (Parte 3 en SUPUESTOS_S02)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identificar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corregir (con qué método)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Atípicos</w:t>
            </w:r>
            <w:r>
              <w:rPr>
                <w:sz w:val="19"/>
              </w:rPr>
              <w:t xml:space="preserve"> (3.1)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Boxplot (puntos fuera de los bigotes) o la regla del RIC (1); contrastar con el histograma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Investigar (¿error de captura o caso genuino?); estadística robusta (</w:t>
            </w:r>
            <w:r>
              <w:rPr>
                <w:b/>
                <w:sz w:val="19"/>
              </w:rPr>
              <w:t>mediana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Mann-Whitney</w:t>
            </w:r>
            <w:r>
              <w:rPr>
                <w:sz w:val="19"/>
              </w:rPr>
              <w:t>); winsorizar o transformar (log)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Sesgo y forma</w:t>
            </w:r>
            <w:r>
              <w:rPr>
                <w:sz w:val="19"/>
              </w:rPr>
              <w:t xml:space="preserve"> (3.2)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Histograma/boxplot/violín; comparar </w:t>
            </w:r>
            <w:r>
              <w:rPr>
                <w:b/>
                <w:sz w:val="19"/>
              </w:rPr>
              <w:t>media vs. mediana</w:t>
            </w:r>
            <w:r>
              <w:rPr>
                <w:sz w:val="19"/>
              </w:rPr>
              <w:t>; violín para detectar bimodalidad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Reportar la </w:t>
            </w:r>
            <w:r>
              <w:rPr>
                <w:b/>
                <w:sz w:val="19"/>
              </w:rPr>
              <w:t>mediana</w:t>
            </w:r>
            <w:r>
              <w:rPr>
                <w:sz w:val="19"/>
              </w:rPr>
              <w:t>; transformar (log/raíz); prueba no paramétrica; segmentar si hay dos subpoblaciones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Escala y tipo de variable</w:t>
            </w:r>
            <w:r>
              <w:rPr>
                <w:sz w:val="19"/>
              </w:rPr>
              <w:t xml:space="preserve"> (3.3)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Clasificar el tipo de cada columna (Sección 1); </w:t>
            </w:r>
            <w:r>
              <w:rPr>
                <w:rFonts w:ascii="Consolas" w:hAnsi="Consolas"/>
                <w:color w:val="9B1B30"/>
                <w:sz w:val="19"/>
              </w:rPr>
              <w:t>describe</w:t>
            </w:r>
            <w:r>
              <w:rPr>
                <w:sz w:val="19"/>
              </w:rPr>
              <w:t>; detectar categóricas codificadas como enteros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diagnóstico </w:t>
            </w:r>
            <w:r>
              <w:rPr>
                <w:b/>
                <w:sz w:val="19"/>
              </w:rPr>
              <w:t>alimenta el árbol de decisión</w:t>
            </w:r>
            <w:r>
              <w:rPr>
                <w:sz w:val="19"/>
              </w:rPr>
              <w:t xml:space="preserve"> de la prueba (chi² / t pareada / Welch / ANOVA)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Del EDA a la prueba.</w:t>
      </w:r>
      <w:r>
        <w:rPr>
          <w:color w:val="2D2D2D"/>
        </w:rPr>
        <w:t xml:space="preserve"> El resultado de este diagnóstico se traduce en la prueba correcta con </w:t>
      </w:r>
      <w:hyperlink r:id="rId12">
        <w:r>
          <w:rPr>
            <w:color w:val="E4002B"/>
            <w:u w:val="single"/>
          </w:rPr>
          <w:t xml:space="preserve">`plantillas/arbol_decision_prueba.docx`</w:t>
        </w:r>
      </w:hyperlink>
      <w:r>
        <w:rPr>
          <w:color w:val="2D2D2D"/>
        </w:rPr>
        <w:t>; allí se desarrollan además los supuestos de la inferencia paramétrica y del A/B test (normalidad/TCL, Welch, independencia, potencia, SRM, multiplicidad), todos con fuente única en la guía de supuestos de la sesión.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Checklist de calidad de datos</w:t>
      </w:r>
    </w:p>
    <w:p>
      <w:pPr>
        <w:jc w:val="both"/>
      </w:pPr>
      <w:r>
        <w:t>Marcar cada ítem al verificarlo. No se avanza a la fase de inferencia con ítems pendientes sin justificación.</w:t>
      </w:r>
    </w:p>
    <w:p>
      <w:pPr>
        <w:pStyle w:val="ListBullet"/>
        <w:spacing w:after="40"/>
      </w:pPr>
      <w:r>
        <w:t>[ ] 1. Se cargó el dataset y se confirmó el número de filas y columnas esperado.</w:t>
      </w:r>
    </w:p>
    <w:p>
      <w:pPr>
        <w:pStyle w:val="ListBullet"/>
        <w:spacing w:after="40"/>
      </w:pPr>
      <w:r>
        <w:t>[ ] 2. Se clasificó el tipo de cada variable (cuantitativa / cualitativa, nominal / ordinal).</w:t>
      </w:r>
    </w:p>
    <w:p>
      <w:pPr>
        <w:pStyle w:val="ListBullet"/>
        <w:spacing w:after="40"/>
      </w:pPr>
      <w:r>
        <w:t>[ ] 3. Se cuantificaron los valores faltantes por variable (número y porcentaje).</w:t>
      </w:r>
    </w:p>
    <w:p>
      <w:pPr>
        <w:pStyle w:val="ListBullet"/>
        <w:spacing w:after="40"/>
      </w:pPr>
      <w:r>
        <w:t>[ ] 4. Se evaluó si el patrón de faltantes es aleatorio o sistemático y se decidió su tratamiento.</w:t>
      </w:r>
    </w:p>
    <w:p>
      <w:pPr>
        <w:pStyle w:val="ListBullet"/>
        <w:spacing w:after="40"/>
      </w:pPr>
      <w:r>
        <w:t>[ ] 5. Se detectaron valores atípicos con boxplot o regla del rango intercuartílico.</w:t>
      </w:r>
    </w:p>
    <w:p>
      <w:pPr>
        <w:pStyle w:val="ListBullet"/>
        <w:spacing w:after="40"/>
      </w:pPr>
      <w:r>
        <w:t>[ ] 6. Se decidió, para cada atípico relevante, si se corrige, elimina o conserva.</w:t>
      </w:r>
    </w:p>
    <w:p>
      <w:pPr>
        <w:pStyle w:val="ListBullet"/>
        <w:spacing w:after="40"/>
      </w:pPr>
      <w:r>
        <w:t>[ ] 7. Se revisó la distribución (forma, sesgo, modas) de cada variable numérica clave.</w:t>
      </w:r>
    </w:p>
    <w:p>
      <w:pPr>
        <w:pStyle w:val="ListBullet"/>
        <w:spacing w:after="40"/>
      </w:pPr>
      <w:r>
        <w:t>[ ] 8. Se verificó si la media es representativa o si el sesgo aconseja usar la mediana.</w:t>
      </w:r>
    </w:p>
    <w:p>
      <w:pPr>
        <w:pStyle w:val="ListBullet"/>
        <w:spacing w:after="40"/>
      </w:pPr>
      <w:r>
        <w:t>[ ] 9. Se exploraron las correlaciones y se anotaron las asociaciones fuertes y redundancias.</w:t>
      </w:r>
    </w:p>
    <w:p>
      <w:pPr>
        <w:pStyle w:val="ListBullet"/>
        <w:spacing w:after="40"/>
      </w:pPr>
      <w:r>
        <w:t>[ ] 10. Se evitó interpretar la correlación como causalidad.</w:t>
      </w:r>
    </w:p>
    <w:p>
      <w:pPr>
        <w:pStyle w:val="ListBullet"/>
        <w:spacing w:after="40"/>
      </w:pPr>
      <w:r>
        <w:t>[ ] 11. Se documentaron las decisiones de limpieza y su justificación.</w:t>
      </w:r>
    </w:p>
    <w:p>
      <w:pPr>
        <w:pStyle w:val="ListBullet"/>
        <w:spacing w:after="40"/>
      </w:pPr>
      <w:r>
        <w:t>[ ] 12. Se enunció la hipótesis o pregunta de negocio que guía el análisis posterior.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plantilla se completa a partir del trabajo del cuaderno </w:t>
      </w:r>
      <w:r>
        <w:rPr>
          <w:rFonts w:ascii="Consolas" w:hAnsi="Consolas"/>
          <w:color w:val="2D2D2D"/>
          <w:sz w:val="19"/>
        </w:rPr>
        <w:t>notebook/S02_eda_inferencia_ab.ipynb</w:t>
      </w:r>
      <w:r>
        <w:rPr>
          <w:color w:val="2D2D2D"/>
        </w:rPr>
        <w:t xml:space="preserve"> (carga de datos, gráficos y estadística descriptiva) y su versión completada acompaña al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como evidencia del diagnóstico de calidad de datos previo al análisis del A/B test.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Fuentes: Tukey, J. W. (1977), </w:t>
      </w:r>
      <w:r>
        <w:rPr>
          <w:i/>
          <w:color w:val="2D2D2D"/>
        </w:rPr>
        <w:t>Exploratory Data Analysis</w:t>
      </w:r>
      <w:r>
        <w:rPr>
          <w:color w:val="2D2D2D"/>
        </w:rPr>
        <w:t xml:space="preserve">; James, Witten, Hastie &amp; Tibshirani, </w:t>
      </w:r>
      <w:r>
        <w:rPr>
          <w:i/>
          <w:color w:val="2D2D2D"/>
        </w:rPr>
        <w:t>An Introduction to Statistical Learning</w:t>
      </w:r>
      <w:r>
        <w:rPr>
          <w:color w:val="2D2D2D"/>
        </w:rPr>
        <w:t xml:space="preserve"> (ISLR), cap. 2, statlearning.com. Derivado de el glosario de la sesión (apartado A. EDA) y de la guía de supuestos de la sesión (Parte 3, supuestos implícitos del EDA).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Reporte de EDA con checklist de calidad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plantillas/arbol_decision_prueba.docx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