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 una página: cómo leer los gráficos de residuales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S03 — Herramientas para la Ciencia de Datos (UPC). Guía de referencia rápida para el diagnóstico visual de un modelo OLS simple. Se usa junto al cuaderno </w:t>
      </w:r>
      <w:r>
        <w:rPr>
          <w:rFonts w:ascii="Consolas" w:hAnsi="Consolas"/>
          <w:color w:val="2D2D2D"/>
          <w:sz w:val="19"/>
        </w:rPr>
        <w:t>notebook/S03_ols.ipynb</w:t>
      </w:r>
      <w:r>
        <w:rPr>
          <w:color w:val="2D2D2D"/>
        </w:rPr>
        <w:t xml:space="preserve"> y el reporte </w:t>
      </w:r>
      <w:r>
        <w:rPr>
          <w:rFonts w:ascii="Consolas" w:hAnsi="Consolas"/>
          <w:color w:val="2D2D2D"/>
          <w:sz w:val="19"/>
        </w:rPr>
        <w:t>plantillas/reporte_regresion_gerencial.docx</w:t>
      </w:r>
      <w:r>
        <w:rPr>
          <w:color w:val="2D2D2D"/>
        </w:rPr>
        <w:t>; el desarrollo completo de cada supuesto que aquí se diagnostica —qué es, cómo se identifica y cómo se corrige por qué método— es la guía de supuestos de la sesión.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El </w:t>
      </w:r>
      <w:r>
        <w:rPr>
          <w:b/>
        </w:rPr>
        <w:t>residual</w:t>
      </w:r>
      <w:r>
        <w:t xml:space="preserve"> de una observación es lo que el modelo no explica: la diferencia entre el valor real y el ajustado,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4069" cy="3283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a84d948147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069" cy="328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sobre la recta ajustada </w:t>
      </w:r>
      <w:r>
        <w:drawing>
          <wp:inline xmlns:a="http://schemas.openxmlformats.org/drawingml/2006/main" xmlns:pic="http://schemas.openxmlformats.org/drawingml/2006/picture">
            <wp:extent cx="664768" cy="206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fad79891b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68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. El método de mínimos cuadrados elige esa recta precisamente para que la suma de residuales al cuadrado </w:t>
      </w:r>
      <w:r>
        <w:drawing>
          <wp:inline xmlns:a="http://schemas.openxmlformats.org/drawingml/2006/main" xmlns:pic="http://schemas.openxmlformats.org/drawingml/2006/picture">
            <wp:extent cx="451739" cy="206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3c86a20ac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739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sea mínima, de modo que el residual (1) es el material de diagnóstico por excelencia. Su análisis gráfico es la herramienta central para validar los supuestos de Gauss-Markov y decidir si la recta es la forma correcta antes de tomar una decisión. Bajo un buen ajuste, los residuales se ven como una </w:t>
      </w:r>
      <w:r>
        <w:rPr>
          <w:b/>
        </w:rPr>
        <w:t>nube sin patrón, centrada en cero y de dispersión constante</w:t>
      </w:r>
      <w:r>
        <w:t>. Cualquier patrón indica que el modelo presenta un error sistemático en alguna zona del predictor. El cuarteto de Anscombe (1973) lo demuestra de forma tajante: cuatro conjuntos con idénticos R², recta y correlación esconden realidades opuestas, visibles solo al graficar. Por eso los números resumen nunca bastan.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Los cuatro gráficos de diagnóstico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Gráfico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se grafica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 ve bien si…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Patrón que delata un problema (diagnóstico)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hacer en S03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Residuales vs. ajustados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Residual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8874" cy="2066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8a397e738d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74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(eje Y) contra el valor ajustado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8534" cy="2066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6d650251a02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34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(eje X)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Nube horizontal sin forma, centrada en 0, de ancho parejo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Forma de U o curva</w:t>
            </w:r>
            <w:r>
              <w:rPr>
                <w:sz w:val="19"/>
              </w:rPr>
              <w:t xml:space="preserve"> → no linealidad: la recta es la forma equivocada. </w:t>
            </w:r>
            <w:r>
              <w:rPr>
                <w:b/>
                <w:sz w:val="19"/>
              </w:rPr>
              <w:t>Abanico</w:t>
            </w:r>
            <w:r>
              <w:rPr>
                <w:sz w:val="19"/>
              </w:rPr>
              <w:t xml:space="preserve"> (dispersión que crece o decrece) → heterocedasticidad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Transformar el predictor (por ejemplo, log de la inversión) o añadir un término no lineal; no cambiar de familia de modelo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Q-Q (normal)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Cuantiles de los residuales contra los cuantiles de una normal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Puntos alineados sobre la diagonal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Colas que se despegan (forma de S)</w:t>
            </w:r>
            <w:r>
              <w:rPr>
                <w:sz w:val="19"/>
              </w:rPr>
              <w:t xml:space="preserve"> → residuales no normales: afecta la exactitud de intervalos y p-valores en muestras pequeñas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 muestras grandes el TCL protege; si n es pequeña, transformar </w:t>
            </w:r>
            <w:r>
              <w:rPr>
                <w:rFonts w:ascii="Consolas" w:hAnsi="Consolas"/>
                <w:color w:val="9B1B30"/>
                <w:sz w:val="19"/>
              </w:rPr>
              <w:t>Y</w:t>
            </w:r>
            <w:r>
              <w:rPr>
                <w:sz w:val="19"/>
              </w:rPr>
              <w:t xml:space="preserve"> o interpretar los IC con cautela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Escala-localización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Raíz del valor absoluto del residual estandarizado contra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8534" cy="2066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6d650251a02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34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Línea aproximadamente plana, dispersión uniforme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Tendencia ascendente</w:t>
            </w:r>
            <w:r>
              <w:rPr>
                <w:sz w:val="19"/>
              </w:rPr>
              <w:t xml:space="preserve"> → heterocedasticidad confirmada (la varianza del error crece con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8534" cy="2066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6d650251a02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34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Transformar </w:t>
            </w:r>
            <w:r>
              <w:rPr>
                <w:rFonts w:ascii="Consolas" w:hAnsi="Consolas"/>
                <w:color w:val="9B1B30"/>
                <w:sz w:val="19"/>
              </w:rPr>
              <w:t>Y</w:t>
            </w:r>
            <w:r>
              <w:rPr>
                <w:sz w:val="19"/>
              </w:rPr>
              <w:t xml:space="preserve"> o el predictor; el remedio formal (errores robustos) es materia de S04 y aquí solo se anticipa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Residuales vs. orden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Residual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8874" cy="2066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8a397e738d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74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contra el orden de las observaciones. </w:t>
            </w:r>
            <w:r>
              <w:rPr>
                <w:b/>
                <w:sz w:val="19"/>
              </w:rPr>
              <w:t>Antes de leerlo hay que declarar qué es ese eje</w:t>
            </w:r>
            <w:r>
              <w:rPr>
                <w:sz w:val="19"/>
              </w:rPr>
              <w:t>: ¿tiempo, o simplemente el orden del archivo?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Sin rachas ni ciclos; los signos se alternan al azar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Rachas largas del mismo signo o un ciclo</w:t>
            </w:r>
            <w:r>
              <w:rPr>
                <w:sz w:val="19"/>
              </w:rPr>
              <w:t xml:space="preserve"> → autocorrelación, </w:t>
            </w:r>
            <w:r>
              <w:rPr>
                <w:b/>
                <w:sz w:val="19"/>
              </w:rPr>
              <w:t>si y solo si el eje es una secuencia real</w:t>
            </w:r>
            <w:r>
              <w:rPr>
                <w:sz w:val="19"/>
              </w:rPr>
              <w:t xml:space="preserve"> (típico en datos temporales). Si el archivo está ordenado por el predictor, el patrón es un </w:t>
            </w:r>
            <w:r>
              <w:rPr>
                <w:b/>
                <w:sz w:val="19"/>
              </w:rPr>
              <w:t>artefacto de la ordenación</w:t>
            </w:r>
            <w:r>
              <w:rPr>
                <w:sz w:val="19"/>
              </w:rPr>
              <w:t>, no dependencia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Comprobar primero si el orden significa algo (¿hay fecha? ¿el índice correlaciona con </w:t>
            </w:r>
            <w:r>
              <w:rPr>
                <w:rFonts w:ascii="Consolas" w:hAnsi="Consolas"/>
                <w:color w:val="9B1B30"/>
                <w:sz w:val="19"/>
              </w:rPr>
              <w:t>X</w:t>
            </w:r>
            <w:r>
              <w:rPr>
                <w:sz w:val="19"/>
              </w:rPr>
              <w:t>?); el tratamiento formal corresponde a series de tiempo (S11); aquí solo se detecta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Apoyo numérico del pie de `summary`:</w:t>
      </w:r>
      <w:r>
        <w:t xml:space="preserve"> el estadístico </w:t>
      </w:r>
      <w:r>
        <w:rPr>
          <w:b/>
        </w:rPr>
        <w:t>Durbin-Watson</w:t>
      </w:r>
      <w:r>
        <w:t xml:space="preserve"> (~2 es ideal) acompaña a la lectura de residuales vs. orden para la autocorrelación; </w:t>
      </w:r>
      <w:r>
        <w:rPr>
          <w:b/>
        </w:rPr>
        <w:t>Omnibus</w:t>
      </w:r>
      <w:r>
        <w:t xml:space="preserve"> y </w:t>
      </w:r>
      <w:r>
        <w:rPr>
          <w:b/>
        </w:rPr>
        <w:t>Jarque-Bera</w:t>
      </w:r>
      <w:r>
        <w:t xml:space="preserve"> acompañan al Q-Q para la normalidad. Se leen como confirmación del gráfico, nunca en lugar de él, y su desarrollo formal se difiere (Omnibus/JB a S04; DW a S11): en S03 solo se usan </w:t>
      </w:r>
      <w:r>
        <w:rPr>
          <w:b/>
        </w:rPr>
        <w:t>con su umbral</w:t>
      </w:r>
      <w:r>
        <w:t>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Aviso — el Durbin-Watson de la réplica de Galton no diagnostica secuencia.</w:t>
      </w:r>
      <w:r>
        <w:rPr>
          <w:color w:val="2D2D2D"/>
        </w:rPr>
        <w:t xml:space="preserve"> El </w:t>
      </w:r>
      <w:r>
        <w:rPr>
          <w:rFonts w:ascii="Consolas" w:hAnsi="Consolas"/>
          <w:color w:val="2D2D2D"/>
          <w:sz w:val="19"/>
        </w:rPr>
        <w:t>summary</w:t>
      </w:r>
      <w:r>
        <w:rPr>
          <w:color w:val="2D2D2D"/>
        </w:rPr>
        <w:t xml:space="preserve"> imprime </w:t>
      </w:r>
      <w:r>
        <w:rPr>
          <w:b/>
          <w:color w:val="2D2D2D"/>
        </w:rPr>
        <w:t>DW = 1,386</w:t>
      </w:r>
      <w:r>
        <w:rPr>
          <w:color w:val="2D2D2D"/>
        </w:rPr>
        <w:t xml:space="preserve">, y sería un error escribir «hay autocorrelación». El CSV de Galton está </w:t>
      </w:r>
      <w:r>
        <w:rPr>
          <w:b/>
          <w:color w:val="2D2D2D"/>
        </w:rPr>
        <w:t>ordenado por estatura paterna descendente</w:t>
      </w:r>
      <w:r>
        <w:rPr>
          <w:color w:val="2D2D2D"/>
        </w:rPr>
        <w:t xml:space="preserve"> —corr(índice, </w:t>
      </w:r>
      <w:r>
        <w:rPr>
          <w:rFonts w:ascii="Consolas" w:hAnsi="Consolas"/>
          <w:color w:val="2D2D2D"/>
          <w:sz w:val="19"/>
        </w:rPr>
        <w:t>father</w:t>
      </w:r>
      <w:r>
        <w:rPr>
          <w:color w:val="2D2D2D"/>
        </w:rPr>
        <w:t xml:space="preserve">) = </w:t>
      </w:r>
      <w:r>
        <w:rPr>
          <w:b/>
          <w:color w:val="2D2D2D"/>
        </w:rPr>
        <w:t>−0,952</w:t>
      </w:r>
      <w:r>
        <w:rPr>
          <w:color w:val="2D2D2D"/>
        </w:rPr>
        <w:t xml:space="preserve">—, así que el DW, que compara cada residual con el anterior </w:t>
      </w:r>
      <w:r>
        <w:rPr>
          <w:i/>
          <w:color w:val="2D2D2D"/>
        </w:rPr>
        <w:t>en el orden del archivo</w:t>
      </w:r>
      <w:r>
        <w:rPr>
          <w:color w:val="2D2D2D"/>
        </w:rPr>
        <w:t xml:space="preserve">, mide residuales a lo largo del </w:t>
      </w:r>
      <w:r>
        <w:rPr>
          <w:b/>
          <w:color w:val="2D2D2D"/>
        </w:rPr>
        <w:t>predictor ordenado</w:t>
      </w:r>
      <w:r>
        <w:rPr>
          <w:color w:val="2D2D2D"/>
        </w:rPr>
        <w:t xml:space="preserve">. Al permutar las 934 filas al azar el DW sube a </w:t>
      </w:r>
      <w:r>
        <w:rPr>
          <w:b/>
          <w:color w:val="2D2D2D"/>
        </w:rPr>
        <w:t>1,994</w:t>
      </w:r>
      <w:r>
        <w:rPr>
          <w:color w:val="2D2D2D"/>
        </w:rPr>
        <w:t xml:space="preserve">: el valor bajo </w:t>
      </w:r>
      <w:r>
        <w:rPr>
          <w:b/>
          <w:color w:val="2D2D2D"/>
        </w:rPr>
        <w:t>desaparece con el barajado</w:t>
      </w:r>
      <w:r>
        <w:rPr>
          <w:color w:val="2D2D2D"/>
        </w:rPr>
        <w:t xml:space="preserve">, luego es un artefacto de la ordenación. Dos consecuencias operativas: (1) la figura «residuales vs. orden» de esta réplica debe llevar la declaración de que su eje X es </w:t>
      </w:r>
      <w:r>
        <w:rPr>
          <w:b/>
          <w:color w:val="2D2D2D"/>
        </w:rPr>
        <w:t>la X ordenada, no el tiempo</w:t>
      </w:r>
      <w:r>
        <w:rPr>
          <w:color w:val="2D2D2D"/>
        </w:rPr>
        <w:t xml:space="preserve">; (2) la dependencia que </w:t>
      </w:r>
      <w:r>
        <w:rPr>
          <w:b/>
          <w:color w:val="2D2D2D"/>
        </w:rPr>
        <w:t>sí</w:t>
      </w:r>
      <w:r>
        <w:rPr>
          <w:color w:val="2D2D2D"/>
        </w:rPr>
        <w:t xml:space="preserve"> existe en estos datos es </w:t>
      </w:r>
      <w:r>
        <w:rPr>
          <w:b/>
          <w:color w:val="2D2D2D"/>
        </w:rPr>
        <w:t>intrafamiliar</w:t>
      </w:r>
      <w:r>
        <w:rPr>
          <w:color w:val="2D2D2D"/>
        </w:rPr>
        <w:t xml:space="preserve"> —934 hijos de </w:t>
      </w:r>
      <w:r>
        <w:rPr>
          <w:b/>
          <w:color w:val="2D2D2D"/>
        </w:rPr>
        <w:t>205 familias</w:t>
      </w:r>
      <w:r>
        <w:rPr>
          <w:color w:val="2D2D2D"/>
        </w:rPr>
        <w:t xml:space="preserve">, hermanos que comparten mid-parent y entorno, con un </w:t>
      </w:r>
      <w:r>
        <w:rPr>
          <w:b/>
          <w:color w:val="2D2D2D"/>
        </w:rPr>
        <w:t>ICC de 0,417</w:t>
      </w:r>
      <w:r>
        <w:rPr>
          <w:color w:val="2D2D2D"/>
        </w:rPr>
        <w:t xml:space="preserve">—, y esa sí compromete la independencia entre observaciones, aunque su corrección (errores agrupados, modelos multinivel) quede fuera del alcance de S03. </w:t>
      </w:r>
      <w:r>
        <w:rPr>
          <w:b/>
          <w:color w:val="2D2D2D"/>
        </w:rPr>
        <w:t>Contraste:</w:t>
      </w:r>
      <w:r>
        <w:rPr>
          <w:color w:val="2D2D2D"/>
        </w:rPr>
        <w:t xml:space="preserve"> en </w:t>
      </w:r>
      <w:r>
        <w:rPr>
          <w:i/>
          <w:color w:val="2D2D2D"/>
        </w:rPr>
        <w:t>Advertising</w:t>
      </w:r>
      <w:r>
        <w:rPr>
          <w:color w:val="2D2D2D"/>
        </w:rPr>
        <w:t xml:space="preserve"> la independencia se sostiene (índice consecutivo 1…200, corr(índice, TV) = 0,018, </w:t>
      </w:r>
      <w:r>
        <w:rPr>
          <w:b/>
          <w:color w:val="2D2D2D"/>
        </w:rPr>
        <w:t>DW = 1,935</w:t>
      </w:r>
      <w:r>
        <w:rPr>
          <w:color w:val="2D2D2D"/>
        </w:rPr>
        <w:t xml:space="preserve">). Cifras en </w:t>
      </w:r>
      <w:r>
        <w:rPr>
          <w:rFonts w:ascii="Consolas" w:hAnsi="Consolas"/>
          <w:color w:val="2D2D2D"/>
          <w:sz w:val="19"/>
        </w:rPr>
        <w:t>resultados/S03_resultados.xlsx</w:t>
      </w:r>
      <w:r>
        <w:rPr>
          <w:color w:val="2D2D2D"/>
        </w:rPr>
        <w:t xml:space="preserve">, hoja </w:t>
      </w:r>
      <w:r>
        <w:rPr>
          <w:rFonts w:ascii="Consolas" w:hAnsi="Consolas"/>
          <w:color w:val="2D2D2D"/>
          <w:sz w:val="19"/>
        </w:rPr>
        <w:t>orden_independencia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diagnósticos (identificar y corregir)</w:t>
      </w:r>
    </w:p>
    <w:p>
      <w:pPr>
        <w:jc w:val="both"/>
      </w:pPr>
      <w:r>
        <w:t xml:space="preserve">Cada gráfico de residuales es el detector de un supuesto de Gauss-Markov (o del diagnóstico de datos). En S03 el diagnóstico es </w:t>
      </w:r>
      <w:r>
        <w:rPr>
          <w:b/>
        </w:rPr>
        <w:t>visual</w:t>
      </w:r>
      <w:r>
        <w:t xml:space="preserve"> y la corrección propia es </w:t>
      </w:r>
      <w:r>
        <w:rPr>
          <w:b/>
        </w:rPr>
        <w:t>transformar</w:t>
      </w:r>
      <w:r>
        <w:t xml:space="preserve"> </w:t>
      </w:r>
      <w:r>
        <w:rPr>
          <w:rFonts w:ascii="Consolas" w:hAnsi="Consolas"/>
          <w:color w:val="9B1B30"/>
          <w:sz w:val="19"/>
        </w:rPr>
        <w:t>X</w:t>
      </w:r>
      <w:r>
        <w:t>/</w:t>
      </w:r>
      <w:r>
        <w:rPr>
          <w:rFonts w:ascii="Consolas" w:hAnsi="Consolas"/>
          <w:color w:val="9B1B30"/>
          <w:sz w:val="19"/>
        </w:rPr>
        <w:t>Y</w:t>
      </w:r>
      <w:r>
        <w:t xml:space="preserve"> dentro del modelo de un predictor; las pruebas formales y las correcciones de inferencia se </w:t>
      </w:r>
      <w:r>
        <w:rPr>
          <w:b/>
        </w:rPr>
        <w:t>nombran con su umbral</w:t>
      </w:r>
      <w:r>
        <w:t xml:space="preserve"> pero se ejecutan en S04 y siguientes. El tratamiento completo (qué es cada uno, su umbral y su alcance) está en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identificar (gráfico / prueba con umbral)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corregir (con qué método)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Linealidad</w:t>
            </w:r>
            <w:r>
              <w:rPr>
                <w:sz w:val="19"/>
              </w:rPr>
              <w:t xml:space="preserve"> (SLR.1)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Residuales vs. ajustados en forma de U/arco; dispersión con la recta; prueba RESET de Ramsey (</w:t>
            </w:r>
            <w:r>
              <w:rPr>
                <w:rFonts w:ascii="Consolas" w:hAnsi="Consolas"/>
                <w:color w:val="9B1B30"/>
                <w:sz w:val="19"/>
              </w:rPr>
              <w:t>p &lt; 0,05</w:t>
            </w:r>
            <w:r>
              <w:rPr>
                <w:sz w:val="19"/>
              </w:rPr>
              <w:t>) → curvatura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Transformar </w:t>
            </w:r>
            <w:r>
              <w:rPr>
                <w:rFonts w:ascii="Consolas" w:hAnsi="Consolas"/>
                <w:color w:val="9B1B30"/>
                <w:sz w:val="19"/>
              </w:rPr>
              <w:t>X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1B30"/>
                <w:sz w:val="19"/>
              </w:rPr>
              <w:t>Y</w:t>
            </w:r>
            <w:r>
              <w:rPr>
                <w:sz w:val="19"/>
              </w:rPr>
              <w:t xml:space="preserve"> (log, √) </w:t>
            </w:r>
            <w:r>
              <w:rPr>
                <w:b/>
                <w:sz w:val="19"/>
              </w:rPr>
              <w:t>[S03]</w:t>
            </w:r>
            <w:r>
              <w:rPr>
                <w:sz w:val="19"/>
              </w:rPr>
              <w:t xml:space="preserve">; polinomios/splines/GAM </w:t>
            </w:r>
            <w:r>
              <w:rPr>
                <w:b/>
                <w:sz w:val="19"/>
              </w:rPr>
              <w:t>[S05]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Homocedasticidad</w:t>
            </w:r>
            <w:r>
              <w:rPr>
                <w:sz w:val="19"/>
              </w:rPr>
              <w:t xml:space="preserve"> (SLR.5)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Residuales vs. ajustados en abanico; escala-localización con tendencia ascendente; Breusch-Pagan / White (</w:t>
            </w:r>
            <w:r>
              <w:rPr>
                <w:rFonts w:ascii="Consolas" w:hAnsi="Consolas"/>
                <w:color w:val="9B1B30"/>
                <w:sz w:val="19"/>
              </w:rPr>
              <w:t>p &lt; 0,05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Transformar </w:t>
            </w:r>
            <w:r>
              <w:rPr>
                <w:rFonts w:ascii="Consolas" w:hAnsi="Consolas"/>
                <w:color w:val="9B1B30"/>
                <w:sz w:val="19"/>
              </w:rPr>
              <w:t>Y</w:t>
            </w:r>
            <w:r>
              <w:rPr>
                <w:sz w:val="19"/>
              </w:rPr>
              <w:t xml:space="preserve"> (log) </w:t>
            </w:r>
            <w:r>
              <w:rPr>
                <w:b/>
                <w:sz w:val="19"/>
              </w:rPr>
              <w:t>[S03]</w:t>
            </w:r>
            <w:r>
              <w:rPr>
                <w:sz w:val="19"/>
              </w:rPr>
              <w:t xml:space="preserve">; errores robustos de White (HC), WLS </w:t>
            </w:r>
            <w:r>
              <w:rPr>
                <w:b/>
                <w:sz w:val="19"/>
              </w:rPr>
              <w:t>[S04]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 autocorrelación / independencia</w:t>
            </w:r>
            <w:r>
              <w:rPr>
                <w:sz w:val="19"/>
              </w:rPr>
              <w:t xml:space="preserve"> (SLR.2)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Residuales vs. orden con rachas/ciclos; Durbin-Watson (≈ 2 sano; </w:t>
            </w:r>
            <w:r>
              <w:rPr>
                <w:rFonts w:ascii="Consolas" w:hAnsi="Consolas"/>
                <w:color w:val="9B1B30"/>
                <w:sz w:val="19"/>
              </w:rPr>
              <w:t>&lt; 1,5</w:t>
            </w:r>
            <w:r>
              <w:rPr>
                <w:sz w:val="19"/>
              </w:rPr>
              <w:t xml:space="preserve"> positiva) </w:t>
            </w:r>
            <w:r>
              <w:rPr>
                <w:b/>
                <w:sz w:val="19"/>
              </w:rPr>
              <w:t>solo si el orden significa algo</w:t>
            </w:r>
            <w:r>
              <w:rPr>
                <w:sz w:val="19"/>
              </w:rPr>
              <w:t xml:space="preserve"> —si el archivo está ordenado por </w:t>
            </w:r>
            <w:r>
              <w:rPr>
                <w:rFonts w:ascii="Consolas" w:hAnsi="Consolas"/>
                <w:color w:val="9B1B30"/>
                <w:sz w:val="19"/>
              </w:rPr>
              <w:t>X</w:t>
            </w:r>
            <w:r>
              <w:rPr>
                <w:sz w:val="19"/>
              </w:rPr>
              <w:t xml:space="preserve">, el DW bajo es artefacto (Galton: 1,386 → </w:t>
            </w:r>
            <w:r>
              <w:rPr>
                <w:b/>
                <w:sz w:val="19"/>
              </w:rPr>
              <w:t>1,994</w:t>
            </w:r>
            <w:r>
              <w:rPr>
                <w:sz w:val="19"/>
              </w:rPr>
              <w:t xml:space="preserve"> al permutar)—; Breusch-Godfrey / Ljung-Box. Con datos </w:t>
            </w:r>
            <w:r>
              <w:rPr>
                <w:b/>
                <w:sz w:val="19"/>
              </w:rPr>
              <w:t>agrupados</w:t>
            </w:r>
            <w:r>
              <w:rPr>
                <w:sz w:val="19"/>
              </w:rPr>
              <w:t xml:space="preserve"> (hermanos, tiendas de una cadena), mirar el agrupamiento, no el orden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Detectar en S03; Newey-West/HAC y modelos de serie </w:t>
            </w:r>
            <w:r>
              <w:rPr>
                <w:b/>
                <w:sz w:val="19"/>
              </w:rPr>
              <w:t>[S11]</w:t>
            </w:r>
            <w:r>
              <w:rPr>
                <w:sz w:val="19"/>
              </w:rPr>
              <w:t xml:space="preserve">; errores agrupados o multinivel para el agrupamiento </w:t>
            </w:r>
            <w:r>
              <w:rPr>
                <w:b/>
                <w:sz w:val="19"/>
              </w:rPr>
              <w:t>[avanzado]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Normalidad de los errores</w:t>
            </w:r>
            <w:r>
              <w:rPr>
                <w:sz w:val="19"/>
              </w:rPr>
              <w:t xml:space="preserve"> (SLR.6; no exigida por Gauss-Markov)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Q-Q con colas en S; Omnibus / Jarque-Bera (</w:t>
            </w:r>
            <w:r>
              <w:rPr>
                <w:rFonts w:ascii="Consolas" w:hAnsi="Consolas"/>
                <w:color w:val="9B1B30"/>
                <w:sz w:val="19"/>
              </w:rPr>
              <w:t>p &lt; 0,05</w:t>
            </w:r>
            <w:r>
              <w:rPr>
                <w:sz w:val="19"/>
              </w:rPr>
              <w:t>); Shapiro-Wilk (muestra pequeña)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Transformar </w:t>
            </w:r>
            <w:r>
              <w:rPr>
                <w:rFonts w:ascii="Consolas" w:hAnsi="Consolas"/>
                <w:color w:val="9B1B30"/>
                <w:sz w:val="19"/>
              </w:rPr>
              <w:t>Y</w:t>
            </w:r>
            <w:r>
              <w:rPr>
                <w:sz w:val="19"/>
              </w:rPr>
              <w:t xml:space="preserve">; con </w:t>
            </w:r>
            <w:r>
              <w:rPr>
                <w:rFonts w:ascii="Consolas" w:hAnsi="Consolas"/>
                <w:color w:val="9B1B30"/>
                <w:sz w:val="19"/>
              </w:rPr>
              <w:t>n</w:t>
            </w:r>
            <w:r>
              <w:rPr>
                <w:sz w:val="19"/>
              </w:rPr>
              <w:t xml:space="preserve"> grande el TCL basta </w:t>
            </w:r>
            <w:r>
              <w:rPr>
                <w:b/>
                <w:sz w:val="19"/>
              </w:rPr>
              <w:t>[S03]</w:t>
            </w:r>
            <w:r>
              <w:rPr>
                <w:sz w:val="19"/>
              </w:rPr>
              <w:t xml:space="preserve">; bootstrap </w:t>
            </w:r>
            <w:r>
              <w:rPr>
                <w:b/>
                <w:sz w:val="19"/>
              </w:rPr>
              <w:t>[avanzado]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Influyentes / apalancamiento / atípicos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Residuales vs. leverage; distancia de Cook (</w:t>
            </w:r>
            <w:r>
              <w:rPr>
                <w:rFonts w:ascii="Consolas" w:hAnsi="Consolas"/>
                <w:color w:val="9B1B30"/>
                <w:sz w:val="19"/>
              </w:rPr>
              <w:t>&gt; 1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9B1B30"/>
                <w:sz w:val="19"/>
              </w:rPr>
              <w:t>&gt; 4/n</w:t>
            </w:r>
            <w:r>
              <w:rPr>
                <w:sz w:val="19"/>
              </w:rPr>
              <w:t>); leverage (</w:t>
            </w:r>
            <w:r>
              <w:rPr>
                <w:rFonts w:ascii="Consolas" w:hAnsi="Consolas"/>
                <w:color w:val="9B1B30"/>
                <w:sz w:val="19"/>
              </w:rPr>
              <w:t>&gt; 2p/n</w:t>
            </w:r>
            <w:r>
              <w:rPr>
                <w:sz w:val="19"/>
              </w:rPr>
              <w:t>); residuos estudentizados (</w:t>
            </w:r>
            <w:r>
              <w:rPr>
                <w:rFonts w:ascii="Consolas" w:hAnsi="Consolas"/>
                <w:color w:val="9B1B30"/>
                <w:sz w:val="19"/>
              </w:rPr>
              <w:t>&gt; 2</w:t>
            </w:r>
            <w:r>
              <w:rPr>
                <w:sz w:val="19"/>
              </w:rPr>
              <w:t xml:space="preserve"> en valor absoluto)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Investigar el dato y análisis de sensibilidad (con/sin el caso) </w:t>
            </w:r>
            <w:r>
              <w:rPr>
                <w:b/>
                <w:sz w:val="19"/>
              </w:rPr>
              <w:t>[S03]</w:t>
            </w:r>
            <w:r>
              <w:rPr>
                <w:sz w:val="19"/>
              </w:rPr>
              <w:t xml:space="preserve">; regresión robusta </w:t>
            </w:r>
            <w:r>
              <w:rPr>
                <w:b/>
                <w:sz w:val="19"/>
              </w:rPr>
              <w:t>[avanzado]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Exogeneidad</w:t>
            </w:r>
            <w:r>
              <w:rPr>
                <w:sz w:val="19"/>
              </w:rPr>
              <w:t xml:space="preserve"> (SLR.4)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Ningún gráfico la prueba: se razona el dominio (variable omitida, causalidad inversa, regresión a la media)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Solo </w:t>
            </w:r>
            <w:r>
              <w:rPr>
                <w:b/>
                <w:sz w:val="19"/>
              </w:rPr>
              <w:t>advertir</w:t>
            </w:r>
            <w:r>
              <w:rPr>
                <w:sz w:val="19"/>
              </w:rPr>
              <w:t xml:space="preserve"> que β₁ es asociación, no causa </w:t>
            </w:r>
            <w:r>
              <w:rPr>
                <w:b/>
                <w:sz w:val="19"/>
              </w:rPr>
              <w:t>[S03]</w:t>
            </w:r>
            <w:r>
              <w:rPr>
                <w:sz w:val="19"/>
              </w:rPr>
              <w:t xml:space="preserve">; incluir omitidas </w:t>
            </w:r>
            <w:r>
              <w:rPr>
                <w:b/>
                <w:sz w:val="19"/>
              </w:rPr>
              <w:t>[S04]</w:t>
            </w:r>
            <w:r>
              <w:rPr>
                <w:sz w:val="19"/>
              </w:rPr>
              <w:t xml:space="preserve"> o diseño causal </w:t>
            </w:r>
            <w:r>
              <w:rPr>
                <w:b/>
                <w:sz w:val="19"/>
              </w:rPr>
              <w:t>[S12]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Anscombe (graficar siempre)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Cuatro conjuntos con idéntico R², β y r y gráficos opuestos: el resumen numérico no basta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Incorporar el diagnóstico gráfico como paso obligatorio antes de reportar β₁/R² </w:t>
            </w:r>
            <w:r>
              <w:rPr>
                <w:b/>
                <w:sz w:val="19"/>
              </w:rPr>
              <w:t>[S03, central]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Regla de oro</w:t>
      </w:r>
    </w:p>
    <w:p>
      <w:pPr>
        <w:jc w:val="both"/>
      </w:pPr>
      <w:r>
        <w:t xml:space="preserve">Graficar </w:t>
      </w:r>
      <w:r>
        <w:rPr>
          <w:b/>
        </w:rPr>
        <w:t>siempre</w:t>
      </w:r>
      <w:r>
        <w:t xml:space="preserve"> antes de concluir. Dos modelos con el mismo R² pueden esconder realidades opuestas (cuarteto de Anscombe): un ajuste lineal correcto, uno curvo, uno con un atípico y uno donde un único punto influyente crea toda la pendiente. Un patrón </w:t>
      </w:r>
      <w:r>
        <w:rPr>
          <w:b/>
        </w:rPr>
        <w:t>curvo</w:t>
      </w:r>
      <w:r>
        <w:t xml:space="preserve"> en residuales vs. ajustados es la señal más común y significa que la recta es la forma equivocada. El diagnóstico </w:t>
      </w:r>
      <w:r>
        <w:rPr>
          <w:b/>
        </w:rPr>
        <w:t>formal</w:t>
      </w:r>
      <w:r>
        <w:t xml:space="preserve"> de supuestos (pruebas de heterocedasticidad, VIF, errores robustos) pertenece a S04; en S03 el diagnóstico es </w:t>
      </w:r>
      <w:r>
        <w:rPr>
          <w:b/>
        </w:rPr>
        <w:t>visual</w:t>
      </w:r>
      <w:r>
        <w:t xml:space="preserve"> y su remedio es transformar variables.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acompaña el diagnóstico del cuaderno </w:t>
      </w:r>
      <w:r>
        <w:rPr>
          <w:rFonts w:ascii="Consolas" w:hAnsi="Consolas"/>
          <w:color w:val="2D2D2D"/>
          <w:sz w:val="19"/>
        </w:rPr>
        <w:t>notebook/S03_ols.ipynb</w:t>
      </w:r>
      <w:r>
        <w:rPr>
          <w:color w:val="2D2D2D"/>
        </w:rPr>
        <w:t xml:space="preserve"> (gráficos de residuales del modelo OLS) y la sección "Calidad del ajuste — supuestos y semáforo de residuales" del </w:t>
      </w:r>
      <w:r>
        <w:rPr>
          <w:rFonts w:ascii="Consolas" w:hAnsi="Consolas"/>
          <w:color w:val="2D2D2D"/>
          <w:sz w:val="19"/>
        </w:rPr>
        <w:t>plantillas/reporte_regresion_gerencial.docx</w:t>
      </w:r>
      <w:r>
        <w:rPr>
          <w:color w:val="2D2D2D"/>
        </w:rPr>
        <w:t xml:space="preserve">; sustenta el drill de diagnosticar un patrón curvo y proponer solución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la guía de supuestos de la sesión (fuente única de supuestos: Parte 1 Gauss-Markov, Parte 2 normalidad e influencia, Parte 3 Anscombe), la guía de interpretación de resultados («Sección 2» lectura de gráficos de residuales, «Sección 1.6» diagnósticos del pie) e el glosario de la sesión («Sección 4» supuestos de Gauss-Markov, «Sección 5» análisis de residuales, «Sección 6» cuarteto de Anscombe). Fuentes: ISLR cap. 3.3.3 (statlearning.com); Anscombe, F. J. (1973), </w:t>
      </w:r>
      <w:r>
        <w:rPr>
          <w:i/>
          <w:color w:val="2D2D2D"/>
        </w:rPr>
        <w:t>Graphs in Statistical Analysis</w:t>
      </w:r>
      <w:r>
        <w:rPr>
          <w:color w:val="2D2D2D"/>
        </w:rPr>
        <w:t>, The American Statistician 27(1).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 una página: cómo leer los gráficos de residuales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