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Comparación de modelos por validación cruzada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Plantilla de trabajo de la Sesión S04 — Herramientas para la Ciencia de Datos (UPC). Tabla para registrar varios modelos candidatos y elegir el más generalizable por validación cruzada k-fold, no por el ajuste in-sample. Se completa junto al cuaderno </w:t>
      </w:r>
      <w:r>
        <w:rPr>
          <w:rFonts w:ascii="Consolas" w:hAnsi="Consolas"/>
          <w:color w:val="2D2D2D"/>
          <w:sz w:val="19"/>
        </w:rPr>
        <w:t>notebook/S04_regresion_multiple.ipynb</w:t>
      </w:r>
      <w:r>
        <w:rPr>
          <w:color w:val="2D2D2D"/>
        </w:rPr>
        <w:t xml:space="preserve"> y materializa el drill de comparación de modelos del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>. Español impersonal. Fechas DD/MM/YYYY, UTF-8.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Concepto</w:t>
      </w:r>
    </w:p>
    <w:p>
      <w:pPr>
        <w:jc w:val="both"/>
      </w:pPr>
      <w:r>
        <w:t>El R² siempre sube al añadir predictores, aunque sean irrelevantes; el R² ajustado penaliza cada parámetro añadido: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94312" cy="4114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7df9ead88af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4312" cy="411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(1)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con n observaciones y k predictores. A diferencia del R² crudo, el R² ajustado (1) solo sube si el predictor nuevo aporta más de lo que cuesta en grados de libertad; aun así, </w:t>
      </w:r>
      <w:r>
        <w:rPr>
          <w:b/>
        </w:rPr>
        <w:t>la prueba honesta de generalización es la validación cruzada</w:t>
      </w:r>
      <w:r>
        <w:t xml:space="preserve">, no el ajuste en la misma muestra. En k-fold cross-validation se parte el dataset en </w:t>
      </w:r>
      <w:r>
        <w:rPr>
          <w:b/>
        </w:rPr>
        <w:t>k bloques</w:t>
      </w:r>
      <w:r>
        <w:t xml:space="preserve">; se entrena con k−1 y se evalúa en el restante; se rota k veces, y se reporta la métrica como </w:t>
      </w:r>
      <w:r>
        <w:rPr>
          <w:b/>
        </w:rPr>
        <w:t>media ± desviación estándar</w:t>
      </w:r>
      <w:r>
        <w:t xml:space="preserve"> entre folds. Con k = 5 (o 10) es el estándar. La métrica de error por fold es la raíz del error cuadrático medio: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30236" cy="69826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66c6c4d38e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236" cy="6982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(2)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promediada entre los k folds. </w:t>
      </w:r>
      <w:r>
        <w:rPr>
          <w:b/>
        </w:rPr>
        <w:t>Glosario de (2):</w:t>
      </w:r>
      <w:r>
        <w:t xml:space="preserve"> yᵢ es el valor </w:t>
      </w:r>
      <w:r>
        <w:rPr>
          <w:b/>
        </w:rPr>
        <w:t>real</w:t>
      </w:r>
      <w:r>
        <w:t xml:space="preserve"> de la respuesta en la observación i; ŷᵢ es la </w:t>
      </w:r>
      <w:r>
        <w:rPr>
          <w:b/>
        </w:rPr>
        <w:t>predicción</w:t>
      </w:r>
      <w:r>
        <w:t xml:space="preserve"> del modelo para esa observación (ajustado </w:t>
      </w:r>
      <w:r>
        <w:rPr>
          <w:b/>
        </w:rPr>
        <w:t>sin</w:t>
      </w:r>
      <w:r>
        <w:t xml:space="preserve"> verla: con los otros k−1 folds); y la </w:t>
      </w:r>
      <w:r>
        <w:rPr>
          <w:b/>
        </w:rPr>
        <w:t>n de esta fórmula es el nº de observaciones del fold de prueba</w:t>
      </w:r>
      <w:r>
        <w:t xml:space="preserve">, no el total del dataset — la fórmula se evalúa </w:t>
      </w:r>
      <w:r>
        <w:rPr>
          <w:b/>
        </w:rPr>
        <w:t>dentro de cada fold</w:t>
      </w:r>
      <w:r>
        <w:t xml:space="preserve"> y el RMSE_CV que se reporta es el </w:t>
      </w:r>
      <w:r>
        <w:rPr>
          <w:b/>
        </w:rPr>
        <w:t>promedio de los k RMSE de fold</w:t>
      </w:r>
      <w:r>
        <w:t xml:space="preserve"> (media ± sd entre folds). </w:t>
      </w:r>
      <w:r>
        <w:rPr>
          <w:i/>
        </w:rPr>
        <w:t xml:space="preserve">(Atención al doble uso de k: en (1) k cuenta </w:t>
      </w:r>
      <w:r>
        <w:rPr>
          <w:i/>
        </w:rPr>
        <w:t>predictores</w:t>
      </w:r>
      <w:r>
        <w:rPr>
          <w:i/>
        </w:rPr>
        <w:t xml:space="preserve">; en «k-fold» cuenta </w:t>
      </w:r>
      <w:r>
        <w:rPr>
          <w:i/>
        </w:rPr>
        <w:t>folds</w:t>
      </w:r>
      <w:r>
        <w:rPr>
          <w:i/>
        </w:rPr>
        <w:t xml:space="preserve"> — símbolos homónimos por tradición, conceptos distintos; desarrollo con todos los símbolos glosados en el glosario de la sesión)</w:t>
      </w:r>
      <w:r>
        <w:t xml:space="preserve"> Se elige el modelo por su </w:t>
      </w:r>
      <w:r>
        <w:rPr>
          <w:b/>
        </w:rPr>
        <w:t>error esperado en datos nuevos</w:t>
      </w:r>
      <w:r>
        <w:t xml:space="preserve"> (RMSE medio (2)) y su </w:t>
      </w:r>
      <w:r>
        <w:rPr>
          <w:b/>
        </w:rPr>
        <w:t>estabilidad</w:t>
      </w:r>
      <w:r>
        <w:t xml:space="preserve"> (sd entre folds); se aplica parsimonia ante empates. El R² ajustado in-sample sirve solo como cribado rápido: cuando discrepa de la CV, </w:t>
      </w:r>
      <w:r>
        <w:rPr>
          <w:b/>
        </w:rPr>
        <w:t>prevalece la CV</w:t>
      </w:r>
      <w:r>
        <w:t xml:space="preserve">. Regla de comparabilidad: solo se comparan por RMSE modelos con la respuesta Y en la </w:t>
      </w:r>
      <w:r>
        <w:rPr>
          <w:b/>
        </w:rPr>
        <w:t>misma escala</w:t>
      </w:r>
      <w:r>
        <w:t xml:space="preserve"> (todo en nivel o todo en log); los RMSE de escalas distintas no son comparables.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Metadatos de la comparación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Valor a completar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Dataset y nº de observaciones (n)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Variable respuesta y escala (nivel / log)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k (nº de folds)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Semilla de reproducibilidad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KFold(n_splits=5, shuffle=True, random_state=42)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Métrica de CV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RMSE (</w:t>
            </w:r>
            <w:r>
              <w:rPr>
                <w:rFonts w:ascii="Consolas" w:hAnsi="Consolas"/>
                <w:color w:val="9B1B30"/>
                <w:sz w:val="19"/>
              </w:rPr>
              <w:t>scoring="neg_root_mean_squared_error"</w:t>
            </w:r>
            <w:r>
              <w:rPr>
                <w:sz w:val="19"/>
              </w:rPr>
              <w:t>) y R²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Fecha de la comparación (DD/MM/YYYY)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Analista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Tabla de comparación (a completar)</w:t>
      </w:r>
    </w:p>
    <w:p>
      <w:pPr>
        <w:jc w:val="both"/>
      </w:pPr>
      <w:r>
        <w:t>Una fila por modelo candidato. Registrar predictores, nº de parámetros (predictores + intercepto), el R² ajustado in-sample y las métricas de CV como media ± sd. Mantener todos los modelos en la misma escala de Y para que los RMSE sean comparables.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Predictores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Nº de parámetros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R² ajustado in-sample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R² CV (media ± sd)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RMSE CV (media ± sd)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Escala de Y</w:t>
            </w:r>
          </w:p>
        </w:tc>
      </w:tr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M1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M2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M3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M4</w:t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39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Ejemplo de referencia (verificado con el venv del curso)</w:t>
      </w:r>
    </w:p>
    <w:p>
      <w:pPr>
        <w:jc w:val="both"/>
      </w:pPr>
      <w:r>
        <w:t xml:space="preserve">Valores reproducidos sobre </w:t>
      </w:r>
      <w:r>
        <w:rPr>
          <w:rFonts w:ascii="Consolas" w:hAnsi="Consolas"/>
          <w:color w:val="9B1B30"/>
          <w:sz w:val="19"/>
        </w:rPr>
        <w:t>AmesHousing.csv</w:t>
      </w:r>
      <w:r>
        <w:t xml:space="preserve"> (De Cock, 2930 filas), tras remover las 5 ventas atípicas. </w:t>
      </w:r>
      <w:r>
        <w:rPr>
          <w:b/>
        </w:rPr>
        <w:t>No copiar como resultado propio</w:t>
      </w:r>
      <w:r>
        <w:t>: son la referencia contra la cual contrastar la réplica del laboratorio.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Predictores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R² / R²aj in-sample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RMSE CV 5-fold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Escala de Y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Simple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Gr Liv Area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0.518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54 506 ± 3 489 USD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nivel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Múltiple (5 predictores)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Overall Qual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1B30"/>
                <w:sz w:val="19"/>
              </w:rPr>
              <w:t>Gr Liv Area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1B30"/>
                <w:sz w:val="19"/>
              </w:rPr>
              <w:t>Garage Cars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1B30"/>
                <w:sz w:val="19"/>
              </w:rPr>
              <w:t>Total Bsmt SF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1B30"/>
                <w:sz w:val="19"/>
              </w:rPr>
              <w:t>Year Built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0.820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33 308 ± 2 410 USD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nivel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Múltiple en log, </w:t>
            </w:r>
            <w:r>
              <w:rPr>
                <w:b/>
                <w:sz w:val="19"/>
              </w:rPr>
              <w:t>retransformado a USD</w:t>
            </w:r>
            <w:r>
              <w:rPr>
                <w:sz w:val="19"/>
              </w:rPr>
              <w:t xml:space="preserve"> (Duan, S = 1.0119)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los mismos 5 predictores, </w:t>
            </w:r>
            <w:r>
              <w:rPr>
                <w:rFonts w:ascii="Consolas" w:hAnsi="Consolas"/>
                <w:color w:val="9B1B30"/>
                <w:sz w:val="19"/>
              </w:rPr>
              <w:t>Y = log(SalePrice)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0.847 </w:t>
            </w:r>
            <w:r>
              <w:rPr>
                <w:i/>
                <w:sz w:val="19"/>
              </w:rPr>
              <w:t>(en log; no comparable con las dos de arriba)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27 282 ± 1 276 USD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log → </w:t>
            </w:r>
            <w:r>
              <w:rPr>
                <w:b/>
                <w:sz w:val="19"/>
              </w:rPr>
              <w:t>USD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</w:rPr>
        <w:t>Lectura:</w:t>
      </w:r>
      <w:r>
        <w:t xml:space="preserve"> el modelo múltiple reduce el error fuera de muestra de aproximadamente 54 500 a 33 300 USD (−39 %) </w:t>
      </w:r>
      <w:r>
        <w:rPr>
          <w:b/>
        </w:rPr>
        <w:t>y</w:t>
      </w:r>
      <w:r>
        <w:t xml:space="preserve"> con menor dispersión entre folds (más estable). En dinero, la </w:t>
      </w:r>
      <w:r>
        <w:rPr>
          <w:b/>
        </w:rPr>
        <w:t>banda de error de predicción se estrecha ≈ 21 200 USD por tasación</w:t>
      </w:r>
      <w:r>
        <w:t xml:space="preserve"> (menos riesgo de mispricing): </w:t>
      </w:r>
      <w:r>
        <w:rPr>
          <w:b/>
        </w:rPr>
        <w:t>no</w:t>
      </w:r>
      <w:r>
        <w:t xml:space="preserve"> es caja ahorrada que se sume transacción a transacción, sino cuánto MENOS puede equivocarse cada tasación. El </w:t>
      </w:r>
      <w:r>
        <w:rPr>
          <w:b/>
        </w:rPr>
        <w:t>costo esperado</w:t>
      </w:r>
      <w:r>
        <w:t xml:space="preserve"> de una decisión (p. ej. un sobre-préstamo por sobrevaluar) es un concepto distinto: depende de la </w:t>
      </w:r>
      <w:r>
        <w:rPr>
          <w:b/>
        </w:rPr>
        <w:t>exposición</w:t>
      </w:r>
      <w:r>
        <w:t xml:space="preserve"> y del </w:t>
      </w:r>
      <w:r>
        <w:rPr>
          <w:b/>
        </w:rPr>
        <w:t>costo del error</w:t>
      </w:r>
      <w:r>
        <w:t xml:space="preserve">, no del RMSE. Aquí el R² ajustado y la CV coinciden en preferir el modelo grande; cuando difieran, decide la CV. </w:t>
      </w:r>
      <w:r>
        <w:rPr>
          <w:b/>
        </w:rPr>
        <w:t>Límite honesto:</w:t>
      </w:r>
      <w:r>
        <w:t xml:space="preserve"> ese RMSE de ≈ 33 300 USD es la </w:t>
      </w:r>
      <w:r>
        <w:rPr>
          <w:b/>
        </w:rPr>
        <w:t>banda de error de una tasación</w:t>
      </w:r>
      <w:r>
        <w:t xml:space="preserve">; como suele superar el efecto en dinero de un solo factor (p. ej. +1 punto de calidad ≈ +17 400 USD), la decisión es fiable en el </w:t>
      </w:r>
      <w:r>
        <w:rPr>
          <w:b/>
        </w:rPr>
        <w:t>agregado</w:t>
      </w:r>
      <w:r>
        <w:t xml:space="preserve"> (una cartera de muchas tasaciones, con error del promedio ≈ 1/√N), no vivienda por vivienda. </w:t>
      </w:r>
      <w:r>
        <w:rPr>
          <w:b/>
        </w:rPr>
        <w:t>Advertencia de escala (error frecuente):</w:t>
      </w:r>
      <w:r>
        <w:t xml:space="preserve"> el mismo modelo múltiple ajustado sobre </w:t>
      </w:r>
      <w:r>
        <w:rPr>
          <w:rFonts w:ascii="Consolas" w:hAnsi="Consolas"/>
          <w:color w:val="9B1B30"/>
          <w:sz w:val="19"/>
        </w:rPr>
        <w:t>log(SalePrice)</w:t>
      </w:r>
      <w:r>
        <w:t xml:space="preserve"> alcanza R² = 0.847, pero </w:t>
      </w:r>
      <w:r>
        <w:rPr>
          <w:b/>
        </w:rPr>
        <w:t>ese 0.847 no se compara con el 0.820 de esta tabla</w:t>
      </w:r>
      <w:r>
        <w:t xml:space="preserve">: el R² en nivel mide la varianza explicada de </w:t>
      </w:r>
      <w:r>
        <w:rPr>
          <w:rFonts w:ascii="Consolas" w:hAnsi="Consolas"/>
          <w:color w:val="9B1B30"/>
          <w:sz w:val="19"/>
        </w:rPr>
        <w:t>SalePrice</w:t>
      </w:r>
      <w:r>
        <w:t xml:space="preserve"> (USD) y el R² en log, la de </w:t>
      </w:r>
      <w:r>
        <w:rPr>
          <w:rFonts w:ascii="Consolas" w:hAnsi="Consolas"/>
          <w:color w:val="9B1B30"/>
          <w:sz w:val="19"/>
        </w:rPr>
        <w:t>log(SalePrice)</w:t>
      </w:r>
      <w:r>
        <w:t xml:space="preserve"> — </w:t>
      </w:r>
      <w:r>
        <w:rPr>
          <w:b/>
        </w:rPr>
        <w:t>denominadores distintos, respuestas distintas</w:t>
      </w:r>
      <w:r>
        <w:t xml:space="preserve">. La diferencia 0.820 frente a 0.847 </w:t>
      </w:r>
      <w:r>
        <w:rPr>
          <w:b/>
        </w:rPr>
        <w:t>no</w:t>
      </w:r>
      <w:r>
        <w:t xml:space="preserve"> mide el aporte del log, ni «cuánto mejora» el modelo. Su RMSE crudo tampoco es comparable (está en unidades log).</w:t>
      </w:r>
    </w:p>
    <w:p>
      <w:pPr>
        <w:jc w:val="both"/>
      </w:pPr>
      <w:r>
        <w:rPr>
          <w:b/>
        </w:rPr>
        <w:t>Cómo se compara bien (y qué resulta):</w:t>
      </w:r>
      <w:r>
        <w:t xml:space="preserve"> se llevan ambos modelos a </w:t>
      </w:r>
      <w:r>
        <w:rPr>
          <w:b/>
        </w:rPr>
        <w:t>una misma escala</w:t>
      </w:r>
      <w:r>
        <w:t xml:space="preserve">: se retransforman a </w:t>
      </w:r>
      <w:r>
        <w:rPr>
          <w:b/>
        </w:rPr>
        <w:t>USD</w:t>
      </w:r>
      <w:r>
        <w:t xml:space="preserve"> las predicciones del modelo en log. </w:t>
      </w:r>
      <w:r>
        <w:rPr>
          <w:rFonts w:ascii="Consolas" w:hAnsi="Consolas"/>
          <w:color w:val="9B1B30"/>
          <w:sz w:val="19"/>
        </w:rPr>
        <w:t>exp</w:t>
      </w:r>
      <w:r>
        <w:t xml:space="preserve"> sin corrección no basta —la media del log no es el log de la media, así que subestima el precio esperado—: se aplica el </w:t>
      </w:r>
      <w:r>
        <w:rPr>
          <w:b/>
        </w:rPr>
        <w:t>factor de smearing de Duan (1983)</w:t>
      </w:r>
      <w:r>
        <w:t xml:space="preserve">, </w:t>
      </w:r>
      <w:r>
        <w:drawing>
          <wp:inline xmlns:a="http://schemas.openxmlformats.org/drawingml/2006/main" xmlns:pic="http://schemas.openxmlformats.org/drawingml/2006/picture">
            <wp:extent cx="817781" cy="206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82317ba9735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17781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, de modo que </w:t>
      </w:r>
      <w:r>
        <w:drawing>
          <wp:inline xmlns:a="http://schemas.openxmlformats.org/drawingml/2006/main" xmlns:pic="http://schemas.openxmlformats.org/drawingml/2006/picture">
            <wp:extent cx="780536" cy="2066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2a98d740ad4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0536" cy="2066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, </w:t>
      </w:r>
      <w:r>
        <w:rPr>
          <w:b/>
        </w:rPr>
        <w:t>estimado solo con el fold de entrenamiento</w:t>
      </w:r>
      <w:r>
        <w:t xml:space="preserve"> para no filtrar información. En el ejemplo de la sesión </w:t>
      </w:r>
      <w:r>
        <w:rPr>
          <w:b/>
        </w:rPr>
        <w:t>S = 1.0119 (+1.19 %)</w:t>
      </w:r>
      <w:r>
        <w:t xml:space="preserve"> y el resultado es la tercera fila de la tabla: </w:t>
      </w:r>
      <w:r>
        <w:rPr>
          <w:b/>
        </w:rPr>
        <w:t>27 281.55 ± 1 275.74 USD</w:t>
      </w:r>
      <w:r>
        <w:t xml:space="preserve"> frente a </w:t>
      </w:r>
      <w:r>
        <w:rPr>
          <w:b/>
        </w:rPr>
        <w:t>33 308.46</w:t>
      </w:r>
      <w:r>
        <w:t xml:space="preserve"> del múltiple en nivel — </w:t>
      </w:r>
      <w:r>
        <w:rPr>
          <w:b/>
        </w:rPr>
        <w:t>6 026.91 USD menos de error por tasación (−18.09 %)</w:t>
      </w:r>
      <w:r>
        <w:t xml:space="preserve">. Usar </w:t>
      </w:r>
      <w:r>
        <w:rPr>
          <w:rFonts w:ascii="Consolas" w:hAnsi="Consolas"/>
          <w:color w:val="9B1B30"/>
          <w:sz w:val="19"/>
        </w:rPr>
        <w:t>exp</w:t>
      </w:r>
      <w:r>
        <w:t xml:space="preserve"> sin smearing habría dado 27 345.22 (</w:t>
      </w:r>
      <w:r>
        <w:rPr>
          <w:b/>
        </w:rPr>
        <w:t>63.67 USD</w:t>
      </w:r>
      <w:r>
        <w:t xml:space="preserve"> peor y ≈ 1.2 % de sesgo a la baja). Conclusión: el aporte del log no se mide en R² —se mide en </w:t>
      </w:r>
      <w:r>
        <w:rPr>
          <w:b/>
        </w:rPr>
        <w:t>dólares</w:t>
      </w:r>
      <w:r>
        <w:t xml:space="preserve">, y solo tras retransformar—; además da un modelo mejor comportado (ataca el embudo, aproxima la simetría) y coeficientes legibles en porcentaje. Fuente: </w:t>
      </w:r>
      <w:r>
        <w:rPr>
          <w:b/>
        </w:rPr>
        <w:t>Duan, N. (1983)</w:t>
      </w:r>
      <w:r>
        <w:t xml:space="preserve">, </w:t>
      </w:r>
      <w:r>
        <w:rPr>
          <w:i/>
        </w:rPr>
        <w:t>Smearing Estimate: A Nonparametric Retransformation Method</w:t>
      </w:r>
      <w:r>
        <w:t xml:space="preserve">, JASA 78(383), 605–610. Cifras en </w:t>
      </w:r>
      <w:r>
        <w:rPr>
          <w:rFonts w:ascii="Consolas" w:hAnsi="Consolas"/>
          <w:color w:val="9B1B30"/>
          <w:sz w:val="19"/>
        </w:rPr>
        <w:t>resultados/S04_resultados.xlsx</w:t>
      </w:r>
      <w:r>
        <w:t xml:space="preserve">, hoja </w:t>
      </w:r>
      <w:r>
        <w:rPr>
          <w:rFonts w:ascii="Consolas" w:hAnsi="Consolas"/>
          <w:color w:val="9B1B30"/>
          <w:sz w:val="19"/>
        </w:rPr>
        <w:t>retransformacion_duan</w:t>
      </w:r>
      <w:r>
        <w:t>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Supuestos y diagnósticos (verificar antes de comparar y decidir)</w:t>
      </w:r>
    </w:p>
    <w:p>
      <w:pPr>
        <w:jc w:val="both"/>
      </w:pPr>
      <w:r>
        <w:t xml:space="preserve">Comparar RMSE solo es honesto si el modelo que se elige </w:t>
      </w:r>
      <w:r>
        <w:rPr>
          <w:b/>
        </w:rPr>
        <w:t>cumple los supuestos del OLS</w:t>
      </w:r>
      <w:r>
        <w:t xml:space="preserve">: un RMSE de CV bajo no vale si detrás hay heterocedasticidad no corregida, multicolinealidad que hace ilegibles los coeficientes o unas pocas observaciones influyentes que distorsionan el ajuste. El diagnóstico operativo (los siete bloques marcables) está en </w:t>
      </w:r>
      <w:r>
        <w:rPr>
          <w:rFonts w:ascii="Consolas" w:hAnsi="Consolas"/>
          <w:color w:val="9B1B30"/>
          <w:sz w:val="19"/>
        </w:rPr>
        <w:t>plantillas/checklist_diagnostico_regresion.docx</w:t>
      </w:r>
      <w:r>
        <w:t>; el desarrollo completo —qué es cada supuesto, su umbral y su corrección por método— es la guía de supuestos de la sesión.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Supuesto / requisito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identificar (umbral)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corregir (con qué método)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Misma escala de `Y`</w:t>
            </w:r>
            <w:r>
              <w:rPr>
                <w:sz w:val="19"/>
              </w:rPr>
              <w:t xml:space="preserve"> (comparabilidad del RMSE </w:t>
            </w:r>
            <w:r>
              <w:rPr>
                <w:b/>
                <w:sz w:val="19"/>
              </w:rPr>
              <w:t>y del R²</w:t>
            </w:r>
            <w:r>
              <w:rPr>
                <w:sz w:val="19"/>
              </w:rPr>
              <w:t>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Ni el RMSE ni el R² de un modelo en nivel se comparan con los de uno en log (distinta respuesta ⇒ distinto denominador): 0.820 (nivel) frente a 0.847 (log) no miden lo mismo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Retransformar a USD</w:t>
            </w:r>
            <w:r>
              <w:rPr>
                <w:sz w:val="19"/>
              </w:rPr>
              <w:t xml:space="preserve"> con el </w:t>
            </w:r>
            <w:r>
              <w:rPr>
                <w:b/>
                <w:sz w:val="19"/>
              </w:rPr>
              <w:t>smearing de Duan</w:t>
            </w:r>
            <w:r>
              <w:rPr>
                <w:sz w:val="19"/>
              </w:rPr>
              <w:t xml:space="preserve"> (</w:t>
            </w:r>
            <w:r>
              <w:rPr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80536" cy="20669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2a98d740ad4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536" cy="206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1B30"/>
                <w:sz w:val="19"/>
              </w:rPr>
              <w:t>S</w:t>
            </w:r>
            <w:r>
              <w:rPr>
                <w:sz w:val="19"/>
              </w:rPr>
              <w:t xml:space="preserve"> estimado en el fold de entrenamiento) y recalcular ahí (2); nunca </w:t>
            </w:r>
            <w:r>
              <w:rPr>
                <w:rFonts w:ascii="Consolas" w:hAnsi="Consolas"/>
                <w:color w:val="9B1B30"/>
                <w:sz w:val="19"/>
              </w:rPr>
              <w:t>exp</w:t>
            </w:r>
            <w:r>
              <w:rPr>
                <w:sz w:val="19"/>
              </w:rPr>
              <w:t xml:space="preserve"> sin corrección (subestima ≈ 1.2 %)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Multicolinealidad / VIF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VIF (</w:t>
            </w:r>
            <w:r>
              <w:rPr>
                <w:rFonts w:ascii="Consolas" w:hAnsi="Consolas"/>
                <w:color w:val="9B1B30"/>
                <w:sz w:val="19"/>
              </w:rPr>
              <w:t>&gt;5</w:t>
            </w:r>
            <w:r>
              <w:rPr>
                <w:sz w:val="19"/>
              </w:rPr>
              <w:t xml:space="preserve"> preocupa, </w:t>
            </w:r>
            <w:r>
              <w:rPr>
                <w:rFonts w:ascii="Consolas" w:hAnsi="Consolas"/>
                <w:color w:val="9B1B30"/>
                <w:sz w:val="19"/>
              </w:rPr>
              <w:t>&gt;10</w:t>
            </w:r>
            <w:r>
              <w:rPr>
                <w:sz w:val="19"/>
              </w:rPr>
              <w:t xml:space="preserve"> severa); coeficientes con signo inestable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Quitar o combinar</w:t>
            </w:r>
            <w:r>
              <w:rPr>
                <w:sz w:val="19"/>
              </w:rPr>
              <w:t xml:space="preserve"> predictores; no penalizar (Ridge/Lasso es S05)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Homocedasticidad / Breusch-Pagan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Abanico en residuales; Breusch-Pagan </w:t>
            </w:r>
            <w:r>
              <w:rPr>
                <w:rFonts w:ascii="Consolas" w:hAnsi="Consolas"/>
                <w:color w:val="9B1B30"/>
                <w:sz w:val="19"/>
              </w:rPr>
              <w:t>p&lt;0,05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Errores robustos HC3</w:t>
            </w:r>
            <w:r>
              <w:rPr>
                <w:sz w:val="19"/>
              </w:rPr>
              <w:t xml:space="preserve"> y/o transformar </w:t>
            </w:r>
            <w:r>
              <w:rPr>
                <w:rFonts w:ascii="Consolas" w:hAnsi="Consolas"/>
                <w:color w:val="9B1B30"/>
                <w:sz w:val="19"/>
              </w:rPr>
              <w:t>Y</w:t>
            </w:r>
            <w:r>
              <w:rPr>
                <w:sz w:val="19"/>
              </w:rPr>
              <w:t xml:space="preserve"> a log (ver checklist, bloque 4)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Influyentes / Cook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Distancia de Cook (</w:t>
            </w:r>
            <w:r>
              <w:rPr>
                <w:rFonts w:ascii="Consolas" w:hAnsi="Consolas"/>
                <w:color w:val="9B1B30"/>
                <w:sz w:val="19"/>
              </w:rPr>
              <w:t>&gt;4/n</w:t>
            </w:r>
            <w:r>
              <w:rPr>
                <w:sz w:val="19"/>
              </w:rPr>
              <w:t xml:space="preserve"> candidatos, </w:t>
            </w:r>
            <w:r>
              <w:rPr>
                <w:rFonts w:ascii="Consolas" w:hAnsi="Consolas"/>
                <w:color w:val="9B1B30"/>
                <w:sz w:val="19"/>
              </w:rPr>
              <w:t>&gt;1</w:t>
            </w:r>
            <w:r>
              <w:rPr>
                <w:sz w:val="19"/>
              </w:rPr>
              <w:t xml:space="preserve"> claros)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Investigar y análisis de sensibilidad; remoción solo justificada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Sobreajuste (sesgo-varianza)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R² in-sample alto y RMSE de CV alto ⇒ el R² crudo induce a error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Decidir por (2) (CV), no por el R² crudo; preferir el más simple ante empates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Fuente única de supuestos.</w:t>
      </w:r>
      <w:r>
        <w:rPr>
          <w:color w:val="2D2D2D"/>
        </w:rPr>
        <w:t xml:space="preserve"> El tratamiento completo está en la guía de supuestos de la sesión (Parte 1 supuestos BLUE, Parte 2 inferencia y datos influyentes, Parte 3 decisiones de modelado). El diagnóstico se marca en </w:t>
      </w:r>
      <w:r>
        <w:rPr>
          <w:rFonts w:ascii="Consolas" w:hAnsi="Consolas"/>
          <w:color w:val="2D2D2D"/>
          <w:sz w:val="19"/>
        </w:rPr>
        <w:t>plantillas/checklist_diagnostico_regresion.docx</w:t>
      </w:r>
      <w:r>
        <w:rPr>
          <w:color w:val="2D2D2D"/>
        </w:rPr>
        <w:t xml:space="preserve"> </w:t>
      </w:r>
      <w:r>
        <w:rPr>
          <w:b/>
          <w:color w:val="2D2D2D"/>
        </w:rPr>
        <w:t>antes</w:t>
      </w:r>
      <w:r>
        <w:rPr>
          <w:color w:val="2D2D2D"/>
        </w:rPr>
        <w:t xml:space="preserve"> de aplicar el criterio de elección de abajo.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Criterio de elección</w:t>
      </w:r>
    </w:p>
    <w:p>
      <w:pPr>
        <w:jc w:val="both"/>
      </w:pPr>
      <w:r>
        <w:t>Aplicar en este orden: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1.  </w:t>
      </w:r>
      <w:r>
        <w:rPr>
          <w:b/>
        </w:rPr>
        <w:t>Menor RMSE medio en CV</w:t>
      </w:r>
      <w:r>
        <w:t xml:space="preserve"> ⇒ menor error esperado en datos nuevos.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2.  </w:t>
      </w:r>
      <w:r>
        <w:t xml:space="preserve">Ante RMSE medios similares, </w:t>
      </w:r>
      <w:r>
        <w:rPr>
          <w:b/>
        </w:rPr>
        <w:t>menor sd entre folds</w:t>
      </w:r>
      <w:r>
        <w:t xml:space="preserve"> ⇒ modelo más estable.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3.  </w:t>
      </w:r>
      <w:r>
        <w:t xml:space="preserve">Ante desempeño equivalente, </w:t>
      </w:r>
      <w:r>
        <w:rPr>
          <w:b/>
        </w:rPr>
        <w:t>menos parámetros</w:t>
      </w:r>
      <w:r>
        <w:t xml:space="preserve"> ⇒ parsimonia (modelo más simple y explicable).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4.  </w:t>
      </w:r>
      <w:r>
        <w:t xml:space="preserve">El </w:t>
      </w:r>
      <w:r>
        <w:rPr>
          <w:b/>
        </w:rPr>
        <w:t>R² ajustado</w:t>
      </w:r>
      <w:r>
        <w:t xml:space="preserve"> (1) se usa como cribado in-sample; la </w:t>
      </w:r>
      <w:r>
        <w:rPr>
          <w:b/>
        </w:rPr>
        <w:t>CV es el árbitro final</w:t>
      </w:r>
      <w:r>
        <w:t xml:space="preserve"> de generalización.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Advertencias frecuentes (control)</w:t>
      </w:r>
    </w:p>
    <w:p>
      <w:pPr>
        <w:pStyle w:val="ListBullet"/>
        <w:spacing w:after="40"/>
      </w:pPr>
      <w:r>
        <w:t xml:space="preserve">[ ] No se compararon </w:t>
      </w:r>
      <w:r>
        <w:rPr>
          <w:b/>
        </w:rPr>
        <w:t>RMSE ni R²</w:t>
      </w:r>
      <w:r>
        <w:t xml:space="preserve"> de modelos con Y en </w:t>
      </w:r>
      <w:r>
        <w:rPr>
          <w:b/>
        </w:rPr>
        <w:t>escalas distintas</w:t>
      </w:r>
      <w:r>
        <w:t xml:space="preserve"> (nivel vs. log); si hubo que comparar, se </w:t>
      </w:r>
      <w:r>
        <w:rPr>
          <w:b/>
        </w:rPr>
        <w:t>retransformaron a USD</w:t>
      </w:r>
      <w:r>
        <w:t xml:space="preserve"> las predicciones del modelo en log </w:t>
      </w:r>
      <w:r>
        <w:rPr>
          <w:b/>
        </w:rPr>
        <w:t>con el factor de smearing de Duan</w:t>
      </w:r>
      <w:r>
        <w:t xml:space="preserve"> (no con </w:t>
      </w:r>
      <w:r>
        <w:rPr>
          <w:rFonts w:ascii="Consolas" w:hAnsi="Consolas"/>
          <w:color w:val="9B1B30"/>
          <w:sz w:val="19"/>
        </w:rPr>
        <w:t>exp</w:t>
      </w:r>
      <w:r>
        <w:t xml:space="preserve"> sin corrección) y el factor se estimó </w:t>
      </w:r>
      <w:r>
        <w:rPr>
          <w:b/>
        </w:rPr>
        <w:t>solo en el fold de entrenamiento</w:t>
      </w:r>
      <w:r>
        <w:t>.</w:t>
      </w:r>
    </w:p>
    <w:p>
      <w:pPr>
        <w:pStyle w:val="ListBullet"/>
        <w:spacing w:after="40"/>
      </w:pPr>
      <w:r>
        <w:t xml:space="preserve">[ ] Se reportó la </w:t>
      </w:r>
      <w:r>
        <w:rPr>
          <w:b/>
        </w:rPr>
        <w:t>media y la desviación estándar</w:t>
      </w:r>
      <w:r>
        <w:t xml:space="preserve"> del RMSE, nunca solo la media.</w:t>
      </w:r>
    </w:p>
    <w:p>
      <w:pPr>
        <w:pStyle w:val="ListBullet"/>
        <w:spacing w:after="40"/>
      </w:pPr>
      <w:r>
        <w:t xml:space="preserve">[ ] No se eligió el modelo por el </w:t>
      </w:r>
      <w:r>
        <w:rPr>
          <w:b/>
        </w:rPr>
        <w:t>R² crudo</w:t>
      </w:r>
      <w:r>
        <w:t xml:space="preserve"> in-sample.</w:t>
      </w:r>
    </w:p>
    <w:p>
      <w:pPr>
        <w:pStyle w:val="ListBullet"/>
        <w:spacing w:after="40"/>
      </w:pPr>
      <w:r>
        <w:t xml:space="preserve">[ ] Se fijó la </w:t>
      </w:r>
      <w:r>
        <w:rPr>
          <w:b/>
        </w:rPr>
        <w:t>semilla</w:t>
      </w:r>
      <w:r>
        <w:t xml:space="preserve"> (</w:t>
      </w:r>
      <w:r>
        <w:rPr>
          <w:rFonts w:ascii="Consolas" w:hAnsi="Consolas"/>
          <w:color w:val="9B1B30"/>
          <w:sz w:val="19"/>
        </w:rPr>
        <w:t>random_state=42</w:t>
      </w:r>
      <w:r>
        <w:t>) para que la partición en folds sea reproducible.</w:t>
      </w:r>
    </w:p>
    <w:p>
      <w:pPr>
        <w:pStyle w:val="ListBullet"/>
        <w:spacing w:after="40"/>
      </w:pPr>
      <w:r>
        <w:t xml:space="preserve">[ ] La selección de variables se hizo por </w:t>
      </w:r>
      <w:r>
        <w:rPr>
          <w:b/>
        </w:rPr>
        <w:t>diagnóstico y CV clásica</w:t>
      </w:r>
      <w:r>
        <w:t>, no por LASSO ni penalización (eso es S05).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Decisión</w:t>
      </w:r>
    </w:p>
    <w:p>
      <w:pPr>
        <w:pStyle w:val="ListBullet"/>
        <w:spacing w:after="40"/>
      </w:pPr>
      <w:r>
        <w:rPr>
          <w:b/>
        </w:rPr>
        <w:t>Modelo elegido:</w:t>
      </w:r>
      <w:r>
        <w:t xml:space="preserve"> ________________________________________________</w:t>
      </w:r>
    </w:p>
    <w:p>
      <w:pPr>
        <w:pStyle w:val="ListBullet"/>
        <w:spacing w:after="40"/>
      </w:pPr>
      <w:r>
        <w:rPr>
          <w:b/>
        </w:rPr>
        <w:t>Justificación (RMSE medio, sd, parsimonia frente a los otros candidatos):</w:t>
      </w:r>
      <w:r>
        <w:t xml:space="preserve"> ________________________________________________</w:t>
      </w:r>
    </w:p>
    <w:p>
      <w:pPr>
        <w:pStyle w:val="ListBullet"/>
        <w:spacing w:after="40"/>
      </w:pPr>
      <w:r>
        <w:rPr>
          <w:b/>
        </w:rPr>
        <w:t>Coeficientes clave en unidades de negocio (USD, % si Y está en log):</w:t>
      </w:r>
      <w:r>
        <w:t xml:space="preserve"> ________________________________________________</w:t>
      </w:r>
    </w:p>
    <w:p>
      <w:pPr>
        <w:pStyle w:val="ListBullet"/>
        <w:spacing w:after="40"/>
      </w:pPr>
      <w:r>
        <w:rPr>
          <w:b/>
        </w:rPr>
        <w:t>Valor de la decisión (dinero / riesgo):</w:t>
      </w:r>
      <w:r>
        <w:t xml:space="preserve"> la mejora de RMSE como </w:t>
      </w:r>
      <w:r>
        <w:rPr>
          <w:b/>
        </w:rPr>
        <w:t>estrechamiento de la banda de error por tasación</w:t>
      </w:r>
      <w:r>
        <w:t xml:space="preserve"> (menos riesgo de mispricing, distinto del </w:t>
      </w:r>
      <w:r>
        <w:rPr>
          <w:b/>
        </w:rPr>
        <w:t>costo esperado</w:t>
      </w:r>
      <w:r>
        <w:t xml:space="preserve"> de una decisión, que depende de la exposición y del costo del error) y la regla que habilita —p. ej. priorizar viviendas subvaloradas cuando la brecha predicho − pedido </w:t>
      </w:r>
      <w:r>
        <w:rPr>
          <w:b/>
        </w:rPr>
        <w:t>supera el RMSE</w:t>
      </w:r>
      <w:r>
        <w:t>—: ________________________________________________</w:t>
      </w:r>
    </w:p>
    <w:p>
      <w:pPr>
        <w:pStyle w:val="ListBullet"/>
        <w:spacing w:after="40"/>
      </w:pPr>
      <w:r>
        <w:rPr>
          <w:b/>
        </w:rPr>
        <w:t>Límite del modelo (efecto &lt; error, agregado vs. por-casa):</w:t>
      </w:r>
      <w:r>
        <w:t xml:space="preserve"> el error por vivienda (RMSE) suele superar el efecto en dinero de un solo factor, por lo que el valor se realiza en el </w:t>
      </w:r>
      <w:r>
        <w:rPr>
          <w:b/>
        </w:rPr>
        <w:t>agregado</w:t>
      </w:r>
      <w:r>
        <w:t xml:space="preserve"> (cartera), no casa por casa; nombrar además parcial ≠ causa y el marco AVM: ________________________________________________</w:t>
      </w:r>
    </w:p>
    <w:p>
      <w:pPr>
        <w:pStyle w:val="ListBullet"/>
        <w:spacing w:after="40"/>
      </w:pPr>
      <w:r>
        <w:rPr>
          <w:b/>
        </w:rPr>
        <w:t>Supuestos verificados antes de decidir (ver `plantillas/checklist_diagnostico_regresion.docx`):</w:t>
      </w:r>
      <w:r>
        <w:t xml:space="preserve"> ________________________________________________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Uso en la sesión.</w:t>
      </w:r>
      <w:r>
        <w:rPr>
          <w:color w:val="2D2D2D"/>
        </w:rPr>
        <w:t xml:space="preserve"> Esta plantilla se completa con los resultados de CV del cuaderno </w:t>
      </w:r>
      <w:r>
        <w:rPr>
          <w:rFonts w:ascii="Consolas" w:hAnsi="Consolas"/>
          <w:color w:val="2D2D2D"/>
          <w:sz w:val="19"/>
        </w:rPr>
        <w:t>notebook/S04_regresion_multiple.ipynb</w:t>
      </w:r>
      <w:r>
        <w:rPr>
          <w:color w:val="2D2D2D"/>
        </w:rPr>
        <w:t xml:space="preserve"> (paso de comparación </w:t>
      </w:r>
      <w:r>
        <w:rPr>
          <w:rFonts w:ascii="Consolas" w:hAnsi="Consolas"/>
          <w:color w:val="2D2D2D"/>
          <w:sz w:val="19"/>
        </w:rPr>
        <w:t>KFold</w:t>
      </w:r>
      <w:r>
        <w:rPr>
          <w:color w:val="2D2D2D"/>
        </w:rPr>
        <w:t xml:space="preserve"> + </w:t>
      </w:r>
      <w:r>
        <w:rPr>
          <w:rFonts w:ascii="Consolas" w:hAnsi="Consolas"/>
          <w:color w:val="2D2D2D"/>
          <w:sz w:val="19"/>
        </w:rPr>
        <w:t>cross_val_score</w:t>
      </w:r>
      <w:r>
        <w:rPr>
          <w:color w:val="2D2D2D"/>
        </w:rPr>
        <w:t xml:space="preserve">) y materializa el drill de "comparar dos modelos por R² ajustado vs. RMSE en CV de 5-fold" del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. Se usa junto con </w:t>
      </w:r>
      <w:r>
        <w:rPr>
          <w:rFonts w:ascii="Consolas" w:hAnsi="Consolas"/>
          <w:color w:val="2D2D2D"/>
          <w:sz w:val="19"/>
        </w:rPr>
        <w:t>plantillas/checklist_diagnostico_regresion.docx</w:t>
      </w:r>
      <w:r>
        <w:rPr>
          <w:color w:val="2D2D2D"/>
        </w:rPr>
        <w:t xml:space="preserve"> (los supuestos se verifican antes de elegir) y </w:t>
      </w:r>
      <w:r>
        <w:rPr>
          <w:rFonts w:ascii="Consolas" w:hAnsi="Consolas"/>
          <w:color w:val="2D2D2D"/>
          <w:sz w:val="19"/>
        </w:rPr>
        <w:t>plantillas/diccionario_ames.docx</w:t>
      </w:r>
      <w:r>
        <w:rPr>
          <w:color w:val="2D2D2D"/>
        </w:rPr>
        <w:t xml:space="preserve"> (significado de los predictores). Las cifras del modelo elegido deben existir en </w:t>
      </w:r>
      <w:r>
        <w:rPr>
          <w:rFonts w:ascii="Consolas" w:hAnsi="Consolas"/>
          <w:color w:val="2D2D2D"/>
          <w:sz w:val="19"/>
        </w:rPr>
        <w:t>resultados/S04_resultados.xlsx</w:t>
      </w:r>
      <w:r>
        <w:rPr>
          <w:color w:val="2D2D2D"/>
        </w:rPr>
        <w:t xml:space="preserve"> (convención del curso).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>Derivado de la guía de interpretación de resultados (Sección 3 R² y R² ajustado, Sección 8 comparación por CV vs. R² in-sample), el glosario de la sesión (Sección 3 R²/R² ajustado, Sección 14 validación cruzada k-fold) e la guía de supuestos de la sesión (fuente única de supuestos: comparabilidad de escala, multicolinealidad, homocedasticidad, sesgo-varianza). Fuentes: ISLR Secciones 3.2.2 y 5.1 (statlearning.com); documentación de scikit-learn (</w:t>
      </w:r>
      <w:r>
        <w:rPr>
          <w:rFonts w:ascii="Consolas" w:hAnsi="Consolas"/>
          <w:color w:val="2D2D2D"/>
          <w:sz w:val="19"/>
        </w:rPr>
        <w:t>KFold</w:t>
      </w:r>
      <w:r>
        <w:rPr>
          <w:color w:val="2D2D2D"/>
        </w:rPr>
        <w:t xml:space="preserve">, </w:t>
      </w:r>
      <w:r>
        <w:rPr>
          <w:rFonts w:ascii="Consolas" w:hAnsi="Consolas"/>
          <w:color w:val="2D2D2D"/>
          <w:sz w:val="19"/>
        </w:rPr>
        <w:t>cross_val_score</w:t>
      </w:r>
      <w:r>
        <w:rPr>
          <w:color w:val="2D2D2D"/>
        </w:rPr>
        <w:t>).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Comparación de modelos por validación cruzada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