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7A1526"/>
          <w:spacing w:val="40"/>
          <w:sz w:val="15"/>
          <w:szCs w:val="15"/>
        </w:rPr>
        <w:t xml:space="preserve">UPC · FACULTAD DE NEGOCIOS · PROGRAMA ADMINISTRACIÓN Y CIENCIA DE DATOS PARA NEGOCIOS</w:t>
      </w:r>
    </w:p>
    <w:p>
      <w:pPr>
        <w:spacing w:after="40"/>
      </w:pPr>
      <w:r>
        <w:rPr>
          <w:rFonts w:ascii="Cambria" w:cs="Cambria" w:eastAsia="Cambria" w:hAnsi="Cambria"/>
          <w:b/>
          <w:bCs/>
          <w:color w:val="2D2D2D"/>
          <w:sz w:val="36"/>
          <w:szCs w:val="36"/>
        </w:rPr>
        <w:t xml:space="preserve">Entregable evaluable — Sesión S05</w:t>
      </w:r>
    </w:p>
    <w:p>
      <w:pPr>
        <w:pBdr>
          <w:bottom w:val="single" w:color="E4002B" w:sz="18" w:space="10"/>
        </w:pBdr>
        <w:spacing w:after="160"/>
      </w:pPr>
      <w:r>
        <w:rPr>
          <w:rFonts w:ascii="Cambria" w:cs="Cambria" w:eastAsia="Cambria" w:hAnsi="Cambria"/>
          <w:color w:val="7A1526"/>
          <w:sz w:val="28"/>
          <w:szCs w:val="28"/>
        </w:rPr>
        <w:t xml:space="preserve">OLS vs. RIDGE vs. LASSO vs. Elastic Net en alta dimensión (Communities and Crime)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880"/>
      </w:tblGrid>
      <w:tr>
        <w:tc>
          <w:tcPr>
            <w:tcW w:type="dxa" w:w="22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CURSO</w:t>
            </w:r>
          </w:p>
        </w:tc>
        <w:tc>
          <w:tcPr>
            <w:tcW w:type="dxa" w:w="78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Herramientas para la Ciencia de Datos · Sesión 05 · Regularización: Ridge, LASSO y Elastic Net · Entregable evaluable · Material del estudiante</w:t>
            </w:r>
          </w:p>
        </w:tc>
      </w:tr>
      <w:tr>
        <w:tc>
          <w:tcPr>
            <w:tcW w:type="dxa" w:w="22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MODALIDAD</w:t>
            </w:r>
          </w:p>
        </w:tc>
        <w:tc>
          <w:tcPr>
            <w:tcW w:type="dxa" w:w="78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Trabajo en parejas durante el laboratorio · entrega individual</w:t>
            </w:r>
          </w:p>
        </w:tc>
      </w:tr>
      <w:tr>
        <w:tc>
          <w:tcPr>
            <w:tcW w:type="dxa" w:w="22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CALIFICACIÓN</w:t>
            </w:r>
          </w:p>
        </w:tc>
        <w:tc>
          <w:tcPr>
            <w:tcW w:type="dxa" w:w="78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Escala vigesimal 0–20, según la rúbrica de la sección 4 de este documento</w:t>
            </w:r>
          </w:p>
        </w:tc>
      </w:tr>
      <w:tr>
        <w:tc>
          <w:tcPr>
            <w:tcW w:type="dxa" w:w="22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CUADERNO</w:t>
            </w:r>
          </w:p>
        </w:tc>
        <w:tc>
          <w:tcPr>
            <w:tcW w:type="dxa" w:w="78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notebook/S05_regularizacion.ipynb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 (todo el análisis se desarrolla y reproduce aquí)</w:t>
            </w:r>
          </w:p>
        </w:tc>
      </w:tr>
    </w:tbl>
    <w:p>
      <w:pPr>
        <w:spacing w:after="150"/>
      </w:pPr>
    </w:p>
    <w:p>
      <w:pPr>
        <w:spacing w:after="180" w:line="265"/>
      </w:pPr>
      <w:r>
        <w:rPr>
          <w:rFonts w:ascii="Cambria" w:cs="Cambria" w:eastAsia="Cambria" w:hAnsi="Cambria"/>
          <w:color w:val="3A3A3A"/>
          <w:sz w:val="18"/>
          <w:szCs w:val="18"/>
        </w:rPr>
        <w:t xml:space="preserve">Material del estudiante. Trabajo evaluable de la Sesión 5. Español impersonal. </w:t>
      </w:r>
      <w:r>
        <w:rPr>
          <w:rFonts w:ascii="Cambria" w:cs="Cambria" w:eastAsia="Cambria" w:hAnsi="Cambria"/>
          <w:b/>
          <w:bCs/>
          <w:color w:val="3A3A3A"/>
          <w:sz w:val="18"/>
          <w:szCs w:val="18"/>
        </w:rPr>
        <w:t xml:space="preserve">El entregable se completa con: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 la plantilla </w:t>
      </w:r>
      <w:r>
        <w:rPr>
          <w:rFonts w:ascii="Consolas" w:cs="Consolas" w:eastAsia="Consolas" w:hAnsi="Consolas"/>
          <w:color w:val="7A1526"/>
          <w:sz w:val="16"/>
          <w:szCs w:val="16"/>
        </w:rPr>
        <w:t xml:space="preserve">plantillas/comparacion_modelos_regularizacion.docx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 (tabla de métricas + paths de regularización) y la guía visual </w:t>
      </w:r>
      <w:r>
        <w:rPr>
          <w:rFonts w:ascii="Consolas" w:cs="Consolas" w:eastAsia="Consolas" w:hAnsi="Consolas"/>
          <w:color w:val="7A1526"/>
          <w:sz w:val="16"/>
          <w:szCs w:val="16"/>
        </w:rPr>
        <w:t xml:space="preserve">plantillas/guia_L1_vs_L2.docx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. Todo el análisis se desarrolla en el cuaderno </w:t>
      </w:r>
      <w:r>
        <w:rPr>
          <w:rFonts w:ascii="Consolas" w:cs="Consolas" w:eastAsia="Consolas" w:hAnsi="Consolas"/>
          <w:color w:val="7A1526"/>
          <w:sz w:val="16"/>
          <w:szCs w:val="16"/>
        </w:rPr>
        <w:t xml:space="preserve">notebook/S05_regularizacion.ipynb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. Los ejercicios previos están en </w:t>
      </w:r>
      <w:r>
        <w:rPr>
          <w:rFonts w:ascii="Consolas" w:cs="Consolas" w:eastAsia="Consolas" w:hAnsi="Consolas"/>
          <w:color w:val="7A1526"/>
          <w:sz w:val="16"/>
          <w:szCs w:val="16"/>
        </w:rPr>
        <w:t xml:space="preserve">evaluacion/drills.docx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, el diccionario de variables en </w:t>
      </w:r>
      <w:r>
        <w:rPr>
          <w:rFonts w:ascii="Consolas" w:cs="Consolas" w:eastAsia="Consolas" w:hAnsi="Consolas"/>
          <w:color w:val="7A1526"/>
          <w:sz w:val="16"/>
          <w:szCs w:val="16"/>
        </w:rPr>
        <w:t xml:space="preserve">data/diccionario_datos.md</w:t>
      </w:r>
      <w:r>
        <w:rPr>
          <w:rFonts w:ascii="Cambria" w:cs="Cambria" w:eastAsia="Cambria" w:hAnsi="Cambria"/>
          <w:color w:val="3A3A3A"/>
          <w:sz w:val="18"/>
          <w:szCs w:val="18"/>
        </w:rPr>
        <w:t xml:space="preserve"> y las lecturas en la bibliografía de la sesión.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A1526" w:color="auto" w:val="clear"/>
            <w:tcMar>
              <w:top w:type="dxa" w:w="180"/>
              <w:left w:type="dxa" w:w="150"/>
              <w:bottom w:type="dxa" w:w="180"/>
              <w:right w:type="dxa" w:w="15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5"/>
                <w:szCs w:val="15"/>
              </w:rPr>
              <w:t xml:space="preserve">OBJETIVO DEL ENTREGABLE</w:t>
            </w:r>
          </w:p>
          <w:p>
            <w:pPr>
              <w:spacing w:line="280"/>
            </w:pPr>
            <w:r>
              <w:rPr>
                <w:rFonts w:ascii="Cambria" w:cs="Cambria" w:eastAsia="Cambria" w:hAnsi="Cambria"/>
                <w:color w:val="FFFFFF"/>
                <w:sz w:val="21"/>
                <w:szCs w:val="21"/>
              </w:rPr>
              <w:t xml:space="preserve">Ajustar, elegir por validación cruzada y comparar cuatro modelos —OLS, RIDGE, LASSO y Elastic Net— sobre un dataset de alta dimensión (Communities and Crime), diagnosticar un supuesto pertinente de la regularización, medir la estabilidad de la selección de variables del LASSO y emitir una recomendación que equilibre interpretabilidad y desempeño, con su valor expresado en un rango monetario honesto.</w:t>
            </w:r>
          </w:p>
        </w:tc>
      </w:tr>
    </w:tbl>
    <w:p>
      <w:pPr>
        <w:spacing w:after="200"/>
      </w:pPr>
    </w:p>
    <w:p>
      <w:pPr>
        <w:keepNext/>
        <w:spacing w:after="110" w:before="240"/>
      </w:pPr>
      <w:r>
        <w:rPr>
          <w:rFonts w:ascii="Calibri" w:cs="Calibri" w:eastAsia="Calibri" w:hAnsi="Calibri"/>
          <w:b/>
          <w:bCs/>
          <w:color w:val="7A1526"/>
          <w:sz w:val="21"/>
          <w:szCs w:val="21"/>
        </w:rPr>
        <w:t xml:space="preserve">Contenido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180"/>
        <w:gridCol w:w="2400"/>
      </w:tblGrid>
      <w:tr>
        <w:tc>
          <w:tcPr>
            <w:tcW w:type="dxa" w:w="15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7"/>
                <w:szCs w:val="17"/>
              </w:rPr>
              <w:t xml:space="preserve">Sección 1</w:t>
            </w:r>
          </w:p>
        </w:tc>
        <w:tc>
          <w:tcPr>
            <w:tcW w:type="dxa" w:w="61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Contexto</w:t>
            </w:r>
          </w:p>
        </w:tc>
        <w:tc>
          <w:tcPr>
            <w:tcW w:type="dxa" w:w="24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6E6E6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7"/>
                <w:szCs w:val="17"/>
              </w:rPr>
              <w:t xml:space="preserve">Sección 2</w:t>
            </w:r>
          </w:p>
        </w:tc>
        <w:tc>
          <w:tcPr>
            <w:tcW w:type="dxa" w:w="61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La tarea (ocho puntos, en este orden)</w:t>
            </w:r>
          </w:p>
        </w:tc>
        <w:tc>
          <w:tcPr>
            <w:tcW w:type="dxa" w:w="24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6E6E6E"/>
                <w:sz w:val="17"/>
                <w:szCs w:val="17"/>
              </w:rPr>
              <w:t xml:space="preserve">máx. 4 páginas + anexos</w:t>
            </w:r>
          </w:p>
        </w:tc>
      </w:tr>
      <w:tr>
        <w:tc>
          <w:tcPr>
            <w:tcW w:type="dxa" w:w="15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7"/>
                <w:szCs w:val="17"/>
              </w:rPr>
              <w:t xml:space="preserve">Sección 3</w:t>
            </w:r>
          </w:p>
        </w:tc>
        <w:tc>
          <w:tcPr>
            <w:tcW w:type="dxa" w:w="61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Formato de entrega</w:t>
            </w:r>
          </w:p>
        </w:tc>
        <w:tc>
          <w:tcPr>
            <w:tcW w:type="dxa" w:w="24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6E6E6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17"/>
                <w:szCs w:val="17"/>
              </w:rPr>
              <w:t xml:space="preserve">Sección 4</w:t>
            </w:r>
          </w:p>
        </w:tc>
        <w:tc>
          <w:tcPr>
            <w:tcW w:type="dxa" w:w="61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Rúbrica de evaluación</w:t>
            </w:r>
          </w:p>
        </w:tc>
        <w:tc>
          <w:tcPr>
            <w:tcW w:type="dxa" w:w="24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6E6E6E"/>
                <w:sz w:val="17"/>
                <w:szCs w:val="17"/>
              </w:rPr>
              <w:t xml:space="preserve">vigesimal, total 20</w:t>
            </w:r>
          </w:p>
        </w:tc>
      </w:tr>
    </w:tbl>
    <w:p>
      <w:pPr>
        <w:spacing w:after="220"/>
      </w:pP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7A1526"/>
          <w:sz w:val="24"/>
          <w:szCs w:val="24"/>
        </w:rPr>
        <w:t xml:space="preserve">1.  </w:t>
      </w:r>
      <w:r>
        <w:rPr>
          <w:rFonts w:ascii="Calibri" w:cs="Calibri" w:eastAsia="Calibri" w:hAnsi="Calibri"/>
          <w:b/>
          <w:bCs/>
          <w:color w:val="7A1526"/>
          <w:spacing w:val="20"/>
          <w:sz w:val="24"/>
          <w:szCs w:val="24"/>
        </w:rPr>
        <w:t xml:space="preserve">CONTEXTO</w:t>
      </w:r>
    </w:p>
    <w:p>
      <w:pPr>
        <w:keepNext/>
        <w:pBdr>
          <w:bottom w:val="single" w:color="E4002B" w:sz="14" w:space="8"/>
        </w:pBdr>
        <w:spacing w:after="140"/>
      </w:pPr>
      <w:r>
        <w:rPr>
          <w:rFonts w:ascii="Cambria" w:cs="Cambria" w:eastAsia="Cambria" w:hAnsi="Cambria"/>
          <w:i/>
          <w:iCs/>
          <w:color w:val="6E6E6E"/>
          <w:sz w:val="19"/>
          <w:szCs w:val="19"/>
        </w:rPr>
        <w:t xml:space="preserve">Communities and Crime (Redmond, 2009) y el problema de alta dimensión</w:t>
      </w:r>
      <w:r>
        <w:rPr>
          <w:rFonts w:ascii="Cambria" w:cs="Cambria" w:eastAsia="Cambria" w:hAnsi="Cambria"/>
          <w:b/>
          <w:bCs/>
          <w:color w:val="7A1526"/>
          <w:sz w:val="19"/>
          <w:szCs w:val="19"/>
        </w:rPr>
        <w:t xml:space="preserve"/>
      </w:r>
    </w:p>
    <w:p>
      <w:pPr>
        <w:spacing w:line="270"/>
      </w:pPr>
      <w:r>
        <w:rPr>
          <w:rFonts w:ascii="Cambria" w:cs="Cambria" w:eastAsia="Cambria" w:hAnsi="Cambria"/>
          <w:color w:val="2D2D2D"/>
          <w:sz w:val="20"/>
          <w:szCs w:val="20"/>
        </w:rPr>
        <w:t xml:space="preserve">El dataset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Communities and Crime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(Redmond, 2009; UCI id 183) describe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1994 comunidades de EE. UU.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con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122 predictores en crudo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socioeconómicos (censo de 1990) y policiales (encuesta LEMAS de 1990), todos normalizados al rango [0, 1], y una variable objetivo: la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tasa de crímenes violentos por 100 000 habitantes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7A1526"/>
          <w:sz w:val="18"/>
          <w:szCs w:val="18"/>
        </w:rPr>
        <w:t xml:space="preserve">ViolentCrimesPerPop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, también en [0, 1]). Tras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descartar el bloque policial LEMAS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(~22 columnas con ~84 % faltante) quedan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100 predictores modelados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. Ver </w:t>
      </w:r>
      <w:r>
        <w:rPr>
          <w:rFonts w:ascii="Consolas" w:cs="Consolas" w:eastAsia="Consolas" w:hAnsi="Consolas"/>
          <w:color w:val="7A1526"/>
          <w:sz w:val="18"/>
          <w:szCs w:val="18"/>
        </w:rPr>
        <w:t xml:space="preserve">data/diccionario_datos.md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.</w:t>
      </w:r>
    </w:p>
    <w:p>
      <w:pPr>
        <w:spacing w:after="220"/>
      </w:pPr>
    </w:p>
    <w:p>
      <w:pPr>
        <w:spacing w:line="270"/>
      </w:pPr>
      <w:r>
        <w:rPr>
          <w:rFonts w:ascii="Cambria" w:cs="Cambria" w:eastAsia="Cambria" w:hAnsi="Cambria"/>
          <w:color w:val="2D2D2D"/>
          <w:sz w:val="20"/>
          <w:szCs w:val="20"/>
        </w:rPr>
        <w:t xml:space="preserve">Es un caso de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alta dimensión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: muchos predictores, buena parte de ellos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correlacionados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entre sí, y un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bloque policial (LEMAS)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con ~84 % de valores faltantes. Es exactamente el escenario donde el OLS pleno se vuelve inestable y donde la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regularización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(RIDGE, LASSO, Elastic Net) aporta control de varianza y selección automática de variables. Una unidad de análisis criminal necesita un modelo con capacidad predictiva adecuada sobre la tasa de crimen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y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que sea explicable: qué factores la mueven y con cuántas variables basta.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7A1526"/>
          <w:sz w:val="24"/>
          <w:szCs w:val="24"/>
        </w:rPr>
        <w:t xml:space="preserve">2.  </w:t>
      </w:r>
      <w:r>
        <w:rPr>
          <w:rFonts w:ascii="Calibri" w:cs="Calibri" w:eastAsia="Calibri" w:hAnsi="Calibri"/>
          <w:b/>
          <w:bCs/>
          <w:color w:val="7A1526"/>
          <w:spacing w:val="20"/>
          <w:sz w:val="24"/>
          <w:szCs w:val="24"/>
        </w:rPr>
        <w:t xml:space="preserve">TAREA</w:t>
      </w:r>
    </w:p>
    <w:p>
      <w:pPr>
        <w:keepNext/>
        <w:pBdr>
          <w:bottom w:val="single" w:color="E4002B" w:sz="14" w:space="8"/>
        </w:pBdr>
        <w:spacing w:after="140"/>
      </w:pPr>
      <w:r>
        <w:rPr>
          <w:rFonts w:ascii="Cambria" w:cs="Cambria" w:eastAsia="Cambria" w:hAnsi="Cambria"/>
          <w:i/>
          <w:iCs/>
          <w:color w:val="6E6E6E"/>
          <w:sz w:val="19"/>
          <w:szCs w:val="19"/>
        </w:rPr>
        <w:t xml:space="preserve">Ajustar, elegir por CV y comparar cuatro modelos — informe máx. 4 páginas + anexos</w:t>
      </w:r>
      <w:r>
        <w:rPr>
          <w:rFonts w:ascii="Cambria" w:cs="Cambria" w:eastAsia="Cambria" w:hAnsi="Cambria"/>
          <w:b/>
          <w:bCs/>
          <w:color w:val="7A1526"/>
          <w:sz w:val="19"/>
          <w:szCs w:val="19"/>
        </w:rPr>
        <w:t xml:space="preserve"/>
      </w:r>
    </w:p>
    <w:p>
      <w:pPr>
        <w:spacing w:line="270"/>
      </w:pPr>
      <w:r>
        <w:rPr>
          <w:rFonts w:ascii="Cambria" w:cs="Cambria" w:eastAsia="Cambria" w:hAnsi="Cambria"/>
          <w:color w:val="2D2D2D"/>
          <w:sz w:val="20"/>
          <w:szCs w:val="20"/>
        </w:rPr>
        <w:t xml:space="preserve">Ajustar, elegir por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validación cruzada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y comparar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cuatro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modelos —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OLS, RIDGE, LASSO y Elastic Net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— sobre </w:t>
      </w:r>
      <w:r>
        <w:rPr>
          <w:rFonts w:ascii="Cambria" w:cs="Cambria" w:eastAsia="Cambria" w:hAnsi="Cambria"/>
          <w:i/>
          <w:iCs/>
          <w:color w:val="2D2D2D"/>
          <w:sz w:val="20"/>
          <w:szCs w:val="20"/>
        </w:rPr>
        <w:t xml:space="preserve">Communities and Crime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, y emitir una recomendación que equilibre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interpretabilidad y desempeño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. El informe (máx. 4 páginas + anexos del cuaderno) debe contener, en este orden:</w:t>
      </w:r>
    </w:p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2.1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Preparación de datos de alta dimensión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Cargar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communities.csv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descartar las 5 columnas no predictivas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state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county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community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communityname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fold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). Tratar los faltantes con criterio: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descartar el bloque policial LEMAS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(~22 columnas con ~84 % de NaN; imputar el 84 % introduciría sesgo) e imputar los faltantes residuales (p. ej.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OtherPerCap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 por la media.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Estandarizar los predictores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(obligatorio antes de regularizar) con StandardScaler (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z_ij = (x_ij − x̄_j) / s_j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media 0, varianza 1): se ajusta el escalador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solo con el train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para no filtrar información. Partir en train/test (p. ej. 70/30) con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semilla fija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random_state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=42). Reportar el nº final de predictores y de observaciones.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2.2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Diagnóstico de un supuesto (obligatorio)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Identificar y reportar al menos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un supuesto pertinente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de la regularización —p. ej.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multicolinealidad severa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entre predictores o la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necesidad de estandarización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— y explicar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cómo se diagnostica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cómo se corrige y por qué método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(la multicolinealidad, con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RIDGE / Elastic Net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que al penalizar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Σβj²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reparten el peso entre predictores correlacionados y estabilizan los coeficientes; la escala, al estandarizar con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z_ij = (x_ij − x̄_j) / s_j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vía StandardScaler en Pipeline ajustado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solo en train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).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Con 100 predictores el diagnóstico no se hace igual que con 8: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en lugar de calcular 100 VIF, se usa la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matriz de correlaciones filtrada por pares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—X.corr, triángulo superior, listar solo los pares con |r| &gt; 0,8— y se reporta cuántos pares superan el umbral, los 5–10 más altos y las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familias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que forman; si se quiere una cifra de VIF, se calcula solo para los 10 predictores de mayor |coef|. El procedimiento paso a paso está en el recuadro «Cómo se hace esto con 100 columnas» del Paso 6.3 de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laboratorio/GUIA_LABORATORIO_S05.docx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. Remitir a la guía de supuestos de la sesión (Parte 1.2 «multicolinealidad» y Parte 2.1 «estandarización»).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2.3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OLS de referencia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Ajustar LinearRegression sobre los predictores estandarizados y reportar su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MSE = (1/n)·Σ(yi − ŷi)²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). Comentar por qué el OLS pleno, con tantos predictores correlacionados, es el candidato con mayor riesgo de varianza.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2.4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RIDGE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Ajustar RidgeCV (minimiza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RSS + λ·Σβj²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con λ por CV sobre una malla,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random_state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fijo donde aplique). Reportar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verificar que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ningún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coeficiente queda exactamente en cero (Ridge contrae hacia cero, no selecciona).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2.5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LASSO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Ajustar LassoCV (minimiza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RSS + λ·Σ|βj|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con λ por CV). Reportar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nº de variables con coeficiente </w:t>
            </w:r>
            <w:r>
              <w:rPr>
                <w:rFonts w:ascii="Calibri" w:cs="Calibri" w:eastAsia="Calibri" w:hAnsi="Calibri"/>
                <w:b/>
                <w:bCs/>
                <w:color w:val="3A3A3A"/>
                <w:sz w:val="18"/>
                <w:szCs w:val="18"/>
              </w:rPr>
              <w:t xml:space="preserve">≠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 0 —junto con la semilla usada—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cuáles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son (las de mayor |coef|). Trazar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path de regularización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lasso_path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 y señalar el orden en que las variables entran en cero: las que resisten hasta λ grande son las más importantes.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Con 100 predictores el path se grafica y destaca solo las 8–10 variables de mayor |coef| en color, con el resto en gris fino de fondo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(procedimiento en el recuadro del Paso 6.3 del laboratorio); un gráfico con 100 curvas superpuestas no es un diagnóstico.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2.6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Elastic Net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Ajustar ElasticNetCV (minimiza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RSS + λ·[α·Σ|βj| + (1−α)·Σβj²]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 con una malla de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l1_ratio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(α, la mezcla)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y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de alpha (λ, la fuerza) por CV. Reportar el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l1_ratio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λ elegidos,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comparar su selección de variables con la del LASSO puro (¿estabiliza grupos correlacionados?).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2.7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Comparación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Consolidar en una tabla los cuatro modelos: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nº de variables activas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λ/α elegidos. Interpretar con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honestidad estadística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¿la diferencia de MSE frente al OLS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supera ~1 Std Error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o cae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dentro del ruido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? (diferencias menores a ~1 SE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no son concluyentes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no se proclama ganador por decimales). ¿Cuál logra el mejor equilibrio entre error y parsimonia? Discutir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λ_min vs. λ_1se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(máximo desempeño vs. máxima simplicidad) y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reportar los dos modelos con su nº de variables y su MSE de test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. LassoCV no expone λ_1se: se calcula manualmente desde alphas_ y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mse_path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_ (media entre folds, </w:t>
            </w:r>
            <w:r>
              <w:rPr>
                <w:rFonts w:ascii="Consolas" w:cs="Consolas" w:eastAsia="Consolas" w:hAnsi="Consolas"/>
                <w:color w:val="7A1526"/>
                <w:sz w:val="16"/>
                <w:szCs w:val="16"/>
              </w:rPr>
              <w:t xml:space="preserve">se = sd/√k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techo = mínimo + se, y λ_1se = el mayor λ bajo ese techo); el procedimiento está en el recuadro del Paso 6.3 del laboratorio.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Además, medir la estabilidad de la selección (obligatorio).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Reejecutar el LASSO con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al menos otra semilla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de partición y reportar cómo cambia el nº de variables activas y cuántas se repiten entre ambas listas. Sirve para no confundir el resultado de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una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ejecución con una propiedad del problema.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2.8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Recomendación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Recomendación accionable para la unidad de análisis, que justifique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equilibrio interpretabilidad vs. desempeño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qué modelo se pondría en producción y por qué, qué variables concentran la señal, y qué advertencias comunicar (la selección del LASSO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no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es causal ni perfectamente estable; la lista de variables se contrasta con conocimiento de dominio).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Cerrar el valor en moneda: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fijar un costo de recolección y mantenimiento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por indicador/año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(ilustrativo, a sustituir por el costo real de la unidad; en este caso se usa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US$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por ser un dataset de EE. UU.) y estimar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ahorro anual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de descartar las variables que el LASSO deja fuera, al mismo error — </w:t>
            </w:r>
            <w:r>
              <w:rPr>
                <w:rFonts w:ascii="Cambria" w:cs="Cambria" w:eastAsia="Cambria" w:hAnsi="Cambria"/>
                <w:i/>
                <w:iCs/>
                <w:color w:val="3A3A3A"/>
                <w:sz w:val="18"/>
                <w:szCs w:val="18"/>
              </w:rPr>
              <w:t xml:space="preserve">costo por indicador × nº de variables descartadas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(con 62/100 se descartan 38, y a US$ 1 200 por indicador son ≈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US$ 45 600/año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).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Reportarlo como rango, no como cifra cerrada: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el conteo depende de la semilla, así que el ahorro también (con las semillas de referencia, entre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US$ 22 800 y US$ 67 200 al año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). Prometer una cifra exacta cuando el dato varía con la partición es el error de honestidad que este punto penaliza.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7A1526"/>
          <w:sz w:val="24"/>
          <w:szCs w:val="24"/>
        </w:rPr>
        <w:t xml:space="preserve">3.  </w:t>
      </w:r>
      <w:r>
        <w:rPr>
          <w:rFonts w:ascii="Calibri" w:cs="Calibri" w:eastAsia="Calibri" w:hAnsi="Calibri"/>
          <w:b/>
          <w:bCs/>
          <w:color w:val="7A1526"/>
          <w:spacing w:val="20"/>
          <w:sz w:val="24"/>
          <w:szCs w:val="24"/>
        </w:rPr>
        <w:t xml:space="preserve">FORMATO DE ENTREGA</w:t>
      </w:r>
    </w:p>
    <w:p>
      <w:pPr>
        <w:keepNext/>
        <w:pBdr>
          <w:bottom w:val="single" w:color="E4002B" w:sz="14" w:space="8"/>
        </w:pBdr>
        <w:spacing w:after="140"/>
      </w:pPr>
      <w:r>
        <w:rPr>
          <w:rFonts w:ascii="Cambria" w:cs="Cambria" w:eastAsia="Cambria" w:hAnsi="Cambria"/>
          <w:i/>
          <w:iCs/>
          <w:color w:val="6E6E6E"/>
          <w:sz w:val="19"/>
          <w:szCs w:val="19"/>
        </w:rPr>
        <w:t xml:space="preserve"/>
      </w:r>
      <w:r>
        <w:rPr>
          <w:rFonts w:ascii="Cambria" w:cs="Cambria" w:eastAsia="Cambria" w:hAnsi="Cambria"/>
          <w:b/>
          <w:bCs/>
          <w:color w:val="7A1526"/>
          <w:sz w:val="19"/>
          <w:szCs w:val="19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00"/>
        <w:gridCol w:w="9380"/>
      </w:tblGrid>
      <w:tr>
        <w:tc>
          <w:tcPr>
            <w:tcW w:type="dxa" w:w="7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20"/>
                <w:szCs w:val="20"/>
              </w:rPr>
              <w:t xml:space="preserve">1.</w:t>
            </w:r>
          </w:p>
        </w:tc>
        <w:tc>
          <w:tcPr>
            <w:tcW w:type="dxa" w:w="93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65"/>
            </w:pP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Informe en.md o.docx con las figuras y tablas exportadas desde el cuaderno.</w:t>
            </w:r>
          </w:p>
        </w:tc>
      </w:tr>
      <w:tr>
        <w:tc>
          <w:tcPr>
            <w:tcW w:type="dxa" w:w="7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20"/>
                <w:szCs w:val="20"/>
              </w:rPr>
              <w:t xml:space="preserve">2.</w:t>
            </w:r>
          </w:p>
        </w:tc>
        <w:tc>
          <w:tcPr>
            <w:tcW w:type="dxa" w:w="93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65"/>
            </w:pP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El análisis reproducible en 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notebook/S05_regularizacion.ipynb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; los resultados numéricos (coeficientes de los 4 modelos, λ/α elegidos, nº de variables activas, MSE de test y datos del path) volcados a 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resultados/S05_resultados.xlsx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 (hoja 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communities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) y las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9"/>
                <w:szCs w:val="19"/>
              </w:rPr>
              <w:t xml:space="preserve">figuras de resultados generadas al leer ese Excel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 (convención del curso).</w:t>
            </w:r>
          </w:p>
        </w:tc>
      </w:tr>
      <w:tr>
        <w:tc>
          <w:tcPr>
            <w:tcW w:type="dxa" w:w="7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20"/>
                <w:szCs w:val="20"/>
              </w:rPr>
              <w:t xml:space="preserve">3.</w:t>
            </w:r>
          </w:p>
        </w:tc>
        <w:tc>
          <w:tcPr>
            <w:tcW w:type="dxa" w:w="93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65"/>
            </w:pP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Toda cifra citada en el informe debe existir en el cuaderno o en el Excel de resultados. Semilla 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random_state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=42 en toda partición/CV,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9"/>
                <w:szCs w:val="19"/>
              </w:rPr>
              <w:t xml:space="preserve">declarada explícitamente junto a cada conteo de variables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. Los pliegues de la CV se construyen con KFold(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n_splits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=10, shuffle=True, </w:t>
            </w:r>
            <w:r>
              <w:rPr>
                <w:rFonts w:ascii="Consolas" w:cs="Consolas" w:eastAsia="Consolas" w:hAnsi="Consolas"/>
                <w:color w:val="7A1526"/>
                <w:sz w:val="17"/>
                <w:szCs w:val="17"/>
              </w:rPr>
              <w:t xml:space="preserve">random_state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=42), no con cv=10 entero: barajar es obligatorio salvo que el orden de las filas signifique algo (tiempo o grupos).</w:t>
            </w:r>
          </w:p>
        </w:tc>
      </w:tr>
      <w:tr>
        <w:tc>
          <w:tcPr>
            <w:tcW w:type="dxa" w:w="70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1526"/>
                <w:sz w:val="20"/>
                <w:szCs w:val="20"/>
              </w:rPr>
              <w:t xml:space="preserve">4.</w:t>
            </w:r>
          </w:p>
        </w:tc>
        <w:tc>
          <w:tcPr>
            <w:tcW w:type="dxa" w:w="938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line="265"/>
            </w:pPr>
            <w:r>
              <w:rPr>
                <w:rFonts w:ascii="Cambria" w:cs="Cambria" w:eastAsia="Cambria" w:hAnsi="Cambria"/>
                <w:b/>
                <w:bCs/>
                <w:color w:val="2D2D2D"/>
                <w:sz w:val="19"/>
                <w:szCs w:val="19"/>
              </w:rPr>
              <w:t xml:space="preserve">Prohibido: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 usar PCA/PCR/PLS u otra reducción de dimensiones para seleccionar variables (materia de S06); aquí la selección es por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9"/>
                <w:szCs w:val="19"/>
              </w:rPr>
              <w:t xml:space="preserve">LASSO</w:t>
            </w:r>
            <w:r>
              <w:rPr>
                <w:rFonts w:ascii="Cambria" w:cs="Cambria" w:eastAsia="Cambria" w:hAnsi="Cambria"/>
                <w:color w:val="2D2D2D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7A1526"/>
          <w:sz w:val="24"/>
          <w:szCs w:val="24"/>
        </w:rPr>
        <w:t xml:space="preserve">4.  </w:t>
      </w:r>
      <w:r>
        <w:rPr>
          <w:rFonts w:ascii="Calibri" w:cs="Calibri" w:eastAsia="Calibri" w:hAnsi="Calibri"/>
          <w:b/>
          <w:bCs/>
          <w:color w:val="7A1526"/>
          <w:spacing w:val="20"/>
          <w:sz w:val="24"/>
          <w:szCs w:val="24"/>
        </w:rPr>
        <w:t xml:space="preserve">RÚBRICA DE EVALUACIÓN</w:t>
      </w:r>
    </w:p>
    <w:p>
      <w:pPr>
        <w:keepNext/>
        <w:pBdr>
          <w:bottom w:val="single" w:color="E4002B" w:sz="14" w:space="8"/>
        </w:pBdr>
        <w:spacing w:after="140"/>
      </w:pPr>
      <w:r>
        <w:rPr>
          <w:rFonts w:ascii="Cambria" w:cs="Cambria" w:eastAsia="Cambria" w:hAnsi="Cambria"/>
          <w:i/>
          <w:iCs/>
          <w:color w:val="6E6E6E"/>
          <w:sz w:val="19"/>
          <w:szCs w:val="19"/>
        </w:rPr>
        <w:t xml:space="preserve">Escala vigesimal, 0–20 · seis criterios × cuatro niveles</w:t>
      </w:r>
      <w:r>
        <w:rPr>
          <w:rFonts w:ascii="Cambria" w:cs="Cambria" w:eastAsia="Cambria" w:hAnsi="Cambria"/>
          <w:b/>
          <w:bCs/>
          <w:color w:val="7A1526"/>
          <w:sz w:val="19"/>
          <w:szCs w:val="19"/>
        </w:rPr>
        <w:t xml:space="preserve">   |   total 20 puntos</w:t>
      </w:r>
    </w:p>
    <w:p>
      <w:pPr>
        <w:spacing w:line="270"/>
      </w:pPr>
      <w:r>
        <w:rPr>
          <w:rFonts w:ascii="Cambria" w:cs="Cambria" w:eastAsia="Cambria" w:hAnsi="Cambria"/>
          <w:color w:val="2D2D2D"/>
          <w:sz w:val="20"/>
          <w:szCs w:val="20"/>
        </w:rPr>
        <w:t xml:space="preserve">Seis criterios × cuatro niveles. La columna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Peso (máx.)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 es el puntaje del nivel </w:t>
      </w:r>
      <w:r>
        <w:rPr>
          <w:rFonts w:ascii="Cambria" w:cs="Cambria" w:eastAsia="Cambria" w:hAnsi="Cambria"/>
          <w:i/>
          <w:iCs/>
          <w:color w:val="2D2D2D"/>
          <w:sz w:val="20"/>
          <w:szCs w:val="20"/>
        </w:rPr>
        <w:t xml:space="preserve">Excelente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; los pesos </w:t>
      </w:r>
      <w:r>
        <w:rPr>
          <w:rFonts w:ascii="Cambria" w:cs="Cambria" w:eastAsia="Cambria" w:hAnsi="Cambria"/>
          <w:b/>
          <w:bCs/>
          <w:color w:val="2D2D2D"/>
          <w:sz w:val="20"/>
          <w:szCs w:val="20"/>
        </w:rPr>
        <w:t xml:space="preserve">suman exactamente 20</w:t>
      </w:r>
      <w:r>
        <w:rPr>
          <w:rFonts w:ascii="Cambria" w:cs="Cambria" w:eastAsia="Cambria" w:hAnsi="Cambria"/>
          <w:color w:val="2D2D2D"/>
          <w:sz w:val="20"/>
          <w:szCs w:val="20"/>
        </w:rPr>
        <w:t xml:space="preserve">. Cada nivel otorga el puntaje indicado entre paréntesis.</w:t>
      </w:r>
    </w:p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0"/>
        <w:gridCol w:w="1638"/>
        <w:gridCol w:w="1638"/>
        <w:gridCol w:w="1638"/>
        <w:gridCol w:w="1638"/>
        <w:gridCol w:w="908"/>
      </w:tblGrid>
      <w:tr>
        <w:trPr>
          <w:tblHeader/>
        </w:trP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3"/>
                <w:szCs w:val="13"/>
              </w:rPr>
              <w:t xml:space="preserve">INSUFICIENTE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3"/>
                <w:szCs w:val="13"/>
              </w:rPr>
              <w:t xml:space="preserve">BÁSICO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3"/>
                <w:szCs w:val="13"/>
              </w:rPr>
              <w:t xml:space="preserve">COMPETENTE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3"/>
                <w:szCs w:val="13"/>
              </w:rPr>
              <w:t xml:space="preserve">EXCELENTE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4450" w:color="auto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3"/>
                <w:szCs w:val="13"/>
              </w:rPr>
              <w:t xml:space="preserve">PESO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C1. Preparación de alta dimensión + diagnóstico de un supuesto (faltantes LEMAS, escalado, split sin fuga)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No prepara los datos o usa las columnas no predictivas / no escala.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Escala pero maneja mal los faltantes (imputa el bloque LEMAS al 84 %) o ajusta el escalador sobre todo el conjunto (fuga).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(1)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Descarta las 22 columnas LEMAS e imputa residuales, escala y parte con semilla; la cuenta cierra en 100 predictores.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Preparación completa y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justificada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(descarte de LEMAS argumentado, imputación residual, StandardScaler ajustado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solo en train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, semilla fija, nº de predictores reportado)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y diagnostica al menos un supuesto pertinente con la técnica adecuada a 100 columnas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—correlaciones filtradas por pares con |r| &gt; 0,8 y sus familias, o VIF de los 10 predictores dominantes; ver el recuadro «Cómo se hace esto con 100 columnas» del Paso 6.3 del laboratorio—, que diga cómo se identifica y cómo se corrige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por método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, según la guía de supuestos de la sesión.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(3)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C2. Ajuste de los 4 modelos y elección de λ/α por CV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Falta </w:t>
            </w:r>
            <w:r>
              <w:rPr>
                <w:rFonts w:ascii="Calibri" w:cs="Calibri" w:eastAsia="Calibri" w:hAnsi="Calibri"/>
                <w:color w:val="2D2D2D"/>
                <w:sz w:val="16"/>
                <w:szCs w:val="16"/>
              </w:rPr>
              <w:t xml:space="preserve">≥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1 modelo o fija λ/α de forma arbitraria.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Ajusta los 4 pero elige λ/α sin CV o solo para alguno.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Ajusta OLS/Ridge/LASSO/Elastic Net y elige λ (y α) por CV (RidgeCV/LassoCV/ElasticNetCV).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(3)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Los 4 modelos con λ/α por CV, malla razonada, </w:t>
            </w:r>
            <w:r>
              <w:rPr>
                <w:rFonts w:ascii="Consolas" w:cs="Consolas" w:eastAsia="Consolas" w:hAnsi="Consolas"/>
                <w:color w:val="7A1526"/>
                <w:sz w:val="14"/>
                <w:szCs w:val="14"/>
              </w:rPr>
              <w:t xml:space="preserve">l1_ratio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de Elastic Net elegido por CV y semilla fija; procedimiento reproducible.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(4)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C3. MSE de test comparado e interpretación de la mejora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No reporta el error de test o lo hace sobre train.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Reporta el MSE de test de algún modelo sin comparar.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(1)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Tabla comparativa de MSE de test de los 4 modelos.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Tabla comparativa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interpretada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: regularizar </w:t>
            </w:r>
            <w:r>
              <w:rPr>
                <w:rFonts w:ascii="Calibri" w:cs="Calibri" w:eastAsia="Calibri" w:hAnsi="Calibri"/>
                <w:color w:val="2D2D2D"/>
                <w:sz w:val="16"/>
                <w:szCs w:val="16"/>
              </w:rPr>
              <w:t xml:space="preserve">≤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OLS, ordena la mejora y comenta la magnitud de las diferencias (no proclama ganador por diferencias triviales).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(3)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C4. Selección de variables por LASSO (nº, cuáles, path) vs. Ridge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No reporta variables seleccionadas.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Reporta el nº de variables del LASSO sin decir cuáles, ni a qué λ, ni con qué semilla.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Reporta nº y cuáles variables sobreviven al LASSO (a un λ y una semilla explícitos) y contrasta con Ridge (no anula).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(3)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Nº y variables del LASSO a un λ y una semilla explícitos,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path de regularización trazado con la técnica de alta dimensión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(top 8–10 destacadas sobre el resto en gris) y leído como jerarquía de importancia, contraste con Ridge, comentario del efecto de agrupamiento del Elastic Net y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evidencia de que la lista no es estable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(reejecución con otra semilla: cuántas variables cambian).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(4)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C5. Reproducibilidad y convención Excel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Sin cuaderno reproducible ni Excel de resultados.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Cuaderno presente pero cifras no trazables o sin Excel.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(1)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Resultados volcados a </w:t>
            </w:r>
            <w:r>
              <w:rPr>
                <w:rFonts w:ascii="Consolas" w:cs="Consolas" w:eastAsia="Consolas" w:hAnsi="Consolas"/>
                <w:color w:val="7A1526"/>
                <w:sz w:val="14"/>
                <w:szCs w:val="14"/>
              </w:rPr>
              <w:t xml:space="preserve">S05_resultados.xlsx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(hoja </w:t>
            </w:r>
            <w:r>
              <w:rPr>
                <w:rFonts w:ascii="Consolas" w:cs="Consolas" w:eastAsia="Consolas" w:hAnsi="Consolas"/>
                <w:color w:val="7A1526"/>
                <w:sz w:val="14"/>
                <w:szCs w:val="14"/>
              </w:rPr>
              <w:t xml:space="preserve">communities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) y cuaderno reproducible, pero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sin generar las gráficas al leer el Excel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o con alguna cifra no trazable.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(1,5)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Resultados en </w:t>
            </w:r>
            <w:r>
              <w:rPr>
                <w:rFonts w:ascii="Consolas" w:cs="Consolas" w:eastAsia="Consolas" w:hAnsi="Consolas"/>
                <w:color w:val="7A1526"/>
                <w:sz w:val="14"/>
                <w:szCs w:val="14"/>
              </w:rPr>
              <w:t xml:space="preserve">S05_resultados.xlsx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,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gráficas generadas al leer el Excel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, semilla fija y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toda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cifra del informe trazable.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FFFFF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20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b/>
                <w:bCs/>
                <w:color w:val="7A1526"/>
                <w:sz w:val="17"/>
                <w:szCs w:val="17"/>
              </w:rPr>
              <w:t xml:space="preserve">C6. Recomendación: interpretabilidad vs. desempeño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Sin recomendación o incoherente con el análisis.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(0)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Recomendación presente pero sin justificar el equilibrio.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(1)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Recomendación clara que menciona interpretabilidad y desempeño.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(2)</w:t>
            </w:r>
          </w:p>
        </w:tc>
        <w:tc>
          <w:tcPr>
            <w:tcW w:type="dxa" w:w="163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line="250"/>
            </w:pP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Decisión accionable que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justifica el equilibrio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al comparar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los dos modelos, λ_min y λ_1se, calculados y reportados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(nº de variables y MSE de cada uno; λ_1se se obtiene de </w:t>
            </w:r>
            <w:r>
              <w:rPr>
                <w:rFonts w:ascii="Consolas" w:cs="Consolas" w:eastAsia="Consolas" w:hAnsi="Consolas"/>
                <w:color w:val="7A1526"/>
                <w:sz w:val="14"/>
                <w:szCs w:val="14"/>
              </w:rPr>
              <w:t xml:space="preserve">mse_path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_ según el procedimiento del Paso 6.3 del laboratorio) y el coste de variables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expresado como rango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, sostenida en MSE + selección + path, en lenguaje de negocio,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sin afirmar causalidad ni suponer estabilidad perfecta</w:t>
            </w:r>
            <w:r>
              <w:rPr>
                <w:rFonts w:ascii="Cambria" w:cs="Cambria" w:eastAsia="Cambria" w:hAnsi="Cambria"/>
                <w:color w:val="2D2D2D"/>
                <w:sz w:val="16"/>
                <w:szCs w:val="16"/>
              </w:rPr>
              <w:t xml:space="preserve"> de la selección del LASSO. </w:t>
            </w:r>
            <w:r>
              <w:rPr>
                <w:rFonts w:ascii="Cambria" w:cs="Cambria" w:eastAsia="Cambria" w:hAnsi="Cambria"/>
                <w:b/>
                <w:bCs/>
                <w:color w:val="2D2D2D"/>
                <w:sz w:val="16"/>
                <w:szCs w:val="16"/>
              </w:rPr>
              <w:t xml:space="preserve">(4)</w:t>
            </w:r>
          </w:p>
        </w:tc>
        <w:tc>
          <w:tcPr>
            <w:tcW w:type="dxa" w:w="908"/>
            <w:tcBorders>
              <w:top w:val="single" w:color="DFE2E6" w:sz="4"/>
              <w:left w:val="none" w:color="FFFFFF" w:sz="0"/>
              <w:bottom w:val="single" w:color="DFE2E6" w:sz="4"/>
              <w:right w:val="none" w:color="FFFFFF" w:sz="0"/>
            </w:tcBorders>
            <w:shd w:fill="FBEFF1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4</w:t>
            </w:r>
          </w:p>
        </w:tc>
      </w:tr>
    </w:tbl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9D9D9" w:sz="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8"/>
                <w:szCs w:val="18"/>
              </w:rPr>
              <w:t xml:space="preserve">Puntaje total = C1 + C2 + C3 + C4 + C5 + C6 = 3 + 4 + 3 + 4 + 2 + 4 = 20 puntos.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4002B" w:sz="14"/>
              <w:left w:val="none" w:color="FFFFFF" w:sz="0"/>
              <w:bottom w:val="single" w:color="D9D9D9" w:sz="4"/>
              <w:right w:val="none" w:color="FFFFFF" w:sz="0"/>
            </w:tcBorders>
            <w:shd w:fill="F2F3F5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A1526"/>
                <w:sz w:val="15"/>
                <w:szCs w:val="15"/>
              </w:rPr>
              <w:t xml:space="preserve">NOTA TÉCNICA 4.1   </w:t>
            </w:r>
            <w:r>
              <w:rPr>
                <w:rFonts w:ascii="Calibri" w:cs="Calibri" w:eastAsia="Calibri" w:hAnsi="Calibri"/>
                <w:b/>
                <w:bCs/>
                <w:color w:val="7A1526"/>
                <w:sz w:val="19"/>
                <w:szCs w:val="19"/>
              </w:rPr>
              <w:t xml:space="preserve">Honestidad analítica: la referencia y la dependencia de la semilla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No hay una única preparación "correcta", pero el modelo debe ser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coherente con la evidencia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. Como referencia, tras descartar el bloque LEMAS (</w:t>
            </w:r>
            <w:r>
              <w:rPr>
                <w:rFonts w:ascii="Calibri" w:cs="Calibri" w:eastAsia="Calibri" w:hAnsi="Calibri"/>
                <w:color w:val="3A3A3A"/>
                <w:sz w:val="18"/>
                <w:szCs w:val="18"/>
              </w:rPr>
              <w:t xml:space="preserve">→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100 predictores modelados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), escalar y partir 70/30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con la semilla 42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OLS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(100 predictores) alcanza un MSE de test ≈ 0.01753; el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LASSO por CV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conserva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62 de 100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variables (deja fuera 38) con un MSE de test ≈ 0.01747 </w:t>
            </w:r>
            <w:r>
              <w:rPr>
                <w:rFonts w:ascii="Calibri" w:cs="Calibri" w:eastAsia="Calibri" w:hAnsi="Calibri"/>
                <w:color w:val="3A3A3A"/>
                <w:sz w:val="18"/>
                <w:szCs w:val="18"/>
              </w:rPr>
              <w:t xml:space="preserve">→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iguala el error del OLS con menos variables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ese es el mensaje central del entregable (interpretabilidad </w:t>
            </w:r>
            <w:r>
              <w:rPr>
                <w:rFonts w:ascii="Cambria" w:cs="Cambria" w:eastAsia="Cambria" w:hAnsi="Cambria"/>
                <w:i/>
                <w:iCs/>
                <w:color w:val="3A3A3A"/>
                <w:sz w:val="18"/>
                <w:szCs w:val="18"/>
              </w:rPr>
              <w:t xml:space="preserve">y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desempeño). RIDGE iguala al OLS (≈ 0.01744) pero mantiene las 100 variables; Elastic Net deja 72 de 100 (≈ 0.01747).</w:t>
            </w:r>
          </w:p>
          <w:p>
            <w:pPr>
              <w:spacing w:after="70" w:line="265"/>
            </w:pP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Estas cifras dependen de la semilla y no se califican como constantes.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Con siete semillas del split, el LASSO conserva entre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44 y 81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variables, el Elastic Net entre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42 y 82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y el MSE va de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0.01744 a 0.02043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; además, de las 62 variables de la ejecución de referencia solo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33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 aparecen en las siete.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Un trabajo con otra semilla que reporte 68 o 74 variables es igual de correcto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, siempre que declare su semilla; lo que no se acepta es publicar un conteo sin semilla ni afirmar que la selección es estable sin haberlo comprobado. Lo que sí debe reproducirse es la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conclusión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: el LASSO iguala el error del OLS </w:t>
            </w:r>
            <w:r>
              <w:rPr>
                <w:rFonts w:ascii="Cambria" w:cs="Cambria" w:eastAsia="Cambria" w:hAnsi="Cambria"/>
                <w:b/>
                <w:bCs/>
                <w:color w:val="3A3A3A"/>
                <w:sz w:val="18"/>
                <w:szCs w:val="18"/>
              </w:rPr>
              <w:t xml:space="preserve">con siempre menos variables</w:t>
            </w:r>
            <w:r>
              <w:rPr>
                <w:rFonts w:ascii="Cambria" w:cs="Cambria" w:eastAsia="Cambria" w:hAnsi="Cambria"/>
                <w:color w:val="3A3A3A"/>
                <w:sz w:val="18"/>
                <w:szCs w:val="18"/>
              </w:rPr>
              <w:t xml:space="preserve">. Un trabajo que impute el bloque LEMAS al 84 %, no escale, elija λ de forma arbitraria, parta la CV sin barajar los pliegues o elija el modelo por el error de entrenamiento no puede alcanzar C1/C2/C3 altos.</w:t>
            </w:r>
          </w:p>
        </w:tc>
      </w:tr>
    </w:tbl>
    <w:p>
      <w:pPr>
        <w:spacing w:after="220"/>
      </w:pPr>
    </w:p>
    <w:p>
      <w:pPr>
        <w:spacing w:after="260" w:line="265"/>
      </w:pPr>
      <w:r>
        <w:rPr>
          <w:rFonts w:ascii="Cambria" w:cs="Cambria" w:eastAsia="Cambria" w:hAnsi="Cambria"/>
          <w:i/>
          <w:iCs/>
          <w:color w:val="6E6E6E"/>
          <w:sz w:val="18"/>
          <w:szCs w:val="18"/>
        </w:rPr>
        <w:t xml:space="preserve">El desempeño en este entregable se refuerza con el </w:t>
      </w:r>
      <w:r>
        <w:rPr>
          <w:rFonts w:ascii="Cambria" w:cs="Cambria" w:eastAsia="Cambria" w:hAnsi="Cambria"/>
          <w:b/>
          <w:bCs/>
          <w:i/>
          <w:iCs/>
          <w:color w:val="6E6E6E"/>
          <w:sz w:val="18"/>
          <w:szCs w:val="18"/>
        </w:rPr>
        <w:t xml:space="preserve">control corto</w:t>
      </w:r>
      <w:r>
        <w:rPr>
          <w:rFonts w:ascii="Cambria" w:cs="Cambria" w:eastAsia="Cambria" w:hAnsi="Cambria"/>
          <w:i/>
          <w:iCs/>
          <w:color w:val="6E6E6E"/>
          <w:sz w:val="18"/>
          <w:szCs w:val="18"/>
        </w:rPr>
        <w:t xml:space="preserve"> de cierre y con los ítems [S05] del banco de exámenes. Alimenta la fase «Modelado» del proyecto integrador. Lecturas de apoyo: ISLR cap. 6.1–6.4 (regularización) y Sección 5.1 (CV), en la bibliografía de la sesión.</w:t>
      </w:r>
    </w:p>
    <w:sectPr>
      <w:headerReference w:type="default" r:id="rId7"/>
      <w:footerReference w:type="default" r:id="rId8"/>
      <w:pgSz w:w="12240" w:h="15840" w:orient="portrait"/>
      <w:pgMar w:top="108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Herramientas para la Ciencia de Datos, UPC, Facultad de Negocios     |     </w:t>
    </w:r>
    <w:r>
      <w:rPr>
        <w:rFonts w:ascii="Calibri" w:cs="Calibri" w:eastAsia="Calibri" w:hAnsi="Calibri"/>
        <w:b/>
        <w:bCs/>
        <w:color w:val="7A152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2E6" w:sz="4" w:space="4"/>
      </w:pBdr>
      <w:spacing w:after="120"/>
    </w:pPr>
    <w:r>
      <w:rPr>
        <w:rFonts w:ascii="Calibri" w:cs="Calibri" w:eastAsia="Calibri" w:hAnsi="Calibri"/>
        <w:color w:val="6E6E6E"/>
        <w:sz w:val="15"/>
        <w:szCs w:val="15"/>
      </w:rPr>
      <w:t xml:space="preserve">Entregable evaluable — Sesión S05: OLS vs. RIDGE vs. LASSO vs. Elastic Net en alta dimensión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evaluable — Sesión S05</dc:title>
  <dc:creator>UPC</dc:creator>
  <dc:description>OLS vs. RIDGE vs. LASSO vs. Elastic Net en alta dimensión (Communities and Crime)</dc:description>
  <cp:lastModifiedBy>Un-named</cp:lastModifiedBy>
  <cp:revision>1</cp:revision>
  <dcterms:created xsi:type="dcterms:W3CDTF">2026-09-11T14:13:58.715Z</dcterms:created>
  <dcterms:modified xsi:type="dcterms:W3CDTF">2026-09-11T14:13:58.715Z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