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Calibri" w:cs="Calibri" w:eastAsia="Calibri" w:hAnsi="Calibri"/>
          <w:b/>
          <w:bCs/>
          <w:color w:val="7A1526"/>
          <w:spacing w:val="40"/>
          <w:sz w:val="15"/>
          <w:szCs w:val="15"/>
        </w:rPr>
        <w:t xml:space="preserve">UPC · FACULTAD DE NEGOCIOS · PROGRAMA ADMINISTRACIÓN Y CIENCIA DE DATOS PARA NEGOCIOS</w:t>
      </w:r>
    </w:p>
    <w:p>
      <w:pPr>
        <w:spacing w:after="40"/>
      </w:pPr>
      <w:r>
        <w:rPr>
          <w:rFonts w:ascii="Cambria" w:cs="Cambria" w:eastAsia="Cambria" w:hAnsi="Cambria"/>
          <w:b/>
          <w:bCs/>
          <w:color w:val="2D2D2D"/>
          <w:sz w:val="36"/>
          <w:szCs w:val="36"/>
        </w:rPr>
        <w:t xml:space="preserve">Drills — Sesión S07</w:t>
      </w:r>
    </w:p>
    <w:p>
      <w:pPr>
        <w:pBdr>
          <w:bottom w:val="single" w:color="E4002B" w:sz="18" w:space="10"/>
        </w:pBdr>
        <w:spacing w:after="160"/>
      </w:pPr>
      <w:r>
        <w:rPr>
          <w:rFonts w:ascii="Cambria" w:cs="Cambria" w:eastAsia="Cambria" w:hAnsi="Cambria"/>
          <w:color w:val="7A1526"/>
          <w:sz w:val="28"/>
          <w:szCs w:val="28"/>
        </w:rPr>
        <w:t xml:space="preserve">Clustering jerárquico + DBSCAN + detección de anomalías</w:t>
      </w:r>
    </w:p>
    <w:tbl>
      <w:tblPr>
        <w:tblW w:type="dxa" w:w="1008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2200"/>
        <w:gridCol w:w="7880"/>
      </w:tblGrid>
      <w:tr>
        <w:tc>
          <w:tcPr>
            <w:tcW w:type="dxa" w:w="2200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FFFFF" w:color="auto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7A1526"/>
                <w:sz w:val="15"/>
                <w:szCs w:val="15"/>
              </w:rPr>
              <w:t xml:space="preserve">CURSO</w:t>
            </w:r>
          </w:p>
        </w:tc>
        <w:tc>
          <w:tcPr>
            <w:tcW w:type="dxa" w:w="7880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FFFFF" w:color="auto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Cambria" w:cs="Cambria" w:eastAsia="Cambria" w:hAnsi="Cambria"/>
                <w:color w:val="2D2D2D"/>
                <w:sz w:val="19"/>
                <w:szCs w:val="19"/>
              </w:rPr>
              <w:t xml:space="preserve">Herramientas para la Ciencia de Datos · Sesión 07 · Clustering (jerárquico, DBSCAN) + detección de anomalías · Drills (ejercicios cortos) · Material del estudiante</w:t>
            </w:r>
          </w:p>
        </w:tc>
      </w:tr>
      <w:tr>
        <w:tc>
          <w:tcPr>
            <w:tcW w:type="dxa" w:w="2200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BEFF1" w:color="auto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7A1526"/>
                <w:sz w:val="15"/>
                <w:szCs w:val="15"/>
              </w:rPr>
              <w:t xml:space="preserve">MODALIDAD</w:t>
            </w:r>
          </w:p>
        </w:tc>
        <w:tc>
          <w:tcPr>
            <w:tcW w:type="dxa" w:w="7880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BEFF1" w:color="auto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Cambria" w:cs="Cambria" w:eastAsia="Cambria" w:hAnsi="Cambria"/>
                <w:color w:val="2D2D2D"/>
                <w:sz w:val="19"/>
                <w:szCs w:val="19"/>
              </w:rPr>
              <w:t xml:space="preserve">Tres ejercicios de práctica, en parejas · entrega individual</w:t>
            </w:r>
          </w:p>
        </w:tc>
      </w:tr>
      <w:tr>
        <w:tc>
          <w:tcPr>
            <w:tcW w:type="dxa" w:w="2200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FFFFF" w:color="auto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7A1526"/>
                <w:sz w:val="15"/>
                <w:szCs w:val="15"/>
              </w:rPr>
              <w:t xml:space="preserve">CALIFICACIÓN</w:t>
            </w:r>
          </w:p>
        </w:tc>
        <w:tc>
          <w:tcPr>
            <w:tcW w:type="dxa" w:w="7880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FFFFF" w:color="auto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Cambria" w:cs="Cambria" w:eastAsia="Cambria" w:hAnsi="Cambria"/>
                <w:color w:val="2D2D2D"/>
                <w:sz w:val="19"/>
                <w:szCs w:val="19"/>
              </w:rPr>
              <w:t xml:space="preserve">El desempeño se refuerza en el control corto de cierre de la sesión y se evalúa de forma integral en el entregable (</w:t>
            </w:r>
            <w:r>
              <w:rPr>
                <w:rFonts w:ascii="Consolas" w:cs="Consolas" w:eastAsia="Consolas" w:hAnsi="Consolas"/>
                <w:color w:val="7A1526"/>
                <w:sz w:val="17"/>
                <w:szCs w:val="17"/>
              </w:rPr>
              <w:t xml:space="preserve">evaluacion/entregable.docx</w:t>
            </w:r>
            <w:r>
              <w:rPr>
                <w:rFonts w:ascii="Cambria" w:cs="Cambria" w:eastAsia="Cambria" w:hAnsi="Cambria"/>
                <w:color w:val="2D2D2D"/>
                <w:sz w:val="19"/>
                <w:szCs w:val="19"/>
              </w:rPr>
              <w:t xml:space="preserve">)</w:t>
            </w:r>
          </w:p>
        </w:tc>
      </w:tr>
      <w:tr>
        <w:tc>
          <w:tcPr>
            <w:tcW w:type="dxa" w:w="2200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BEFF1" w:color="auto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7A1526"/>
                <w:sz w:val="15"/>
                <w:szCs w:val="15"/>
              </w:rPr>
              <w:t xml:space="preserve">CUADERNO</w:t>
            </w:r>
          </w:p>
        </w:tc>
        <w:tc>
          <w:tcPr>
            <w:tcW w:type="dxa" w:w="7880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BEFF1" w:color="auto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Consolas" w:cs="Consolas" w:eastAsia="Consolas" w:hAnsi="Consolas"/>
                <w:color w:val="7A1526"/>
                <w:sz w:val="17"/>
                <w:szCs w:val="17"/>
              </w:rPr>
              <w:t xml:space="preserve">notebook/S07_clustering_anomalias.ipynb</w:t>
            </w:r>
          </w:p>
        </w:tc>
      </w:tr>
    </w:tbl>
    <w:p>
      <w:pPr>
        <w:spacing w:after="150"/>
      </w:pPr>
    </w:p>
    <w:p>
      <w:pPr>
        <w:spacing w:after="180" w:line="265"/>
      </w:pPr>
      <w:r>
        <w:rPr>
          <w:rFonts w:ascii="Cambria" w:cs="Cambria" w:eastAsia="Cambria" w:hAnsi="Cambria"/>
          <w:color w:val="3A3A3A"/>
          <w:sz w:val="18"/>
          <w:szCs w:val="18"/>
        </w:rPr>
        <w:t xml:space="preserve">Material del estudiante. Español impersonal. Tres ejercicios de práctica de la Sesión 7 (Clustering jerárquico + DBSCAN + detección de anomalías). Se resuelven en parejas; la entrega es individual. </w:t>
      </w:r>
      <w:r>
        <w:rPr>
          <w:rFonts w:ascii="Cambria" w:cs="Cambria" w:eastAsia="Cambria" w:hAnsi="Cambria"/>
          <w:b/>
          <w:bCs/>
          <w:color w:val="3A3A3A"/>
          <w:sz w:val="18"/>
          <w:szCs w:val="18"/>
        </w:rPr>
        <w:t xml:space="preserve">Material de apoyo:</w:t>
      </w:r>
      <w:r>
        <w:rPr>
          <w:rFonts w:ascii="Cambria" w:cs="Cambria" w:eastAsia="Cambria" w:hAnsi="Cambria"/>
          <w:color w:val="3A3A3A"/>
          <w:sz w:val="18"/>
          <w:szCs w:val="18"/>
        </w:rPr>
        <w:t xml:space="preserve"> el cuaderno </w:t>
      </w:r>
      <w:r>
        <w:rPr>
          <w:rFonts w:ascii="Consolas" w:cs="Consolas" w:eastAsia="Consolas" w:hAnsi="Consolas"/>
          <w:color w:val="7A1526"/>
          <w:sz w:val="16"/>
          <w:szCs w:val="16"/>
        </w:rPr>
        <w:t xml:space="preserve">notebook/S07_clustering_anomalias.ipynb</w:t>
      </w:r>
      <w:r>
        <w:rPr>
          <w:rFonts w:ascii="Cambria" w:cs="Cambria" w:eastAsia="Cambria" w:hAnsi="Cambria"/>
          <w:color w:val="3A3A3A"/>
          <w:sz w:val="18"/>
          <w:szCs w:val="18"/>
        </w:rPr>
        <w:t xml:space="preserve">, la guía </w:t>
      </w:r>
      <w:r>
        <w:rPr>
          <w:rFonts w:ascii="Consolas" w:cs="Consolas" w:eastAsia="Consolas" w:hAnsi="Consolas"/>
          <w:color w:val="7A1526"/>
          <w:sz w:val="16"/>
          <w:szCs w:val="16"/>
        </w:rPr>
        <w:t xml:space="preserve">plantillas/guia_eps_dbscan.docx</w:t>
      </w:r>
      <w:r>
        <w:rPr>
          <w:rFonts w:ascii="Cambria" w:cs="Cambria" w:eastAsia="Cambria" w:hAnsi="Cambria"/>
          <w:color w:val="3A3A3A"/>
          <w:sz w:val="18"/>
          <w:szCs w:val="18"/>
        </w:rPr>
        <w:t xml:space="preserve"> (gráfico de k-distancia para elegir </w:t>
      </w:r>
      <w:r>
        <w:rPr>
          <w:rFonts w:ascii="Consolas" w:cs="Consolas" w:eastAsia="Consolas" w:hAnsi="Consolas"/>
          <w:color w:val="7A1526"/>
          <w:sz w:val="16"/>
          <w:szCs w:val="16"/>
        </w:rPr>
        <w:t xml:space="preserve">eps</w:t>
      </w:r>
      <w:r>
        <w:rPr>
          <w:rFonts w:ascii="Cambria" w:cs="Cambria" w:eastAsia="Cambria" w:hAnsi="Cambria"/>
          <w:color w:val="3A3A3A"/>
          <w:sz w:val="18"/>
          <w:szCs w:val="18"/>
        </w:rPr>
        <w:t xml:space="preserve"> — Drill 1), la plantilla </w:t>
      </w:r>
      <w:r>
        <w:rPr>
          <w:rFonts w:ascii="Consolas" w:cs="Consolas" w:eastAsia="Consolas" w:hAnsi="Consolas"/>
          <w:color w:val="7A1526"/>
          <w:sz w:val="16"/>
          <w:szCs w:val="16"/>
        </w:rPr>
        <w:t xml:space="preserve">plantillas/rfm_perfilamiento.docx</w:t>
      </w:r>
      <w:r>
        <w:rPr>
          <w:rFonts w:ascii="Cambria" w:cs="Cambria" w:eastAsia="Cambria" w:hAnsi="Cambria"/>
          <w:color w:val="3A3A3A"/>
          <w:sz w:val="18"/>
          <w:szCs w:val="18"/>
        </w:rPr>
        <w:t xml:space="preserve"> (cálculo y perfilamiento — Drills 2 y 3) y la plantilla </w:t>
      </w:r>
      <w:r>
        <w:rPr>
          <w:rFonts w:ascii="Consolas" w:cs="Consolas" w:eastAsia="Consolas" w:hAnsi="Consolas"/>
          <w:color w:val="7A1526"/>
          <w:sz w:val="16"/>
          <w:szCs w:val="16"/>
        </w:rPr>
        <w:t xml:space="preserve">plantillas/fichas_segmento.docx</w:t>
      </w:r>
      <w:r>
        <w:rPr>
          <w:rFonts w:ascii="Cambria" w:cs="Cambria" w:eastAsia="Cambria" w:hAnsi="Cambria"/>
          <w:color w:val="3A3A3A"/>
          <w:sz w:val="18"/>
          <w:szCs w:val="18"/>
        </w:rPr>
        <w:t xml:space="preserve"> (nombrar segmentos y acciones). El entregable evaluable de la sesión está en </w:t>
      </w:r>
      <w:r>
        <w:rPr>
          <w:rFonts w:ascii="Consolas" w:cs="Consolas" w:eastAsia="Consolas" w:hAnsi="Consolas"/>
          <w:color w:val="7A1526"/>
          <w:sz w:val="16"/>
          <w:szCs w:val="16"/>
        </w:rPr>
        <w:t xml:space="preserve">evaluacion/entregable.docx</w:t>
      </w:r>
      <w:r>
        <w:rPr>
          <w:rFonts w:ascii="Cambria" w:cs="Cambria" w:eastAsia="Cambria" w:hAnsi="Cambria"/>
          <w:color w:val="3A3A3A"/>
          <w:sz w:val="18"/>
          <w:szCs w:val="18"/>
        </w:rPr>
        <w:t xml:space="preserve">, el diccionario de variables en </w:t>
      </w:r>
      <w:r>
        <w:rPr>
          <w:rFonts w:ascii="Consolas" w:cs="Consolas" w:eastAsia="Consolas" w:hAnsi="Consolas"/>
          <w:color w:val="7A1526"/>
          <w:sz w:val="16"/>
          <w:szCs w:val="16"/>
        </w:rPr>
        <w:t xml:space="preserve">data/diccionario_datos.md</w:t>
      </w:r>
      <w:r>
        <w:rPr>
          <w:rFonts w:ascii="Cambria" w:cs="Cambria" w:eastAsia="Cambria" w:hAnsi="Cambria"/>
          <w:color w:val="3A3A3A"/>
          <w:sz w:val="18"/>
          <w:szCs w:val="18"/>
        </w:rPr>
        <w:t xml:space="preserve"> y las lecturas en la bibliografía de la sesión. Convención del curso: el análisis se apoya en </w:t>
      </w:r>
      <w:r>
        <w:rPr>
          <w:rFonts w:ascii="Consolas" w:cs="Consolas" w:eastAsia="Consolas" w:hAnsi="Consolas"/>
          <w:color w:val="7A1526"/>
          <w:sz w:val="16"/>
          <w:szCs w:val="16"/>
        </w:rPr>
        <w:t xml:space="preserve">scikit-learn</w:t>
      </w:r>
      <w:r>
        <w:rPr>
          <w:rFonts w:ascii="Cambria" w:cs="Cambria" w:eastAsia="Cambria" w:hAnsi="Cambria"/>
          <w:color w:val="3A3A3A"/>
          <w:sz w:val="18"/>
          <w:szCs w:val="18"/>
        </w:rPr>
        <w:t xml:space="preserve"> (</w:t>
      </w:r>
      <w:r>
        <w:rPr>
          <w:rFonts w:ascii="Consolas" w:cs="Consolas" w:eastAsia="Consolas" w:hAnsi="Consolas"/>
          <w:color w:val="7A1526"/>
          <w:sz w:val="16"/>
          <w:szCs w:val="16"/>
        </w:rPr>
        <w:t xml:space="preserve">cluster.AgglomerativeClustering</w:t>
      </w:r>
      <w:r>
        <w:rPr>
          <w:rFonts w:ascii="Cambria" w:cs="Cambria" w:eastAsia="Cambria" w:hAnsi="Cambria"/>
          <w:color w:val="3A3A3A"/>
          <w:sz w:val="18"/>
          <w:szCs w:val="18"/>
        </w:rPr>
        <w:t xml:space="preserve">, </w:t>
      </w:r>
      <w:r>
        <w:rPr>
          <w:rFonts w:ascii="Consolas" w:cs="Consolas" w:eastAsia="Consolas" w:hAnsi="Consolas"/>
          <w:color w:val="7A1526"/>
          <w:sz w:val="16"/>
          <w:szCs w:val="16"/>
        </w:rPr>
        <w:t xml:space="preserve">cluster.DBSCAN</w:t>
      </w:r>
      <w:r>
        <w:rPr>
          <w:rFonts w:ascii="Cambria" w:cs="Cambria" w:eastAsia="Cambria" w:hAnsi="Cambria"/>
          <w:color w:val="3A3A3A"/>
          <w:sz w:val="18"/>
          <w:szCs w:val="18"/>
        </w:rPr>
        <w:t xml:space="preserve">, </w:t>
      </w:r>
      <w:r>
        <w:rPr>
          <w:rFonts w:ascii="Consolas" w:cs="Consolas" w:eastAsia="Consolas" w:hAnsi="Consolas"/>
          <w:color w:val="7A1526"/>
          <w:sz w:val="16"/>
          <w:szCs w:val="16"/>
        </w:rPr>
        <w:t xml:space="preserve">metrics.silhouette_score</w:t>
      </w:r>
      <w:r>
        <w:rPr>
          <w:rFonts w:ascii="Cambria" w:cs="Cambria" w:eastAsia="Cambria" w:hAnsi="Cambria"/>
          <w:color w:val="3A3A3A"/>
          <w:sz w:val="18"/>
          <w:szCs w:val="18"/>
        </w:rPr>
        <w:t xml:space="preserve">, </w:t>
      </w:r>
      <w:r>
        <w:rPr>
          <w:rFonts w:ascii="Consolas" w:cs="Consolas" w:eastAsia="Consolas" w:hAnsi="Consolas"/>
          <w:color w:val="7A1526"/>
          <w:sz w:val="16"/>
          <w:szCs w:val="16"/>
        </w:rPr>
        <w:t xml:space="preserve">ensemble.IsolationForest</w:t>
      </w:r>
      <w:r>
        <w:rPr>
          <w:rFonts w:ascii="Cambria" w:cs="Cambria" w:eastAsia="Cambria" w:hAnsi="Cambria"/>
          <w:color w:val="3A3A3A"/>
          <w:sz w:val="18"/>
          <w:szCs w:val="18"/>
        </w:rPr>
        <w:t xml:space="preserve">, </w:t>
      </w:r>
      <w:r>
        <w:rPr>
          <w:rFonts w:ascii="Consolas" w:cs="Consolas" w:eastAsia="Consolas" w:hAnsi="Consolas"/>
          <w:color w:val="7A1526"/>
          <w:sz w:val="16"/>
          <w:szCs w:val="16"/>
        </w:rPr>
        <w:t xml:space="preserve">neighbors.LocalOutlierFactor</w:t>
      </w:r>
      <w:r>
        <w:rPr>
          <w:rFonts w:ascii="Cambria" w:cs="Cambria" w:eastAsia="Cambria" w:hAnsi="Cambria"/>
          <w:color w:val="3A3A3A"/>
          <w:sz w:val="18"/>
          <w:szCs w:val="18"/>
        </w:rPr>
        <w:t xml:space="preserve">, </w:t>
      </w:r>
      <w:r>
        <w:rPr>
          <w:rFonts w:ascii="Consolas" w:cs="Consolas" w:eastAsia="Consolas" w:hAnsi="Consolas"/>
          <w:color w:val="7A1526"/>
          <w:sz w:val="16"/>
          <w:szCs w:val="16"/>
        </w:rPr>
        <w:t xml:space="preserve">neighbors.NearestNeighbors</w:t>
      </w:r>
      <w:r>
        <w:rPr>
          <w:rFonts w:ascii="Cambria" w:cs="Cambria" w:eastAsia="Cambria" w:hAnsi="Cambria"/>
          <w:color w:val="3A3A3A"/>
          <w:sz w:val="18"/>
          <w:szCs w:val="18"/>
        </w:rPr>
        <w:t xml:space="preserve">) y </w:t>
      </w:r>
      <w:r>
        <w:rPr>
          <w:rFonts w:ascii="Consolas" w:cs="Consolas" w:eastAsia="Consolas" w:hAnsi="Consolas"/>
          <w:color w:val="7A1526"/>
          <w:sz w:val="16"/>
          <w:szCs w:val="16"/>
        </w:rPr>
        <w:t xml:space="preserve">scipy.cluster.hierarchy</w:t>
      </w:r>
      <w:r>
        <w:rPr>
          <w:rFonts w:ascii="Cambria" w:cs="Cambria" w:eastAsia="Cambria" w:hAnsi="Cambria"/>
          <w:color w:val="3A3A3A"/>
          <w:sz w:val="18"/>
          <w:szCs w:val="18"/>
        </w:rPr>
        <w:t xml:space="preserve"> (</w:t>
      </w:r>
      <w:r>
        <w:rPr>
          <w:rFonts w:ascii="Consolas" w:cs="Consolas" w:eastAsia="Consolas" w:hAnsi="Consolas"/>
          <w:color w:val="7A1526"/>
          <w:sz w:val="16"/>
          <w:szCs w:val="16"/>
        </w:rPr>
        <w:t xml:space="preserve">linkage</w:t>
      </w:r>
      <w:r>
        <w:rPr>
          <w:rFonts w:ascii="Cambria" w:cs="Cambria" w:eastAsia="Cambria" w:hAnsi="Cambria"/>
          <w:color w:val="3A3A3A"/>
          <w:sz w:val="18"/>
          <w:szCs w:val="18"/>
        </w:rPr>
        <w:t xml:space="preserve">, </w:t>
      </w:r>
      <w:r>
        <w:rPr>
          <w:rFonts w:ascii="Consolas" w:cs="Consolas" w:eastAsia="Consolas" w:hAnsi="Consolas"/>
          <w:color w:val="7A1526"/>
          <w:sz w:val="16"/>
          <w:szCs w:val="16"/>
        </w:rPr>
        <w:t xml:space="preserve">dendrogram</w:t>
      </w:r>
      <w:r>
        <w:rPr>
          <w:rFonts w:ascii="Cambria" w:cs="Cambria" w:eastAsia="Cambria" w:hAnsi="Cambria"/>
          <w:color w:val="3A3A3A"/>
          <w:sz w:val="18"/>
          <w:szCs w:val="18"/>
        </w:rPr>
        <w:t xml:space="preserve">). Semilla </w:t>
      </w:r>
      <w:r>
        <w:rPr>
          <w:rFonts w:ascii="Consolas" w:cs="Consolas" w:eastAsia="Consolas" w:hAnsi="Consolas"/>
          <w:color w:val="7A1526"/>
          <w:sz w:val="16"/>
          <w:szCs w:val="16"/>
        </w:rPr>
        <w:t xml:space="preserve">random_state=42</w:t>
      </w:r>
      <w:r>
        <w:rPr>
          <w:rFonts w:ascii="Cambria" w:cs="Cambria" w:eastAsia="Cambria" w:hAnsi="Cambria"/>
          <w:color w:val="3A3A3A"/>
          <w:sz w:val="18"/>
          <w:szCs w:val="18"/>
        </w:rPr>
        <w:t xml:space="preserve"> en Isolation Forest y en todo muestreo. </w:t>
      </w:r>
      <w:r>
        <w:rPr>
          <w:rFonts w:ascii="Cambria" w:cs="Cambria" w:eastAsia="Cambria" w:hAnsi="Cambria"/>
          <w:b/>
          <w:bCs/>
          <w:color w:val="3A3A3A"/>
          <w:sz w:val="18"/>
          <w:szCs w:val="18"/>
        </w:rPr>
        <w:t xml:space="preserve">Estandarizar (</w:t>
      </w:r>
      <w:r>
        <w:rPr>
          <w:rFonts w:ascii="Consolas" w:cs="Consolas" w:eastAsia="Consolas" w:hAnsi="Consolas"/>
          <w:b/>
          <w:bCs/>
          <w:color w:val="7A1526"/>
          <w:sz w:val="16"/>
          <w:szCs w:val="16"/>
        </w:rPr>
        <w:t xml:space="preserve">StandardScaler</w:t>
      </w:r>
      <w:r>
        <w:rPr>
          <w:rFonts w:ascii="Cambria" w:cs="Cambria" w:eastAsia="Cambria" w:hAnsi="Cambria"/>
          <w:b/>
          <w:bCs/>
          <w:color w:val="3A3A3A"/>
          <w:sz w:val="18"/>
          <w:szCs w:val="18"/>
        </w:rPr>
        <w:t xml:space="preserve">) antes de cualquier método basado en distancias</w:t>
      </w:r>
      <w:r>
        <w:rPr>
          <w:rFonts w:ascii="Cambria" w:cs="Cambria" w:eastAsia="Cambria" w:hAnsi="Cambria"/>
          <w:color w:val="3A3A3A"/>
          <w:sz w:val="18"/>
          <w:szCs w:val="18"/>
        </w:rPr>
        <w:t xml:space="preserve"> (jerárquico, DBSCAN, LOF, silueta); Isolation Forest es insensible a la escala. </w:t>
      </w:r>
      <w:r>
        <w:rPr>
          <w:rFonts w:ascii="Cambria" w:cs="Cambria" w:eastAsia="Cambria" w:hAnsi="Cambria"/>
          <w:b/>
          <w:bCs/>
          <w:color w:val="3A3A3A"/>
          <w:sz w:val="18"/>
          <w:szCs w:val="18"/>
        </w:rPr>
        <w:t xml:space="preserve">El −1 de DBSCAN NO es un cluster: es ruido</w:t>
      </w:r>
      <w:r>
        <w:rPr>
          <w:rFonts w:ascii="Cambria" w:cs="Cambria" w:eastAsia="Cambria" w:hAnsi="Cambria"/>
          <w:color w:val="3A3A3A"/>
          <w:sz w:val="18"/>
          <w:szCs w:val="18"/>
        </w:rPr>
        <w:t xml:space="preserve"> (candidato a anomalía). </w:t>
      </w:r>
      <w:r>
        <w:rPr>
          <w:rFonts w:ascii="Cambria" w:cs="Cambria" w:eastAsia="Cambria" w:hAnsi="Cambria"/>
          <w:b/>
          <w:bCs/>
          <w:color w:val="3A3A3A"/>
          <w:sz w:val="18"/>
          <w:szCs w:val="18"/>
        </w:rPr>
        <w:t xml:space="preserve">Fuera de alcance (no usar):</w:t>
      </w:r>
      <w:r>
        <w:rPr>
          <w:rFonts w:ascii="Cambria" w:cs="Cambria" w:eastAsia="Cambria" w:hAnsi="Cambria"/>
          <w:color w:val="3A3A3A"/>
          <w:sz w:val="18"/>
          <w:szCs w:val="18"/>
        </w:rPr>
        <w:t xml:space="preserve"> K-Means (no se enseña; solo se referencia), reglas de asociación (S08), clasificadores supervisados o SMOTE (S10).</w:t>
      </w:r>
    </w:p>
    <w:tbl>
      <w:tblPr>
        <w:tblW w:type="dxa" w:w="1008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80"/>
      </w:tblGrid>
      <w:tr>
        <w:trPr>
          <w:cantSplit/>
        </w:trP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7A1526" w:color="auto" w:val="clear"/>
            <w:tcMar>
              <w:top w:type="dxa" w:w="180"/>
              <w:left w:type="dxa" w:w="150"/>
              <w:bottom w:type="dxa" w:w="180"/>
              <w:right w:type="dxa" w:w="15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FFFFFF"/>
                <w:spacing w:val="30"/>
                <w:sz w:val="15"/>
                <w:szCs w:val="15"/>
              </w:rPr>
              <w:t xml:space="preserve">OBJETIVO DE LOS DRILLS</w:t>
            </w:r>
          </w:p>
          <w:p>
            <w:pPr>
              <w:spacing w:line="280"/>
            </w:pPr>
            <w:r>
              <w:rPr>
                <w:rFonts w:ascii="Cambria" w:cs="Cambria" w:eastAsia="Cambria" w:hAnsi="Cambria"/>
                <w:color w:val="FFFFFF"/>
                <w:sz w:val="21"/>
                <w:szCs w:val="21"/>
              </w:rPr>
              <w:t xml:space="preserve">Practicar, en tres ejercicios cortos, cómo elegir </w:t>
            </w:r>
            <w:r>
              <w:rPr>
                <w:rFonts w:ascii="Consolas" w:cs="Consolas" w:eastAsia="Consolas" w:hAnsi="Consolas"/>
                <w:color w:val="FFFFFF"/>
                <w:sz w:val="19"/>
                <w:szCs w:val="19"/>
              </w:rPr>
              <w:t xml:space="preserve">eps</w:t>
            </w:r>
            <w:r>
              <w:rPr>
                <w:rFonts w:ascii="Cambria" w:cs="Cambria" w:eastAsia="Cambria" w:hAnsi="Cambria"/>
                <w:color w:val="FFFFFF"/>
                <w:sz w:val="21"/>
                <w:szCs w:val="21"/>
              </w:rPr>
              <w:t xml:space="preserve"> en DBSCAN con el gráfico de k-distancia, cómo comparar una segmentación jerárquica (Ward) con DBSCAN sobre los mismos datos, y cómo marcar y perfilar con Isolation Forest el 1 % de transacciones más anómalas, con su costo de revisión expresado en libras esterlinas.</w:t>
            </w:r>
          </w:p>
        </w:tc>
      </w:tr>
    </w:tbl>
    <w:p>
      <w:pPr>
        <w:spacing w:after="200"/>
      </w:pPr>
    </w:p>
    <w:p>
      <w:pPr>
        <w:keepNext/>
        <w:spacing w:after="110" w:before="240"/>
      </w:pPr>
      <w:r>
        <w:rPr>
          <w:rFonts w:ascii="Calibri" w:cs="Calibri" w:eastAsia="Calibri" w:hAnsi="Calibri"/>
          <w:b/>
          <w:bCs/>
          <w:color w:val="7A1526"/>
          <w:sz w:val="21"/>
          <w:szCs w:val="21"/>
        </w:rPr>
        <w:t xml:space="preserve">Contenido</w:t>
      </w:r>
    </w:p>
    <w:tbl>
      <w:tblPr>
        <w:tblW w:type="dxa" w:w="1008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500"/>
        <w:gridCol w:w="6180"/>
        <w:gridCol w:w="2400"/>
      </w:tblGrid>
      <w:tr>
        <w:tc>
          <w:tcPr>
            <w:tcW w:type="dxa" w:w="1500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FFFFF" w:color="auto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7A1526"/>
                <w:sz w:val="17"/>
                <w:szCs w:val="17"/>
              </w:rPr>
              <w:t xml:space="preserve">Drill 1</w:t>
            </w:r>
          </w:p>
        </w:tc>
        <w:tc>
          <w:tcPr>
            <w:tcW w:type="dxa" w:w="6180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FFFFF" w:color="auto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Cambria" w:cs="Cambria" w:eastAsia="Cambria" w:hAnsi="Cambria"/>
                <w:color w:val="2D2D2D"/>
                <w:sz w:val="19"/>
                <w:szCs w:val="19"/>
              </w:rPr>
              <w:t xml:space="preserve">Elegir eps en DBSCAN con el gráfico de distancias a los k-vecinos</w:t>
            </w:r>
          </w:p>
        </w:tc>
        <w:tc>
          <w:tcPr>
            <w:tcW w:type="dxa" w:w="2400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FFFFF" w:color="auto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color w:val="6E6E6E"/>
                <w:sz w:val="17"/>
                <w:szCs w:val="17"/>
              </w:rPr>
              <w:t xml:space="preserve">—</w:t>
            </w:r>
          </w:p>
        </w:tc>
      </w:tr>
      <w:tr>
        <w:tc>
          <w:tcPr>
            <w:tcW w:type="dxa" w:w="1500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BEFF1" w:color="auto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7A1526"/>
                <w:sz w:val="17"/>
                <w:szCs w:val="17"/>
              </w:rPr>
              <w:t xml:space="preserve">Drill 2</w:t>
            </w:r>
          </w:p>
        </w:tc>
        <w:tc>
          <w:tcPr>
            <w:tcW w:type="dxa" w:w="6180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BEFF1" w:color="auto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Cambria" w:cs="Cambria" w:eastAsia="Cambria" w:hAnsi="Cambria"/>
                <w:color w:val="2D2D2D"/>
                <w:sz w:val="19"/>
                <w:szCs w:val="19"/>
              </w:rPr>
              <w:t xml:space="preserve">Comparar segmentación jerárquica (Ward) vs. DBSCAN sobre los mismos datos</w:t>
            </w:r>
          </w:p>
        </w:tc>
        <w:tc>
          <w:tcPr>
            <w:tcW w:type="dxa" w:w="2400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BEFF1" w:color="auto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color w:val="6E6E6E"/>
                <w:sz w:val="17"/>
                <w:szCs w:val="17"/>
              </w:rPr>
              <w:t xml:space="preserve">—</w:t>
            </w:r>
          </w:p>
        </w:tc>
      </w:tr>
      <w:tr>
        <w:tc>
          <w:tcPr>
            <w:tcW w:type="dxa" w:w="1500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FFFFF" w:color="auto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7A1526"/>
                <w:sz w:val="17"/>
                <w:szCs w:val="17"/>
              </w:rPr>
              <w:t xml:space="preserve">Drill 3</w:t>
            </w:r>
          </w:p>
        </w:tc>
        <w:tc>
          <w:tcPr>
            <w:tcW w:type="dxa" w:w="6180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FFFFF" w:color="auto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Cambria" w:cs="Cambria" w:eastAsia="Cambria" w:hAnsi="Cambria"/>
                <w:color w:val="2D2D2D"/>
                <w:sz w:val="19"/>
                <w:szCs w:val="19"/>
              </w:rPr>
              <w:t xml:space="preserve">Marcar el 1 % de transacciones más anómalas con Isolation Forest y perfilarlas</w:t>
            </w:r>
          </w:p>
        </w:tc>
        <w:tc>
          <w:tcPr>
            <w:tcW w:type="dxa" w:w="2400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FFFFF" w:color="auto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color w:val="6E6E6E"/>
                <w:sz w:val="17"/>
                <w:szCs w:val="17"/>
              </w:rPr>
              <w:t xml:space="preserve">—</w:t>
            </w:r>
          </w:p>
        </w:tc>
      </w:tr>
    </w:tbl>
    <w:p>
      <w:pPr>
        <w:spacing w:after="220"/>
      </w:pPr>
    </w:p>
    <w:p>
      <w:pPr>
        <w:keepNext/>
        <w:spacing w:after="60" w:before="120"/>
      </w:pPr>
      <w:r>
        <w:rPr>
          <w:rFonts w:ascii="Calibri" w:cs="Calibri" w:eastAsia="Calibri" w:hAnsi="Calibri"/>
          <w:b/>
          <w:bCs/>
          <w:color w:val="7A1526"/>
          <w:sz w:val="24"/>
          <w:szCs w:val="24"/>
        </w:rPr>
        <w:t xml:space="preserve">1.  </w:t>
      </w:r>
      <w:r>
        <w:rPr>
          <w:rFonts w:ascii="Calibri" w:cs="Calibri" w:eastAsia="Calibri" w:hAnsi="Calibri"/>
          <w:b/>
          <w:bCs/>
          <w:color w:val="7A1526"/>
          <w:spacing w:val="20"/>
          <w:sz w:val="24"/>
          <w:szCs w:val="24"/>
        </w:rPr>
        <w:t xml:space="preserve">DRILL 1 — ELEGIR EPS EN DBSCAN CON EL GRÁFICO DE DISTANCIAS A LOS K-VECINOS</w:t>
      </w:r>
    </w:p>
    <w:p>
      <w:pPr>
        <w:keepNext/>
        <w:pBdr>
          <w:bottom w:val="single" w:color="E4002B" w:sz="14" w:space="8"/>
        </w:pBdr>
        <w:spacing w:after="140"/>
      </w:pPr>
      <w:r>
        <w:rPr>
          <w:rFonts w:ascii="Cambria" w:cs="Cambria" w:eastAsia="Cambria" w:hAnsi="Cambria"/>
          <w:i/>
          <w:iCs/>
          <w:color w:val="6E6E6E"/>
          <w:sz w:val="19"/>
          <w:szCs w:val="19"/>
        </w:rPr>
        <w:t xml:space="preserve">Ejercicio de práctica, en parejas</w:t>
      </w:r>
      <w:r>
        <w:rPr>
          <w:rFonts w:ascii="Cambria" w:cs="Cambria" w:eastAsia="Cambria" w:hAnsi="Cambria"/>
          <w:b/>
          <w:bCs/>
          <w:color w:val="7A1526"/>
          <w:sz w:val="19"/>
          <w:szCs w:val="19"/>
        </w:rPr>
        <w:t xml:space="preserve"/>
      </w:r>
    </w:p>
    <w:p>
      <w:pPr>
        <w:spacing w:line="270"/>
      </w:pPr>
      <w:r>
        <w:rPr>
          <w:rFonts w:ascii="Cambria" w:cs="Cambria" w:eastAsia="Cambria" w:hAnsi="Cambria"/>
          <w:color w:val="2D2D2D"/>
          <w:sz w:val="20"/>
          <w:szCs w:val="20"/>
        </w:rPr>
        <w:t xml:space="preserve">Sobre la muestra estandarizada (1 500 puntos, 6 variables), se fija </w:t>
      </w:r>
      <w:r>
        <w:rPr>
          <w:rFonts w:ascii="Consolas" w:cs="Consolas" w:eastAsia="Consolas" w:hAnsi="Consolas"/>
          <w:color w:val="7A1526"/>
          <w:sz w:val="18"/>
          <w:szCs w:val="18"/>
        </w:rPr>
        <w:t xml:space="preserve">min_samples = 10</w:t>
      </w:r>
      <w:r>
        <w:rPr>
          <w:rFonts w:ascii="Cambria" w:cs="Cambria" w:eastAsia="Cambria" w:hAnsi="Cambria"/>
          <w:color w:val="2D2D2D"/>
          <w:sz w:val="20"/>
          <w:szCs w:val="20"/>
        </w:rPr>
        <w:t xml:space="preserve"> y se construye el </w:t>
      </w:r>
      <w:r>
        <w:rPr>
          <w:rFonts w:ascii="Cambria" w:cs="Cambria" w:eastAsia="Cambria" w:hAnsi="Cambria"/>
          <w:b/>
          <w:bCs/>
          <w:color w:val="2D2D2D"/>
          <w:sz w:val="20"/>
          <w:szCs w:val="20"/>
        </w:rPr>
        <w:t xml:space="preserve">gráfico de k-distancia</w:t>
      </w:r>
      <w:r>
        <w:rPr>
          <w:rFonts w:ascii="Cambria" w:cs="Cambria" w:eastAsia="Cambria" w:hAnsi="Cambria"/>
          <w:color w:val="2D2D2D"/>
          <w:sz w:val="20"/>
          <w:szCs w:val="20"/>
        </w:rPr>
        <w:t xml:space="preserve">: para cada punto se calcula la distancia a su </w:t>
      </w:r>
      <w:r>
        <w:rPr>
          <w:rFonts w:ascii="Cambria" w:cs="Cambria" w:eastAsia="Cambria" w:hAnsi="Cambria"/>
          <w:b/>
          <w:bCs/>
          <w:color w:val="2D2D2D"/>
          <w:sz w:val="20"/>
          <w:szCs w:val="20"/>
        </w:rPr>
        <w:t xml:space="preserve">10.º vecino más cercano</w:t>
      </w:r>
      <w:r>
        <w:rPr>
          <w:rFonts w:ascii="Cambria" w:cs="Cambria" w:eastAsia="Cambria" w:hAnsi="Cambria"/>
          <w:color w:val="2D2D2D"/>
          <w:sz w:val="20"/>
          <w:szCs w:val="20"/>
        </w:rPr>
        <w:t xml:space="preserve"> (</w:t>
      </w:r>
      <w:r>
        <w:rPr>
          <w:rFonts w:ascii="Consolas" w:cs="Consolas" w:eastAsia="Consolas" w:hAnsi="Consolas"/>
          <w:color w:val="7A1526"/>
          <w:sz w:val="18"/>
          <w:szCs w:val="18"/>
        </w:rPr>
        <w:t xml:space="preserve">NearestNeighbors(n_neighbors=10)</w:t>
      </w:r>
      <w:r>
        <w:rPr>
          <w:rFonts w:ascii="Cambria" w:cs="Cambria" w:eastAsia="Cambria" w:hAnsi="Cambria"/>
          <w:color w:val="2D2D2D"/>
          <w:sz w:val="20"/>
          <w:szCs w:val="20"/>
        </w:rPr>
        <w:t xml:space="preserve">), se ordenan esas distancias de menor a mayor y se grafican. La distancia entre dos puntos es la </w:t>
      </w:r>
      <w:r>
        <w:rPr>
          <w:rFonts w:ascii="Cambria" w:cs="Cambria" w:eastAsia="Cambria" w:hAnsi="Cambria"/>
          <w:b/>
          <w:bCs/>
          <w:color w:val="2D2D2D"/>
          <w:sz w:val="20"/>
          <w:szCs w:val="20"/>
        </w:rPr>
        <w:t xml:space="preserve">euclidiana</w:t>
      </w:r>
      <w:r>
        <w:rPr>
          <w:rFonts w:ascii="Cambria" w:cs="Cambria" w:eastAsia="Cambria" w:hAnsi="Cambria"/>
          <w:color w:val="2D2D2D"/>
          <w:sz w:val="20"/>
          <w:szCs w:val="20"/>
        </w:rPr>
        <w:t xml:space="preserve"> </w:t>
      </w:r>
      <w:r>
        <w:rPr>
          <w:rFonts w:ascii="Consolas" w:cs="Consolas" w:eastAsia="Consolas" w:hAnsi="Consolas"/>
          <w:color w:val="7A1526"/>
          <w:sz w:val="18"/>
          <w:szCs w:val="18"/>
        </w:rPr>
        <w:t xml:space="preserve">d(xi,xi') = √(Σj (xij − xi'j)²)</w:t>
      </w:r>
      <w:r>
        <w:rPr>
          <w:rFonts w:ascii="Cambria" w:cs="Cambria" w:eastAsia="Cambria" w:hAnsi="Cambria"/>
          <w:color w:val="2D2D2D"/>
          <w:sz w:val="20"/>
          <w:szCs w:val="20"/>
        </w:rPr>
        <w:t xml:space="preserve"> (por eso hay que estandarizar antes). La tabla resume la curva en puntos representativos (porcentaje de puntos con k-distancia </w:t>
      </w:r>
      <w:r>
        <w:rPr>
          <w:rFonts w:ascii="Calibri" w:cs="Calibri" w:eastAsia="Calibri" w:hAnsi="Calibri"/>
          <w:color w:val="2D2D2D"/>
          <w:sz w:val="20"/>
          <w:szCs w:val="20"/>
        </w:rPr>
        <w:t xml:space="preserve">≤</w:t>
      </w:r>
      <w:r>
        <w:rPr>
          <w:rFonts w:ascii="Cambria" w:cs="Cambria" w:eastAsia="Cambria" w:hAnsi="Cambria"/>
          <w:color w:val="2D2D2D"/>
          <w:sz w:val="20"/>
          <w:szCs w:val="20"/>
        </w:rPr>
        <w:t xml:space="preserve"> el valor):</w:t>
      </w:r>
    </w:p>
    <w:p>
      <w:pPr>
        <w:spacing w:after="220"/>
      </w:pPr>
    </w:p>
    <w:tbl>
      <w:tblPr>
        <w:tblW w:type="dxa" w:w="1008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16"/>
        <w:gridCol w:w="916"/>
        <w:gridCol w:w="916"/>
        <w:gridCol w:w="916"/>
        <w:gridCol w:w="916"/>
        <w:gridCol w:w="916"/>
        <w:gridCol w:w="916"/>
        <w:gridCol w:w="916"/>
        <w:gridCol w:w="916"/>
        <w:gridCol w:w="916"/>
        <w:gridCol w:w="920"/>
      </w:tblGrid>
      <w:tr>
        <w:trPr>
          <w:tblHeader/>
        </w:trPr>
        <w:tc>
          <w:tcPr>
            <w:tcW w:type="dxa" w:w="91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3D4450" w:color="auto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5"/>
                <w:szCs w:val="15"/>
              </w:rPr>
              <w:t xml:space="preserve">% de puntos</w:t>
            </w:r>
          </w:p>
        </w:tc>
        <w:tc>
          <w:tcPr>
            <w:tcW w:type="dxa" w:w="91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3D4450" w:color="auto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5"/>
                <w:szCs w:val="15"/>
              </w:rPr>
              <w:t xml:space="preserve">50 %</w:t>
            </w:r>
          </w:p>
        </w:tc>
        <w:tc>
          <w:tcPr>
            <w:tcW w:type="dxa" w:w="91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3D4450" w:color="auto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5"/>
                <w:szCs w:val="15"/>
              </w:rPr>
              <w:t xml:space="preserve">70 %</w:t>
            </w:r>
          </w:p>
        </w:tc>
        <w:tc>
          <w:tcPr>
            <w:tcW w:type="dxa" w:w="91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3D4450" w:color="auto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5"/>
                <w:szCs w:val="15"/>
              </w:rPr>
              <w:t xml:space="preserve">80 %</w:t>
            </w:r>
          </w:p>
        </w:tc>
        <w:tc>
          <w:tcPr>
            <w:tcW w:type="dxa" w:w="91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3D4450" w:color="auto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5"/>
                <w:szCs w:val="15"/>
              </w:rPr>
              <w:t xml:space="preserve">85 %</w:t>
            </w:r>
          </w:p>
        </w:tc>
        <w:tc>
          <w:tcPr>
            <w:tcW w:type="dxa" w:w="91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3D4450" w:color="auto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5"/>
                <w:szCs w:val="15"/>
              </w:rPr>
              <w:t xml:space="preserve">90 %</w:t>
            </w:r>
          </w:p>
        </w:tc>
        <w:tc>
          <w:tcPr>
            <w:tcW w:type="dxa" w:w="91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3D4450" w:color="auto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5"/>
                <w:szCs w:val="15"/>
              </w:rPr>
              <w:t xml:space="preserve">95 %</w:t>
            </w:r>
          </w:p>
        </w:tc>
        <w:tc>
          <w:tcPr>
            <w:tcW w:type="dxa" w:w="91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3D4450" w:color="auto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5"/>
                <w:szCs w:val="15"/>
              </w:rPr>
              <w:t xml:space="preserve">97 %</w:t>
            </w:r>
          </w:p>
        </w:tc>
        <w:tc>
          <w:tcPr>
            <w:tcW w:type="dxa" w:w="91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3D4450" w:color="auto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5"/>
                <w:szCs w:val="15"/>
              </w:rPr>
              <w:t xml:space="preserve">98 %</w:t>
            </w:r>
          </w:p>
        </w:tc>
        <w:tc>
          <w:tcPr>
            <w:tcW w:type="dxa" w:w="91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3D4450" w:color="auto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5"/>
                <w:szCs w:val="15"/>
              </w:rPr>
              <w:t xml:space="preserve">99 %</w:t>
            </w:r>
          </w:p>
        </w:tc>
        <w:tc>
          <w:tcPr>
            <w:tcW w:type="dxa" w:w="9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3D4450" w:color="auto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5"/>
                <w:szCs w:val="15"/>
              </w:rPr>
              <w:t xml:space="preserve">100 %</w:t>
            </w:r>
          </w:p>
        </w:tc>
      </w:tr>
      <w:tr>
        <w:tc>
          <w:tcPr>
            <w:tcW w:type="dxa" w:w="916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FFFFF" w:color="auto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7A1526"/>
                <w:sz w:val="18"/>
                <w:szCs w:val="18"/>
              </w:rPr>
              <w:t xml:space="preserve">Valor</w:t>
            </w:r>
          </w:p>
        </w:tc>
        <w:tc>
          <w:tcPr>
            <w:tcW w:type="dxa" w:w="916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FFFFF" w:color="auto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D2D2D"/>
                <w:sz w:val="18"/>
                <w:szCs w:val="18"/>
              </w:rPr>
              <w:t xml:space="preserve">0.39</w:t>
            </w:r>
          </w:p>
        </w:tc>
        <w:tc>
          <w:tcPr>
            <w:tcW w:type="dxa" w:w="916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FFFFF" w:color="auto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D2D2D"/>
                <w:sz w:val="18"/>
                <w:szCs w:val="18"/>
              </w:rPr>
              <w:t xml:space="preserve">0.55</w:t>
            </w:r>
          </w:p>
        </w:tc>
        <w:tc>
          <w:tcPr>
            <w:tcW w:type="dxa" w:w="916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FFFFF" w:color="auto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D2D2D"/>
                <w:sz w:val="18"/>
                <w:szCs w:val="18"/>
              </w:rPr>
              <w:t xml:space="preserve">0.69</w:t>
            </w:r>
          </w:p>
        </w:tc>
        <w:tc>
          <w:tcPr>
            <w:tcW w:type="dxa" w:w="916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FFFFF" w:color="auto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D2D2D"/>
                <w:sz w:val="18"/>
                <w:szCs w:val="18"/>
              </w:rPr>
              <w:t xml:space="preserve">0.79</w:t>
            </w:r>
          </w:p>
        </w:tc>
        <w:tc>
          <w:tcPr>
            <w:tcW w:type="dxa" w:w="916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FFFFF" w:color="auto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D2D2D"/>
                <w:sz w:val="18"/>
                <w:szCs w:val="18"/>
              </w:rPr>
              <w:t xml:space="preserve">0.93</w:t>
            </w:r>
          </w:p>
        </w:tc>
        <w:tc>
          <w:tcPr>
            <w:tcW w:type="dxa" w:w="916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FFFFF" w:color="auto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D2D2D"/>
                <w:sz w:val="18"/>
                <w:szCs w:val="18"/>
              </w:rPr>
              <w:t xml:space="preserve">1.26</w:t>
            </w:r>
          </w:p>
        </w:tc>
        <w:tc>
          <w:tcPr>
            <w:tcW w:type="dxa" w:w="916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FFFFF" w:color="auto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D2D2D"/>
                <w:sz w:val="18"/>
                <w:szCs w:val="18"/>
              </w:rPr>
              <w:t xml:space="preserve">1.52</w:t>
            </w:r>
          </w:p>
        </w:tc>
        <w:tc>
          <w:tcPr>
            <w:tcW w:type="dxa" w:w="916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FFFFF" w:color="auto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D2D2D"/>
                <w:sz w:val="18"/>
                <w:szCs w:val="18"/>
              </w:rPr>
              <w:t xml:space="preserve">1.87</w:t>
            </w:r>
          </w:p>
        </w:tc>
        <w:tc>
          <w:tcPr>
            <w:tcW w:type="dxa" w:w="916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FFFFF" w:color="auto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D2D2D"/>
                <w:sz w:val="18"/>
                <w:szCs w:val="18"/>
              </w:rPr>
              <w:t xml:space="preserve">2.83</w:t>
            </w:r>
          </w:p>
        </w:tc>
        <w:tc>
          <w:tcPr>
            <w:tcW w:type="dxa" w:w="920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FFFFF" w:color="auto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D2D2D"/>
                <w:sz w:val="18"/>
                <w:szCs w:val="18"/>
              </w:rPr>
              <w:t xml:space="preserve">22.98</w:t>
            </w:r>
          </w:p>
        </w:tc>
      </w:tr>
    </w:tbl>
    <w:p>
      <w:pPr>
        <w:spacing w:after="220"/>
      </w:pPr>
    </w:p>
    <w:p>
      <w:pPr>
        <w:spacing w:line="270"/>
      </w:pPr>
      <w:r>
        <w:rPr>
          <w:rFonts w:ascii="Cambria" w:cs="Cambria" w:eastAsia="Cambria" w:hAnsi="Cambria"/>
          <w:color w:val="2D2D2D"/>
          <w:sz w:val="20"/>
          <w:szCs w:val="20"/>
        </w:rPr>
        <w:t xml:space="preserve">Se pide:</w:t>
      </w:r>
    </w:p>
    <w:tbl>
      <w:tblPr>
        <w:tblW w:type="dxa" w:w="1008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700"/>
        <w:gridCol w:w="9380"/>
      </w:tblGrid>
      <w:tr>
        <w:tc>
          <w:tcPr>
            <w:tcW w:type="dxa" w:w="700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FFFFF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7A1526"/>
                <w:sz w:val="20"/>
                <w:szCs w:val="20"/>
              </w:rPr>
              <w:t xml:space="preserve">1.</w:t>
            </w:r>
          </w:p>
        </w:tc>
        <w:tc>
          <w:tcPr>
            <w:tcW w:type="dxa" w:w="9380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FFFFF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line="265"/>
            </w:pPr>
            <w:r>
              <w:rPr>
                <w:rFonts w:ascii="Cambria" w:cs="Cambria" w:eastAsia="Cambria" w:hAnsi="Cambria"/>
                <w:color w:val="2D2D2D"/>
                <w:sz w:val="19"/>
                <w:szCs w:val="19"/>
              </w:rPr>
              <w:t xml:space="preserve">Describir la forma de la curva de k-distancia: ¿en qué tramo crece </w:t>
            </w:r>
            <w:r>
              <w:rPr>
                <w:rFonts w:ascii="Cambria" w:cs="Cambria" w:eastAsia="Cambria" w:hAnsi="Cambria"/>
                <w:b/>
                <w:bCs/>
                <w:color w:val="2D2D2D"/>
                <w:sz w:val="19"/>
                <w:szCs w:val="19"/>
              </w:rPr>
              <w:t xml:space="preserve">de forma gradual</w:t>
            </w:r>
            <w:r>
              <w:rPr>
                <w:rFonts w:ascii="Cambria" w:cs="Cambria" w:eastAsia="Cambria" w:hAnsi="Cambria"/>
                <w:color w:val="2D2D2D"/>
                <w:sz w:val="19"/>
                <w:szCs w:val="19"/>
              </w:rPr>
              <w:t xml:space="preserve"> y a partir de qué valor </w:t>
            </w:r>
            <w:r>
              <w:rPr>
                <w:rFonts w:ascii="Cambria" w:cs="Cambria" w:eastAsia="Cambria" w:hAnsi="Cambria"/>
                <w:b/>
                <w:bCs/>
                <w:color w:val="2D2D2D"/>
                <w:sz w:val="19"/>
                <w:szCs w:val="19"/>
              </w:rPr>
              <w:t xml:space="preserve">aumenta de forma pronunciada</w:t>
            </w:r>
            <w:r>
              <w:rPr>
                <w:rFonts w:ascii="Cambria" w:cs="Cambria" w:eastAsia="Cambria" w:hAnsi="Cambria"/>
                <w:color w:val="2D2D2D"/>
                <w:sz w:val="19"/>
                <w:szCs w:val="19"/>
              </w:rPr>
              <w:t xml:space="preserve"> (el "codo" o "rodilla")? Indicar un valor de </w:t>
            </w:r>
            <w:r>
              <w:rPr>
                <w:rFonts w:ascii="Consolas" w:cs="Consolas" w:eastAsia="Consolas" w:hAnsi="Consolas"/>
                <w:color w:val="7A1526"/>
                <w:sz w:val="17"/>
                <w:szCs w:val="17"/>
              </w:rPr>
              <w:t xml:space="preserve">eps</w:t>
            </w:r>
            <w:r>
              <w:rPr>
                <w:rFonts w:ascii="Cambria" w:cs="Cambria" w:eastAsia="Cambria" w:hAnsi="Cambria"/>
                <w:color w:val="2D2D2D"/>
                <w:sz w:val="19"/>
                <w:szCs w:val="19"/>
              </w:rPr>
              <w:t xml:space="preserve"> en el codo y justificarlo con la tabla. </w:t>
            </w:r>
            <w:r>
              <w:rPr>
                <w:rFonts w:ascii="Cambria" w:cs="Cambria" w:eastAsia="Cambria" w:hAnsi="Cambria"/>
                <w:i/>
                <w:iCs/>
                <w:color w:val="2D2D2D"/>
                <w:sz w:val="19"/>
                <w:szCs w:val="19"/>
              </w:rPr>
              <w:t xml:space="preserve">(Pista: el codo separa los puntos en zonas densas —distancias pequeñas— de los puntos en zonas ralas/ruido —distancias grandes—.)</w:t>
            </w:r>
          </w:p>
        </w:tc>
      </w:tr>
      <w:tr>
        <w:tc>
          <w:tcPr>
            <w:tcW w:type="dxa" w:w="700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BEFF1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7A1526"/>
                <w:sz w:val="20"/>
                <w:szCs w:val="20"/>
              </w:rPr>
              <w:t xml:space="preserve">2.</w:t>
            </w:r>
          </w:p>
        </w:tc>
        <w:tc>
          <w:tcPr>
            <w:tcW w:type="dxa" w:w="9380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BEFF1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line="265"/>
            </w:pPr>
            <w:r>
              <w:rPr>
                <w:rFonts w:ascii="Cambria" w:cs="Cambria" w:eastAsia="Cambria" w:hAnsi="Cambria"/>
                <w:color w:val="2D2D2D"/>
                <w:sz w:val="19"/>
                <w:szCs w:val="19"/>
              </w:rPr>
              <w:t xml:space="preserve">Con el </w:t>
            </w:r>
            <w:r>
              <w:rPr>
                <w:rFonts w:ascii="Consolas" w:cs="Consolas" w:eastAsia="Consolas" w:hAnsi="Consolas"/>
                <w:color w:val="7A1526"/>
                <w:sz w:val="17"/>
                <w:szCs w:val="17"/>
              </w:rPr>
              <w:t xml:space="preserve">eps</w:t>
            </w:r>
            <w:r>
              <w:rPr>
                <w:rFonts w:ascii="Cambria" w:cs="Cambria" w:eastAsia="Cambria" w:hAnsi="Cambria"/>
                <w:color w:val="2D2D2D"/>
                <w:sz w:val="19"/>
                <w:szCs w:val="19"/>
              </w:rPr>
              <w:t xml:space="preserve"> elegido y </w:t>
            </w:r>
            <w:r>
              <w:rPr>
                <w:rFonts w:ascii="Consolas" w:cs="Consolas" w:eastAsia="Consolas" w:hAnsi="Consolas"/>
                <w:color w:val="7A1526"/>
                <w:sz w:val="17"/>
                <w:szCs w:val="17"/>
              </w:rPr>
              <w:t xml:space="preserve">min_samples = 10</w:t>
            </w:r>
            <w:r>
              <w:rPr>
                <w:rFonts w:ascii="Cambria" w:cs="Cambria" w:eastAsia="Cambria" w:hAnsi="Cambria"/>
                <w:color w:val="2D2D2D"/>
                <w:sz w:val="19"/>
                <w:szCs w:val="19"/>
              </w:rPr>
              <w:t xml:space="preserve">, ¿qué se espera que ocurra si en cambio se toma un </w:t>
            </w:r>
            <w:r>
              <w:rPr>
                <w:rFonts w:ascii="Consolas" w:cs="Consolas" w:eastAsia="Consolas" w:hAnsi="Consolas"/>
                <w:color w:val="7A1526"/>
                <w:sz w:val="17"/>
                <w:szCs w:val="17"/>
              </w:rPr>
              <w:t xml:space="preserve">eps</w:t>
            </w:r>
            <w:r>
              <w:rPr>
                <w:rFonts w:ascii="Cambria" w:cs="Cambria" w:eastAsia="Cambria" w:hAnsi="Cambria"/>
                <w:color w:val="2D2D2D"/>
                <w:sz w:val="19"/>
                <w:szCs w:val="19"/>
              </w:rPr>
              <w:t xml:space="preserve"> </w:t>
            </w:r>
            <w:r>
              <w:rPr>
                <w:rFonts w:ascii="Cambria" w:cs="Cambria" w:eastAsia="Cambria" w:hAnsi="Cambria"/>
                <w:b/>
                <w:bCs/>
                <w:color w:val="2D2D2D"/>
                <w:sz w:val="19"/>
                <w:szCs w:val="19"/>
              </w:rPr>
              <w:t xml:space="preserve">mucho más pequeño</w:t>
            </w:r>
            <w:r>
              <w:rPr>
                <w:rFonts w:ascii="Cambria" w:cs="Cambria" w:eastAsia="Cambria" w:hAnsi="Cambria"/>
                <w:color w:val="2D2D2D"/>
                <w:sz w:val="19"/>
                <w:szCs w:val="19"/>
              </w:rPr>
              <w:t xml:space="preserve"> (p. ej. 0.3) y qué si se toma </w:t>
            </w:r>
            <w:r>
              <w:rPr>
                <w:rFonts w:ascii="Cambria" w:cs="Cambria" w:eastAsia="Cambria" w:hAnsi="Cambria"/>
                <w:b/>
                <w:bCs/>
                <w:color w:val="2D2D2D"/>
                <w:sz w:val="19"/>
                <w:szCs w:val="19"/>
              </w:rPr>
              <w:t xml:space="preserve">mucho más grande</w:t>
            </w:r>
            <w:r>
              <w:rPr>
                <w:rFonts w:ascii="Cambria" w:cs="Cambria" w:eastAsia="Cambria" w:hAnsi="Cambria"/>
                <w:color w:val="2D2D2D"/>
                <w:sz w:val="19"/>
                <w:szCs w:val="19"/>
              </w:rPr>
              <w:t xml:space="preserve"> (p. ej. 1.5)? Relacionar cada extremo con la </w:t>
            </w:r>
            <w:r>
              <w:rPr>
                <w:rFonts w:ascii="Cambria" w:cs="Cambria" w:eastAsia="Cambria" w:hAnsi="Cambria"/>
                <w:b/>
                <w:bCs/>
                <w:color w:val="2D2D2D"/>
                <w:sz w:val="19"/>
                <w:szCs w:val="19"/>
              </w:rPr>
              <w:t xml:space="preserve">proporción de puntos etiquetados −1</w:t>
            </w:r>
            <w:r>
              <w:rPr>
                <w:rFonts w:ascii="Cambria" w:cs="Cambria" w:eastAsia="Cambria" w:hAnsi="Cambria"/>
                <w:color w:val="2D2D2D"/>
                <w:sz w:val="19"/>
                <w:szCs w:val="19"/>
              </w:rPr>
              <w:t xml:space="preserve"> (ruido) y con el número de clusters resultante.</w:t>
            </w:r>
          </w:p>
        </w:tc>
      </w:tr>
      <w:tr>
        <w:tc>
          <w:tcPr>
            <w:tcW w:type="dxa" w:w="700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FFFFF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7A1526"/>
                <w:sz w:val="20"/>
                <w:szCs w:val="20"/>
              </w:rPr>
              <w:t xml:space="preserve">3.</w:t>
            </w:r>
          </w:p>
        </w:tc>
        <w:tc>
          <w:tcPr>
            <w:tcW w:type="dxa" w:w="9380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FFFFF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line="265"/>
            </w:pPr>
            <w:r>
              <w:rPr>
                <w:rFonts w:ascii="Cambria" w:cs="Cambria" w:eastAsia="Cambria" w:hAnsi="Cambria"/>
                <w:color w:val="2D2D2D"/>
                <w:sz w:val="19"/>
                <w:szCs w:val="19"/>
              </w:rPr>
              <w:t xml:space="preserve">¿Por qué </w:t>
            </w:r>
            <w:r>
              <w:rPr>
                <w:rFonts w:ascii="Cambria" w:cs="Cambria" w:eastAsia="Cambria" w:hAnsi="Cambria"/>
                <w:b/>
                <w:bCs/>
                <w:color w:val="2D2D2D"/>
                <w:sz w:val="19"/>
                <w:szCs w:val="19"/>
              </w:rPr>
              <w:t xml:space="preserve">hay que estandarizar</w:t>
            </w:r>
            <w:r>
              <w:rPr>
                <w:rFonts w:ascii="Cambria" w:cs="Cambria" w:eastAsia="Cambria" w:hAnsi="Cambria"/>
                <w:color w:val="2D2D2D"/>
                <w:sz w:val="19"/>
                <w:szCs w:val="19"/>
              </w:rPr>
              <w:t xml:space="preserve"> las 6 variables antes de calcular la k-distancia? ¿Qué pasaría con el codo y con </w:t>
            </w:r>
            <w:r>
              <w:rPr>
                <w:rFonts w:ascii="Consolas" w:cs="Consolas" w:eastAsia="Consolas" w:hAnsi="Consolas"/>
                <w:color w:val="7A1526"/>
                <w:sz w:val="17"/>
                <w:szCs w:val="17"/>
              </w:rPr>
              <w:t xml:space="preserve">eps</w:t>
            </w:r>
            <w:r>
              <w:rPr>
                <w:rFonts w:ascii="Cambria" w:cs="Cambria" w:eastAsia="Cambria" w:hAnsi="Cambria"/>
                <w:color w:val="2D2D2D"/>
                <w:sz w:val="19"/>
                <w:szCs w:val="19"/>
              </w:rPr>
              <w:t xml:space="preserve"> si una variable estuviera en una escala numérica mucho mayor que las demás?</w:t>
            </w:r>
          </w:p>
        </w:tc>
      </w:tr>
      <w:tr>
        <w:tc>
          <w:tcPr>
            <w:tcW w:type="dxa" w:w="700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BEFF1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7A1526"/>
                <w:sz w:val="20"/>
                <w:szCs w:val="20"/>
              </w:rPr>
              <w:t xml:space="preserve">4.</w:t>
            </w:r>
          </w:p>
        </w:tc>
        <w:tc>
          <w:tcPr>
            <w:tcW w:type="dxa" w:w="9380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BEFF1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line="265"/>
            </w:pPr>
            <w:r>
              <w:rPr>
                <w:rFonts w:ascii="Cambria" w:cs="Cambria" w:eastAsia="Cambria" w:hAnsi="Cambria"/>
                <w:color w:val="2D2D2D"/>
                <w:sz w:val="19"/>
                <w:szCs w:val="19"/>
              </w:rPr>
              <w:t xml:space="preserve">Un compañero propone fijar </w:t>
            </w:r>
            <w:r>
              <w:rPr>
                <w:rFonts w:ascii="Consolas" w:cs="Consolas" w:eastAsia="Consolas" w:hAnsi="Consolas"/>
                <w:color w:val="7A1526"/>
                <w:sz w:val="17"/>
                <w:szCs w:val="17"/>
              </w:rPr>
              <w:t xml:space="preserve">min_samples = 2</w:t>
            </w:r>
            <w:r>
              <w:rPr>
                <w:rFonts w:ascii="Cambria" w:cs="Cambria" w:eastAsia="Cambria" w:hAnsi="Cambria"/>
                <w:color w:val="2D2D2D"/>
                <w:sz w:val="19"/>
                <w:szCs w:val="19"/>
              </w:rPr>
              <w:t xml:space="preserve">. Explicar cómo cambia eso el rol de la k-distancia (¿a qué vecino se mira?) y por qué un </w:t>
            </w:r>
            <w:r>
              <w:rPr>
                <w:rFonts w:ascii="Consolas" w:cs="Consolas" w:eastAsia="Consolas" w:hAnsi="Consolas"/>
                <w:color w:val="7A1526"/>
                <w:sz w:val="17"/>
                <w:szCs w:val="17"/>
              </w:rPr>
              <w:t xml:space="preserve">min_samples</w:t>
            </w:r>
            <w:r>
              <w:rPr>
                <w:rFonts w:ascii="Cambria" w:cs="Cambria" w:eastAsia="Cambria" w:hAnsi="Cambria"/>
                <w:color w:val="2D2D2D"/>
                <w:sz w:val="19"/>
                <w:szCs w:val="19"/>
              </w:rPr>
              <w:t xml:space="preserve"> </w:t>
            </w:r>
            <w:r>
              <w:rPr>
                <w:rFonts w:ascii="Cambria" w:cs="Cambria" w:eastAsia="Cambria" w:hAnsi="Cambria"/>
                <w:b/>
                <w:bCs/>
                <w:color w:val="2D2D2D"/>
                <w:sz w:val="19"/>
                <w:szCs w:val="19"/>
              </w:rPr>
              <w:t xml:space="preserve">muy bajo</w:t>
            </w:r>
            <w:r>
              <w:rPr>
                <w:rFonts w:ascii="Cambria" w:cs="Cambria" w:eastAsia="Cambria" w:hAnsi="Cambria"/>
                <w:color w:val="2D2D2D"/>
                <w:sz w:val="19"/>
                <w:szCs w:val="19"/>
              </w:rPr>
              <w:t xml:space="preserve"> vuelve a DBSCAN frágil frente al ruido. ¿Qué regla práctica se suele usar para </w:t>
            </w:r>
            <w:r>
              <w:rPr>
                <w:rFonts w:ascii="Consolas" w:cs="Consolas" w:eastAsia="Consolas" w:hAnsi="Consolas"/>
                <w:color w:val="7A1526"/>
                <w:sz w:val="17"/>
                <w:szCs w:val="17"/>
              </w:rPr>
              <w:t xml:space="preserve">min_samples</w:t>
            </w:r>
            <w:r>
              <w:rPr>
                <w:rFonts w:ascii="Cambria" w:cs="Cambria" w:eastAsia="Cambria" w:hAnsi="Cambria"/>
                <w:color w:val="2D2D2D"/>
                <w:sz w:val="19"/>
                <w:szCs w:val="19"/>
              </w:rPr>
              <w:t xml:space="preserve"> en función del número de dimensiones?</w:t>
            </w:r>
          </w:p>
        </w:tc>
      </w:tr>
    </w:tbl>
    <w:p>
      <w:pPr>
        <w:keepNext/>
        <w:spacing w:after="60" w:before="120"/>
      </w:pPr>
      <w:r>
        <w:rPr>
          <w:rFonts w:ascii="Calibri" w:cs="Calibri" w:eastAsia="Calibri" w:hAnsi="Calibri"/>
          <w:b/>
          <w:bCs/>
          <w:color w:val="7A1526"/>
          <w:sz w:val="24"/>
          <w:szCs w:val="24"/>
        </w:rPr>
        <w:t xml:space="preserve">2.  </w:t>
      </w:r>
      <w:r>
        <w:rPr>
          <w:rFonts w:ascii="Calibri" w:cs="Calibri" w:eastAsia="Calibri" w:hAnsi="Calibri"/>
          <w:b/>
          <w:bCs/>
          <w:color w:val="7A1526"/>
          <w:spacing w:val="20"/>
          <w:sz w:val="24"/>
          <w:szCs w:val="24"/>
        </w:rPr>
        <w:t xml:space="preserve">DRILL 2 — COMPARAR SEGMENTACIÓN JERÁRQUICA (WARD) VS. DBSCAN SOBRE LOS MISMOS DATOS</w:t>
      </w:r>
    </w:p>
    <w:p>
      <w:pPr>
        <w:keepNext/>
        <w:pBdr>
          <w:bottom w:val="single" w:color="E4002B" w:sz="14" w:space="8"/>
        </w:pBdr>
        <w:spacing w:after="140"/>
      </w:pPr>
      <w:r>
        <w:rPr>
          <w:rFonts w:ascii="Cambria" w:cs="Cambria" w:eastAsia="Cambria" w:hAnsi="Cambria"/>
          <w:i/>
          <w:iCs/>
          <w:color w:val="6E6E6E"/>
          <w:sz w:val="19"/>
          <w:szCs w:val="19"/>
        </w:rPr>
        <w:t xml:space="preserve">Ejercicio de práctica, en parejas</w:t>
      </w:r>
      <w:r>
        <w:rPr>
          <w:rFonts w:ascii="Cambria" w:cs="Cambria" w:eastAsia="Cambria" w:hAnsi="Cambria"/>
          <w:b/>
          <w:bCs/>
          <w:color w:val="7A1526"/>
          <w:sz w:val="19"/>
          <w:szCs w:val="19"/>
        </w:rPr>
        <w:t xml:space="preserve"/>
      </w:r>
    </w:p>
    <w:p>
      <w:pPr>
        <w:spacing w:line="270"/>
      </w:pPr>
      <w:r>
        <w:rPr>
          <w:rFonts w:ascii="Cambria" w:cs="Cambria" w:eastAsia="Cambria" w:hAnsi="Cambria"/>
          <w:color w:val="2D2D2D"/>
          <w:sz w:val="20"/>
          <w:szCs w:val="20"/>
        </w:rPr>
        <w:t xml:space="preserve">Sobre la misma muestra del Drill 1 se ejecutan dos segmentaciones. (a) </w:t>
      </w:r>
      <w:r>
        <w:rPr>
          <w:rFonts w:ascii="Cambria" w:cs="Cambria" w:eastAsia="Cambria" w:hAnsi="Cambria"/>
          <w:b/>
          <w:bCs/>
          <w:color w:val="2D2D2D"/>
          <w:sz w:val="20"/>
          <w:szCs w:val="20"/>
        </w:rPr>
        <w:t xml:space="preserve">Clustering jerárquico</w:t>
      </w:r>
      <w:r>
        <w:rPr>
          <w:rFonts w:ascii="Cambria" w:cs="Cambria" w:eastAsia="Cambria" w:hAnsi="Cambria"/>
          <w:color w:val="2D2D2D"/>
          <w:sz w:val="20"/>
          <w:szCs w:val="20"/>
        </w:rPr>
        <w:t xml:space="preserve"> con enlace </w:t>
      </w:r>
      <w:r>
        <w:rPr>
          <w:rFonts w:ascii="Cambria" w:cs="Cambria" w:eastAsia="Cambria" w:hAnsi="Cambria"/>
          <w:b/>
          <w:bCs/>
          <w:color w:val="2D2D2D"/>
          <w:sz w:val="20"/>
          <w:szCs w:val="20"/>
        </w:rPr>
        <w:t xml:space="preserve">Ward</w:t>
      </w:r>
      <w:r>
        <w:rPr>
          <w:rFonts w:ascii="Cambria" w:cs="Cambria" w:eastAsia="Cambria" w:hAnsi="Cambria"/>
          <w:color w:val="2D2D2D"/>
          <w:sz w:val="20"/>
          <w:szCs w:val="20"/>
        </w:rPr>
        <w:t xml:space="preserve"> —que en cada fusión minimiza el incremento de la suma de cuadrados intra-cluster </w:t>
      </w:r>
      <w:r>
        <w:rPr>
          <w:rFonts w:ascii="Consolas" w:cs="Consolas" w:eastAsia="Consolas" w:hAnsi="Consolas"/>
          <w:color w:val="7A1526"/>
          <w:sz w:val="18"/>
          <w:szCs w:val="18"/>
        </w:rPr>
        <w:t xml:space="preserve">WCSS = Σk Σ(i∈Ck) ||xi − μk||²</w:t>
      </w:r>
      <w:r>
        <w:rPr>
          <w:rFonts w:ascii="Cambria" w:cs="Cambria" w:eastAsia="Cambria" w:hAnsi="Cambria"/>
          <w:color w:val="2D2D2D"/>
          <w:sz w:val="20"/>
          <w:szCs w:val="20"/>
        </w:rPr>
        <w:t xml:space="preserve">—; se evalúa la </w:t>
      </w:r>
      <w:r>
        <w:rPr>
          <w:rFonts w:ascii="Cambria" w:cs="Cambria" w:eastAsia="Cambria" w:hAnsi="Cambria"/>
          <w:b/>
          <w:bCs/>
          <w:color w:val="2D2D2D"/>
          <w:sz w:val="20"/>
          <w:szCs w:val="20"/>
        </w:rPr>
        <w:t xml:space="preserve">silueta media</w:t>
      </w:r>
      <w:r>
        <w:rPr>
          <w:rFonts w:ascii="Cambria" w:cs="Cambria" w:eastAsia="Cambria" w:hAnsi="Cambria"/>
          <w:color w:val="2D2D2D"/>
          <w:sz w:val="20"/>
          <w:szCs w:val="20"/>
        </w:rPr>
        <w:t xml:space="preserve"> s̄ = (1/n)·Σ si (con </w:t>
      </w:r>
      <w:r>
        <w:rPr>
          <w:rFonts w:ascii="Consolas" w:cs="Consolas" w:eastAsia="Consolas" w:hAnsi="Consolas"/>
          <w:color w:val="7A1526"/>
          <w:sz w:val="18"/>
          <w:szCs w:val="18"/>
        </w:rPr>
        <w:t xml:space="preserve">si = (bi − ai) / max(ai, bi)</w:t>
      </w:r>
      <w:r>
        <w:rPr>
          <w:rFonts w:ascii="Cambria" w:cs="Cambria" w:eastAsia="Cambria" w:hAnsi="Cambria"/>
          <w:color w:val="2D2D2D"/>
          <w:sz w:val="20"/>
          <w:szCs w:val="20"/>
        </w:rPr>
        <w:t xml:space="preserve">, cohesión ai vs. separación bi) para varios cortes del dendrograma:</w:t>
      </w:r>
    </w:p>
    <w:p>
      <w:pPr>
        <w:spacing w:after="220"/>
      </w:pPr>
    </w:p>
    <w:tbl>
      <w:tblPr>
        <w:tblW w:type="dxa" w:w="1008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680"/>
        <w:gridCol w:w="1680"/>
        <w:gridCol w:w="1680"/>
        <w:gridCol w:w="1680"/>
        <w:gridCol w:w="1680"/>
        <w:gridCol w:w="1680"/>
      </w:tblGrid>
      <w:tr>
        <w:trPr>
          <w:tblHeader/>
        </w:trPr>
        <w:tc>
          <w:tcPr>
            <w:tcW w:type="dxa" w:w="1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3D4450" w:color="auto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5"/>
                <w:szCs w:val="15"/>
              </w:rPr>
              <w:t xml:space="preserve">Nº de clusters (corte)</w:t>
            </w:r>
          </w:p>
        </w:tc>
        <w:tc>
          <w:tcPr>
            <w:tcW w:type="dxa" w:w="1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3D4450" w:color="auto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5"/>
                <w:szCs w:val="15"/>
              </w:rPr>
              <w:t xml:space="preserve">k=2</w:t>
            </w:r>
          </w:p>
        </w:tc>
        <w:tc>
          <w:tcPr>
            <w:tcW w:type="dxa" w:w="1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3D4450" w:color="auto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5"/>
                <w:szCs w:val="15"/>
              </w:rPr>
              <w:t xml:space="preserve">k=3</w:t>
            </w:r>
          </w:p>
        </w:tc>
        <w:tc>
          <w:tcPr>
            <w:tcW w:type="dxa" w:w="1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3D4450" w:color="auto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5"/>
                <w:szCs w:val="15"/>
              </w:rPr>
              <w:t xml:space="preserve">k=4</w:t>
            </w:r>
          </w:p>
        </w:tc>
        <w:tc>
          <w:tcPr>
            <w:tcW w:type="dxa" w:w="1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3D4450" w:color="auto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5"/>
                <w:szCs w:val="15"/>
              </w:rPr>
              <w:t xml:space="preserve">k=5</w:t>
            </w:r>
          </w:p>
        </w:tc>
        <w:tc>
          <w:tcPr>
            <w:tcW w:type="dxa" w:w="1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3D4450" w:color="auto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5"/>
                <w:szCs w:val="15"/>
              </w:rPr>
              <w:t xml:space="preserve">k=6</w:t>
            </w:r>
          </w:p>
        </w:tc>
      </w:tr>
      <w:tr>
        <w:tc>
          <w:tcPr>
            <w:tcW w:type="dxa" w:w="1680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FFFFF" w:color="auto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7A1526"/>
                <w:sz w:val="18"/>
                <w:szCs w:val="18"/>
              </w:rPr>
              <w:t xml:space="preserve">Silueta media</w:t>
            </w:r>
          </w:p>
        </w:tc>
        <w:tc>
          <w:tcPr>
            <w:tcW w:type="dxa" w:w="1680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FFFFF" w:color="auto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D2D2D"/>
                <w:sz w:val="18"/>
                <w:szCs w:val="18"/>
              </w:rPr>
              <w:t xml:space="preserve">0.476</w:t>
            </w:r>
          </w:p>
        </w:tc>
        <w:tc>
          <w:tcPr>
            <w:tcW w:type="dxa" w:w="1680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FFFFF" w:color="auto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D2D2D"/>
                <w:sz w:val="18"/>
                <w:szCs w:val="18"/>
              </w:rPr>
              <w:t xml:space="preserve">0.532</w:t>
            </w:r>
          </w:p>
        </w:tc>
        <w:tc>
          <w:tcPr>
            <w:tcW w:type="dxa" w:w="1680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FFFFF" w:color="auto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D2D2D"/>
                <w:sz w:val="18"/>
                <w:szCs w:val="18"/>
              </w:rPr>
              <w:t xml:space="preserve">0.542</w:t>
            </w:r>
          </w:p>
        </w:tc>
        <w:tc>
          <w:tcPr>
            <w:tcW w:type="dxa" w:w="1680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FFFFF" w:color="auto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D2D2D"/>
                <w:sz w:val="18"/>
                <w:szCs w:val="18"/>
              </w:rPr>
              <w:t xml:space="preserve">0.544</w:t>
            </w:r>
          </w:p>
        </w:tc>
        <w:tc>
          <w:tcPr>
            <w:tcW w:type="dxa" w:w="1680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FFFFF" w:color="auto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D2D2D"/>
                <w:sz w:val="18"/>
                <w:szCs w:val="18"/>
              </w:rPr>
              <w:t xml:space="preserve">0.556</w:t>
            </w:r>
          </w:p>
        </w:tc>
      </w:tr>
    </w:tbl>
    <w:p>
      <w:pPr>
        <w:spacing w:after="220"/>
      </w:pPr>
    </w:p>
    <w:p>
      <w:pPr>
        <w:spacing w:line="270"/>
      </w:pPr>
      <w:r>
        <w:rPr>
          <w:rFonts w:ascii="Cambria" w:cs="Cambria" w:eastAsia="Cambria" w:hAnsi="Cambria"/>
          <w:color w:val="2D2D2D"/>
          <w:sz w:val="20"/>
          <w:szCs w:val="20"/>
        </w:rPr>
        <w:t xml:space="preserve">(b) </w:t>
      </w:r>
      <w:r>
        <w:rPr>
          <w:rFonts w:ascii="Cambria" w:cs="Cambria" w:eastAsia="Cambria" w:hAnsi="Cambria"/>
          <w:b/>
          <w:bCs/>
          <w:color w:val="2D2D2D"/>
          <w:sz w:val="20"/>
          <w:szCs w:val="20"/>
        </w:rPr>
        <w:t xml:space="preserve">DBSCAN</w:t>
      </w:r>
      <w:r>
        <w:rPr>
          <w:rFonts w:ascii="Cambria" w:cs="Cambria" w:eastAsia="Cambria" w:hAnsi="Cambria"/>
          <w:color w:val="2D2D2D"/>
          <w:sz w:val="20"/>
          <w:szCs w:val="20"/>
        </w:rPr>
        <w:t xml:space="preserve"> con </w:t>
      </w:r>
      <w:r>
        <w:rPr>
          <w:rFonts w:ascii="Consolas" w:cs="Consolas" w:eastAsia="Consolas" w:hAnsi="Consolas"/>
          <w:color w:val="7A1526"/>
          <w:sz w:val="18"/>
          <w:szCs w:val="18"/>
        </w:rPr>
        <w:t xml:space="preserve">min_samples = 10</w:t>
      </w:r>
      <w:r>
        <w:rPr>
          <w:rFonts w:ascii="Cambria" w:cs="Cambria" w:eastAsia="Cambria" w:hAnsi="Cambria"/>
          <w:color w:val="2D2D2D"/>
          <w:sz w:val="20"/>
          <w:szCs w:val="20"/>
        </w:rPr>
        <w:t xml:space="preserve">, para varios valores de </w:t>
      </w:r>
      <w:r>
        <w:rPr>
          <w:rFonts w:ascii="Consolas" w:cs="Consolas" w:eastAsia="Consolas" w:hAnsi="Consolas"/>
          <w:color w:val="7A1526"/>
          <w:sz w:val="18"/>
          <w:szCs w:val="18"/>
        </w:rPr>
        <w:t xml:space="preserve">eps</w:t>
      </w:r>
      <w:r>
        <w:rPr>
          <w:rFonts w:ascii="Cambria" w:cs="Cambria" w:eastAsia="Cambria" w:hAnsi="Cambria"/>
          <w:color w:val="2D2D2D"/>
          <w:sz w:val="20"/>
          <w:szCs w:val="20"/>
        </w:rPr>
        <w:t xml:space="preserve">:</w:t>
      </w:r>
    </w:p>
    <w:p>
      <w:pPr>
        <w:spacing w:after="220"/>
      </w:pPr>
    </w:p>
    <w:tbl>
      <w:tblPr>
        <w:tblW w:type="dxa" w:w="1008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2520"/>
        <w:gridCol w:w="2520"/>
        <w:gridCol w:w="2520"/>
        <w:gridCol w:w="2520"/>
      </w:tblGrid>
      <w:tr>
        <w:trPr>
          <w:tblHeader/>
        </w:trPr>
        <w:tc>
          <w:tcPr>
            <w:tcW w:type="dxa" w:w="25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3D4450" w:color="auto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5"/>
                <w:szCs w:val="15"/>
              </w:rPr>
              <w:t xml:space="preserve">eps</w:t>
            </w:r>
          </w:p>
        </w:tc>
        <w:tc>
          <w:tcPr>
            <w:tcW w:type="dxa" w:w="25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3D4450" w:color="auto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5"/>
                <w:szCs w:val="15"/>
              </w:rPr>
              <w:t xml:space="preserve">Nº clusters</w:t>
            </w:r>
          </w:p>
        </w:tc>
        <w:tc>
          <w:tcPr>
            <w:tcW w:type="dxa" w:w="25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3D4450" w:color="auto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5"/>
                <w:szCs w:val="15"/>
              </w:rPr>
              <w:t xml:space="preserve">Puntos de ruido (−1)</w:t>
            </w:r>
          </w:p>
        </w:tc>
        <w:tc>
          <w:tcPr>
            <w:tcW w:type="dxa" w:w="25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3D4450" w:color="auto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5"/>
                <w:szCs w:val="15"/>
              </w:rPr>
              <w:t xml:space="preserve">Silueta (sin ruido)</w:t>
            </w:r>
          </w:p>
        </w:tc>
      </w:tr>
      <w:tr>
        <w:tc>
          <w:tcPr>
            <w:tcW w:type="dxa" w:w="2520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FFFFF" w:color="auto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7A1526"/>
                <w:sz w:val="18"/>
                <w:szCs w:val="18"/>
              </w:rPr>
              <w:t xml:space="preserve">0.3</w:t>
            </w:r>
          </w:p>
        </w:tc>
        <w:tc>
          <w:tcPr>
            <w:tcW w:type="dxa" w:w="2520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FFFFF" w:color="auto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D2D2D"/>
                <w:sz w:val="18"/>
                <w:szCs w:val="18"/>
              </w:rPr>
              <w:t xml:space="preserve">3</w:t>
            </w:r>
          </w:p>
        </w:tc>
        <w:tc>
          <w:tcPr>
            <w:tcW w:type="dxa" w:w="2520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FFFFF" w:color="auto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D2D2D"/>
                <w:sz w:val="18"/>
                <w:szCs w:val="18"/>
              </w:rPr>
              <w:t xml:space="preserve">826 (55.1 %)</w:t>
            </w:r>
          </w:p>
        </w:tc>
        <w:tc>
          <w:tcPr>
            <w:tcW w:type="dxa" w:w="2520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FFFFF" w:color="auto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D2D2D"/>
                <w:sz w:val="18"/>
                <w:szCs w:val="18"/>
              </w:rPr>
              <w:t xml:space="preserve">0.588</w:t>
            </w:r>
          </w:p>
        </w:tc>
      </w:tr>
      <w:tr>
        <w:tc>
          <w:tcPr>
            <w:tcW w:type="dxa" w:w="2520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BEFF1" w:color="auto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7A1526"/>
                <w:sz w:val="18"/>
                <w:szCs w:val="18"/>
              </w:rPr>
              <w:t xml:space="preserve">0.5</w:t>
            </w:r>
          </w:p>
        </w:tc>
        <w:tc>
          <w:tcPr>
            <w:tcW w:type="dxa" w:w="2520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BEFF1" w:color="auto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D2D2D"/>
                <w:sz w:val="18"/>
                <w:szCs w:val="18"/>
              </w:rPr>
              <w:t xml:space="preserve">4</w:t>
            </w:r>
          </w:p>
        </w:tc>
        <w:tc>
          <w:tcPr>
            <w:tcW w:type="dxa" w:w="2520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BEFF1" w:color="auto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D2D2D"/>
                <w:sz w:val="18"/>
                <w:szCs w:val="18"/>
              </w:rPr>
              <w:t xml:space="preserve">365 (24.3 %)</w:t>
            </w:r>
          </w:p>
        </w:tc>
        <w:tc>
          <w:tcPr>
            <w:tcW w:type="dxa" w:w="2520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BEFF1" w:color="auto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D2D2D"/>
                <w:sz w:val="18"/>
                <w:szCs w:val="18"/>
              </w:rPr>
              <w:t xml:space="preserve">0.607</w:t>
            </w:r>
          </w:p>
        </w:tc>
      </w:tr>
      <w:tr>
        <w:tc>
          <w:tcPr>
            <w:tcW w:type="dxa" w:w="2520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FFFFF" w:color="auto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7A1526"/>
                <w:sz w:val="18"/>
                <w:szCs w:val="18"/>
              </w:rPr>
              <w:t xml:space="preserve">0.6</w:t>
            </w:r>
          </w:p>
        </w:tc>
        <w:tc>
          <w:tcPr>
            <w:tcW w:type="dxa" w:w="2520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FFFFF" w:color="auto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D2D2D"/>
                <w:sz w:val="18"/>
                <w:szCs w:val="18"/>
              </w:rPr>
              <w:t xml:space="preserve">3</w:t>
            </w:r>
          </w:p>
        </w:tc>
        <w:tc>
          <w:tcPr>
            <w:tcW w:type="dxa" w:w="2520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FFFFF" w:color="auto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D2D2D"/>
                <w:sz w:val="18"/>
                <w:szCs w:val="18"/>
              </w:rPr>
              <w:t xml:space="preserve">254 (16.9 %)</w:t>
            </w:r>
          </w:p>
        </w:tc>
        <w:tc>
          <w:tcPr>
            <w:tcW w:type="dxa" w:w="2520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FFFFF" w:color="auto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D2D2D"/>
                <w:sz w:val="18"/>
                <w:szCs w:val="18"/>
              </w:rPr>
              <w:t xml:space="preserve">0.647</w:t>
            </w:r>
          </w:p>
        </w:tc>
      </w:tr>
      <w:tr>
        <w:tc>
          <w:tcPr>
            <w:tcW w:type="dxa" w:w="2520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BEFF1" w:color="auto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7A1526"/>
                <w:sz w:val="18"/>
                <w:szCs w:val="18"/>
              </w:rPr>
              <w:t xml:space="preserve">0.8</w:t>
            </w:r>
          </w:p>
        </w:tc>
        <w:tc>
          <w:tcPr>
            <w:tcW w:type="dxa" w:w="2520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BEFF1" w:color="auto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D2D2D"/>
                <w:sz w:val="18"/>
                <w:szCs w:val="18"/>
              </w:rPr>
              <w:t xml:space="preserve">3</w:t>
            </w:r>
          </w:p>
        </w:tc>
        <w:tc>
          <w:tcPr>
            <w:tcW w:type="dxa" w:w="2520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BEFF1" w:color="auto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D2D2D"/>
                <w:sz w:val="18"/>
                <w:szCs w:val="18"/>
              </w:rPr>
              <w:t xml:space="preserve">130 (8.7 %)</w:t>
            </w:r>
          </w:p>
        </w:tc>
        <w:tc>
          <w:tcPr>
            <w:tcW w:type="dxa" w:w="2520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BEFF1" w:color="auto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D2D2D"/>
                <w:sz w:val="18"/>
                <w:szCs w:val="18"/>
              </w:rPr>
              <w:t xml:space="preserve">0.598</w:t>
            </w:r>
          </w:p>
        </w:tc>
      </w:tr>
      <w:tr>
        <w:tc>
          <w:tcPr>
            <w:tcW w:type="dxa" w:w="2520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FFFFF" w:color="auto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7A1526"/>
                <w:sz w:val="18"/>
                <w:szCs w:val="18"/>
              </w:rPr>
              <w:t xml:space="preserve">1.0</w:t>
            </w:r>
          </w:p>
        </w:tc>
        <w:tc>
          <w:tcPr>
            <w:tcW w:type="dxa" w:w="2520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FFFFF" w:color="auto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D2D2D"/>
                <w:sz w:val="18"/>
                <w:szCs w:val="18"/>
              </w:rPr>
              <w:t xml:space="preserve">2</w:t>
            </w:r>
          </w:p>
        </w:tc>
        <w:tc>
          <w:tcPr>
            <w:tcW w:type="dxa" w:w="2520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FFFFF" w:color="auto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D2D2D"/>
                <w:sz w:val="18"/>
                <w:szCs w:val="18"/>
              </w:rPr>
              <w:t xml:space="preserve">73 (4.9 %)</w:t>
            </w:r>
          </w:p>
        </w:tc>
        <w:tc>
          <w:tcPr>
            <w:tcW w:type="dxa" w:w="2520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FFFFF" w:color="auto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D2D2D"/>
                <w:sz w:val="18"/>
                <w:szCs w:val="18"/>
              </w:rPr>
              <w:t xml:space="preserve">0.551</w:t>
            </w:r>
          </w:p>
        </w:tc>
      </w:tr>
      <w:tr>
        <w:tc>
          <w:tcPr>
            <w:tcW w:type="dxa" w:w="2520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BEFF1" w:color="auto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7A1526"/>
                <w:sz w:val="18"/>
                <w:szCs w:val="18"/>
              </w:rPr>
              <w:t xml:space="preserve">1.5</w:t>
            </w:r>
          </w:p>
        </w:tc>
        <w:tc>
          <w:tcPr>
            <w:tcW w:type="dxa" w:w="2520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BEFF1" w:color="auto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D2D2D"/>
                <w:sz w:val="18"/>
                <w:szCs w:val="18"/>
              </w:rPr>
              <w:t xml:space="preserve">1</w:t>
            </w:r>
          </w:p>
        </w:tc>
        <w:tc>
          <w:tcPr>
            <w:tcW w:type="dxa" w:w="2520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BEFF1" w:color="auto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D2D2D"/>
                <w:sz w:val="18"/>
                <w:szCs w:val="18"/>
              </w:rPr>
              <w:t xml:space="preserve">24 (1.6 %)</w:t>
            </w:r>
          </w:p>
        </w:tc>
        <w:tc>
          <w:tcPr>
            <w:tcW w:type="dxa" w:w="2520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BEFF1" w:color="auto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D2D2D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220"/>
      </w:pPr>
    </w:p>
    <w:p>
      <w:pPr>
        <w:spacing w:line="270"/>
      </w:pPr>
      <w:r>
        <w:rPr>
          <w:rFonts w:ascii="Cambria" w:cs="Cambria" w:eastAsia="Cambria" w:hAnsi="Cambria"/>
          <w:color w:val="2D2D2D"/>
          <w:sz w:val="20"/>
          <w:szCs w:val="20"/>
        </w:rPr>
        <w:t xml:space="preserve">Se pide:</w:t>
      </w:r>
    </w:p>
    <w:tbl>
      <w:tblPr>
        <w:tblW w:type="dxa" w:w="1008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700"/>
        <w:gridCol w:w="9380"/>
      </w:tblGrid>
      <w:tr>
        <w:tc>
          <w:tcPr>
            <w:tcW w:type="dxa" w:w="700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FFFFF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7A1526"/>
                <w:sz w:val="20"/>
                <w:szCs w:val="20"/>
              </w:rPr>
              <w:t xml:space="preserve">1.</w:t>
            </w:r>
          </w:p>
        </w:tc>
        <w:tc>
          <w:tcPr>
            <w:tcW w:type="dxa" w:w="9380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FFFFF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line="265"/>
            </w:pPr>
            <w:r>
              <w:rPr>
                <w:rFonts w:ascii="Cambria" w:cs="Cambria" w:eastAsia="Cambria" w:hAnsi="Cambria"/>
                <w:color w:val="2D2D2D"/>
                <w:sz w:val="19"/>
                <w:szCs w:val="19"/>
              </w:rPr>
              <w:t xml:space="preserve">Con la tabla de Ward, ¿qué número de clusters se elige? Notar que la silueta </w:t>
            </w:r>
            <w:r>
              <w:rPr>
                <w:rFonts w:ascii="Cambria" w:cs="Cambria" w:eastAsia="Cambria" w:hAnsi="Cambria"/>
                <w:b/>
                <w:bCs/>
                <w:color w:val="2D2D2D"/>
                <w:sz w:val="19"/>
                <w:szCs w:val="19"/>
              </w:rPr>
              <w:t xml:space="preserve">sube muy poco</w:t>
            </w:r>
            <w:r>
              <w:rPr>
                <w:rFonts w:ascii="Cambria" w:cs="Cambria" w:eastAsia="Cambria" w:hAnsi="Cambria"/>
                <w:color w:val="2D2D2D"/>
                <w:sz w:val="19"/>
                <w:szCs w:val="19"/>
              </w:rPr>
              <w:t xml:space="preserve"> de k=3 (0.532) a k=6 (0.556), pero da un </w:t>
            </w:r>
            <w:r>
              <w:rPr>
                <w:rFonts w:ascii="Cambria" w:cs="Cambria" w:eastAsia="Cambria" w:hAnsi="Cambria"/>
                <w:b/>
                <w:bCs/>
                <w:color w:val="2D2D2D"/>
                <w:sz w:val="19"/>
                <w:szCs w:val="19"/>
              </w:rPr>
              <w:t xml:space="preserve">salto</w:t>
            </w:r>
            <w:r>
              <w:rPr>
                <w:rFonts w:ascii="Cambria" w:cs="Cambria" w:eastAsia="Cambria" w:hAnsi="Cambria"/>
                <w:color w:val="2D2D2D"/>
                <w:sz w:val="19"/>
                <w:szCs w:val="19"/>
              </w:rPr>
              <w:t xml:space="preserve"> de k=2 (0.476) a k=3. Justificar por qué conviene el corte </w:t>
            </w:r>
            <w:r>
              <w:rPr>
                <w:rFonts w:ascii="Cambria" w:cs="Cambria" w:eastAsia="Cambria" w:hAnsi="Cambria"/>
                <w:b/>
                <w:bCs/>
                <w:color w:val="2D2D2D"/>
                <w:sz w:val="19"/>
                <w:szCs w:val="19"/>
              </w:rPr>
              <w:t xml:space="preserve">más parsimonioso</w:t>
            </w:r>
            <w:r>
              <w:rPr>
                <w:rFonts w:ascii="Cambria" w:cs="Cambria" w:eastAsia="Cambria" w:hAnsi="Cambria"/>
                <w:color w:val="2D2D2D"/>
                <w:sz w:val="19"/>
                <w:szCs w:val="19"/>
              </w:rPr>
              <w:t xml:space="preserve"> que ya captura la estructura, y no simplemente el k que maximiza la silueta.</w:t>
            </w:r>
          </w:p>
        </w:tc>
      </w:tr>
      <w:tr>
        <w:tc>
          <w:tcPr>
            <w:tcW w:type="dxa" w:w="700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BEFF1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7A1526"/>
                <w:sz w:val="20"/>
                <w:szCs w:val="20"/>
              </w:rPr>
              <w:t xml:space="preserve">2.</w:t>
            </w:r>
          </w:p>
        </w:tc>
        <w:tc>
          <w:tcPr>
            <w:tcW w:type="dxa" w:w="9380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BEFF1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line="265"/>
            </w:pPr>
            <w:r>
              <w:rPr>
                <w:rFonts w:ascii="Cambria" w:cs="Cambria" w:eastAsia="Cambria" w:hAnsi="Cambria"/>
                <w:color w:val="2D2D2D"/>
                <w:sz w:val="19"/>
                <w:szCs w:val="19"/>
              </w:rPr>
              <w:t xml:space="preserve">Con la tabla de DBSCAN, elegir el </w:t>
            </w:r>
            <w:r>
              <w:rPr>
                <w:rFonts w:ascii="Consolas" w:cs="Consolas" w:eastAsia="Consolas" w:hAnsi="Consolas"/>
                <w:color w:val="7A1526"/>
                <w:sz w:val="17"/>
                <w:szCs w:val="17"/>
              </w:rPr>
              <w:t xml:space="preserve">eps</w:t>
            </w:r>
            <w:r>
              <w:rPr>
                <w:rFonts w:ascii="Cambria" w:cs="Cambria" w:eastAsia="Cambria" w:hAnsi="Cambria"/>
                <w:color w:val="2D2D2D"/>
                <w:sz w:val="19"/>
                <w:szCs w:val="19"/>
              </w:rPr>
              <w:t xml:space="preserve"> que da la </w:t>
            </w:r>
            <w:r>
              <w:rPr>
                <w:rFonts w:ascii="Cambria" w:cs="Cambria" w:eastAsia="Cambria" w:hAnsi="Cambria"/>
                <w:b/>
                <w:bCs/>
                <w:color w:val="2D2D2D"/>
                <w:sz w:val="19"/>
                <w:szCs w:val="19"/>
              </w:rPr>
              <w:t xml:space="preserve">mejor</w:t>
            </w:r>
            <w:r>
              <w:rPr>
                <w:rFonts w:ascii="Cambria" w:cs="Cambria" w:eastAsia="Cambria" w:hAnsi="Cambria"/>
                <w:color w:val="2D2D2D"/>
                <w:sz w:val="19"/>
                <w:szCs w:val="19"/>
              </w:rPr>
              <w:t xml:space="preserve"> segmentación y justificar con la silueta y la proporción de ruido. Explicar qué pasa en </w:t>
            </w:r>
            <w:r>
              <w:rPr>
                <w:rFonts w:ascii="Consolas" w:cs="Consolas" w:eastAsia="Consolas" w:hAnsi="Consolas"/>
                <w:color w:val="7A1526"/>
                <w:sz w:val="17"/>
                <w:szCs w:val="17"/>
              </w:rPr>
              <w:t xml:space="preserve">eps</w:t>
            </w:r>
            <w:r>
              <w:rPr>
                <w:rFonts w:ascii="Cambria" w:cs="Cambria" w:eastAsia="Cambria" w:hAnsi="Cambria"/>
                <w:color w:val="2D2D2D"/>
                <w:sz w:val="19"/>
                <w:szCs w:val="19"/>
              </w:rPr>
              <w:t xml:space="preserve"> = 1.5 (un solo cluster) y en </w:t>
            </w:r>
            <w:r>
              <w:rPr>
                <w:rFonts w:ascii="Consolas" w:cs="Consolas" w:eastAsia="Consolas" w:hAnsi="Consolas"/>
                <w:color w:val="7A1526"/>
                <w:sz w:val="17"/>
                <w:szCs w:val="17"/>
              </w:rPr>
              <w:t xml:space="preserve">eps</w:t>
            </w:r>
            <w:r>
              <w:rPr>
                <w:rFonts w:ascii="Cambria" w:cs="Cambria" w:eastAsia="Cambria" w:hAnsi="Cambria"/>
                <w:color w:val="2D2D2D"/>
                <w:sz w:val="19"/>
                <w:szCs w:val="19"/>
              </w:rPr>
              <w:t xml:space="preserve"> = 0.3 (55 % de ruido): ¿qué diagnóstico da cada extremo sobre </w:t>
            </w:r>
            <w:r>
              <w:rPr>
                <w:rFonts w:ascii="Consolas" w:cs="Consolas" w:eastAsia="Consolas" w:hAnsi="Consolas"/>
                <w:color w:val="7A1526"/>
                <w:sz w:val="17"/>
                <w:szCs w:val="17"/>
              </w:rPr>
              <w:t xml:space="preserve">eps</w:t>
            </w:r>
            <w:r>
              <w:rPr>
                <w:rFonts w:ascii="Cambria" w:cs="Cambria" w:eastAsia="Cambria" w:hAnsi="Cambria"/>
                <w:color w:val="2D2D2D"/>
                <w:sz w:val="19"/>
                <w:szCs w:val="19"/>
              </w:rPr>
              <w:t xml:space="preserve">?</w:t>
            </w:r>
          </w:p>
        </w:tc>
      </w:tr>
      <w:tr>
        <w:tc>
          <w:tcPr>
            <w:tcW w:type="dxa" w:w="700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FFFFF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7A1526"/>
                <w:sz w:val="20"/>
                <w:szCs w:val="20"/>
              </w:rPr>
              <w:t xml:space="preserve">3.</w:t>
            </w:r>
          </w:p>
        </w:tc>
        <w:tc>
          <w:tcPr>
            <w:tcW w:type="dxa" w:w="9380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FFFFF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line="265"/>
            </w:pPr>
            <w:r>
              <w:rPr>
                <w:rFonts w:ascii="Cambria" w:cs="Cambria" w:eastAsia="Cambria" w:hAnsi="Cambria"/>
                <w:color w:val="2D2D2D"/>
                <w:sz w:val="19"/>
                <w:szCs w:val="19"/>
              </w:rPr>
              <w:t xml:space="preserve">Comparar ambos métodos sobre estos datos: ¿coinciden en el </w:t>
            </w:r>
            <w:r>
              <w:rPr>
                <w:rFonts w:ascii="Cambria" w:cs="Cambria" w:eastAsia="Cambria" w:hAnsi="Cambria"/>
                <w:b/>
                <w:bCs/>
                <w:color w:val="2D2D2D"/>
                <w:sz w:val="19"/>
                <w:szCs w:val="19"/>
              </w:rPr>
              <w:t xml:space="preserve">número de grupos</w:t>
            </w:r>
            <w:r>
              <w:rPr>
                <w:rFonts w:ascii="Cambria" w:cs="Cambria" w:eastAsia="Cambria" w:hAnsi="Cambria"/>
                <w:color w:val="2D2D2D"/>
                <w:sz w:val="19"/>
                <w:szCs w:val="19"/>
              </w:rPr>
              <w:t xml:space="preserve">? ¿En qué se diferencia el tratamiento de los puntos atípicos? (Ward </w:t>
            </w:r>
            <w:r>
              <w:rPr>
                <w:rFonts w:ascii="Cambria" w:cs="Cambria" w:eastAsia="Cambria" w:hAnsi="Cambria"/>
                <w:b/>
                <w:bCs/>
                <w:color w:val="2D2D2D"/>
                <w:sz w:val="19"/>
                <w:szCs w:val="19"/>
              </w:rPr>
              <w:t xml:space="preserve">asigna todos</w:t>
            </w:r>
            <w:r>
              <w:rPr>
                <w:rFonts w:ascii="Cambria" w:cs="Cambria" w:eastAsia="Cambria" w:hAnsi="Cambria"/>
                <w:color w:val="2D2D2D"/>
                <w:sz w:val="19"/>
                <w:szCs w:val="19"/>
              </w:rPr>
              <w:t xml:space="preserve"> los puntos a algún cluster; DBSCAN </w:t>
            </w:r>
            <w:r>
              <w:rPr>
                <w:rFonts w:ascii="Cambria" w:cs="Cambria" w:eastAsia="Cambria" w:hAnsi="Cambria"/>
                <w:b/>
                <w:bCs/>
                <w:color w:val="2D2D2D"/>
                <w:sz w:val="19"/>
                <w:szCs w:val="19"/>
              </w:rPr>
              <w:t xml:space="preserve">aparta</w:t>
            </w:r>
            <w:r>
              <w:rPr>
                <w:rFonts w:ascii="Cambria" w:cs="Cambria" w:eastAsia="Cambria" w:hAnsi="Cambria"/>
                <w:color w:val="2D2D2D"/>
                <w:sz w:val="19"/>
                <w:szCs w:val="19"/>
              </w:rPr>
              <w:t xml:space="preserve"> los 254 puntos de ruido). ¿Qué método conecta de forma natural con la </w:t>
            </w:r>
            <w:r>
              <w:rPr>
                <w:rFonts w:ascii="Cambria" w:cs="Cambria" w:eastAsia="Cambria" w:hAnsi="Cambria"/>
                <w:b/>
                <w:bCs/>
                <w:color w:val="2D2D2D"/>
                <w:sz w:val="19"/>
                <w:szCs w:val="19"/>
              </w:rPr>
              <w:t xml:space="preserve">detección de anomalías</w:t>
            </w:r>
            <w:r>
              <w:rPr>
                <w:rFonts w:ascii="Cambria" w:cs="Cambria" w:eastAsia="Cambria" w:hAnsi="Cambria"/>
                <w:color w:val="2D2D2D"/>
                <w:sz w:val="19"/>
                <w:szCs w:val="19"/>
              </w:rPr>
              <w:t xml:space="preserve"> y por qué?</w:t>
            </w:r>
          </w:p>
        </w:tc>
      </w:tr>
      <w:tr>
        <w:tc>
          <w:tcPr>
            <w:tcW w:type="dxa" w:w="700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BEFF1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7A1526"/>
                <w:sz w:val="20"/>
                <w:szCs w:val="20"/>
              </w:rPr>
              <w:t xml:space="preserve">4.</w:t>
            </w:r>
          </w:p>
        </w:tc>
        <w:tc>
          <w:tcPr>
            <w:tcW w:type="dxa" w:w="9380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BEFF1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line="265"/>
            </w:pPr>
            <w:r>
              <w:rPr>
                <w:rFonts w:ascii="Cambria" w:cs="Cambria" w:eastAsia="Cambria" w:hAnsi="Cambria"/>
                <w:color w:val="2D2D2D"/>
                <w:sz w:val="19"/>
                <w:szCs w:val="19"/>
              </w:rPr>
              <w:t xml:space="preserve">Un analista necesita </w:t>
            </w:r>
            <w:r>
              <w:rPr>
                <w:rFonts w:ascii="Cambria" w:cs="Cambria" w:eastAsia="Cambria" w:hAnsi="Cambria"/>
                <w:b/>
                <w:bCs/>
                <w:color w:val="2D2D2D"/>
                <w:sz w:val="19"/>
                <w:szCs w:val="19"/>
              </w:rPr>
              <w:t xml:space="preserve">exactamente 4 segmentos</w:t>
            </w:r>
            <w:r>
              <w:rPr>
                <w:rFonts w:ascii="Cambria" w:cs="Cambria" w:eastAsia="Cambria" w:hAnsi="Cambria"/>
                <w:color w:val="2D2D2D"/>
                <w:sz w:val="19"/>
                <w:szCs w:val="19"/>
              </w:rPr>
              <w:t xml:space="preserve"> para repartir un presupuesto de marketing en 4 campañas. ¿Qué método le conviene y por qué DBSCAN </w:t>
            </w:r>
            <w:r>
              <w:rPr>
                <w:rFonts w:ascii="Cambria" w:cs="Cambria" w:eastAsia="Cambria" w:hAnsi="Cambria"/>
                <w:b/>
                <w:bCs/>
                <w:color w:val="2D2D2D"/>
                <w:sz w:val="19"/>
                <w:szCs w:val="19"/>
              </w:rPr>
              <w:t xml:space="preserve">no</w:t>
            </w:r>
            <w:r>
              <w:rPr>
                <w:rFonts w:ascii="Cambria" w:cs="Cambria" w:eastAsia="Cambria" w:hAnsi="Cambria"/>
                <w:color w:val="2D2D2D"/>
                <w:sz w:val="19"/>
                <w:szCs w:val="19"/>
              </w:rPr>
              <w:t xml:space="preserve"> garantiza ese número? Inversamente, si lo que importa es </w:t>
            </w:r>
            <w:r>
              <w:rPr>
                <w:rFonts w:ascii="Cambria" w:cs="Cambria" w:eastAsia="Cambria" w:hAnsi="Cambria"/>
                <w:b/>
                <w:bCs/>
                <w:color w:val="2D2D2D"/>
                <w:sz w:val="19"/>
                <w:szCs w:val="19"/>
              </w:rPr>
              <w:t xml:space="preserve">descubrir</w:t>
            </w:r>
            <w:r>
              <w:rPr>
                <w:rFonts w:ascii="Cambria" w:cs="Cambria" w:eastAsia="Cambria" w:hAnsi="Cambria"/>
                <w:color w:val="2D2D2D"/>
                <w:sz w:val="19"/>
                <w:szCs w:val="19"/>
              </w:rPr>
              <w:t xml:space="preserve"> cuántos grupos hay y separar el ruido, ¿cuál elige? </w:t>
            </w:r>
            <w:r>
              <w:rPr>
                <w:rFonts w:ascii="Cambria" w:cs="Cambria" w:eastAsia="Cambria" w:hAnsi="Cambria"/>
                <w:i/>
                <w:iCs/>
                <w:color w:val="2D2D2D"/>
                <w:sz w:val="19"/>
                <w:szCs w:val="19"/>
              </w:rPr>
              <w:t xml:space="preserve">(Pista: DBSCAN descubre el número de clusters solo; el jerárquico/Ward permite fijar el corte en el k deseado.)</w:t>
            </w:r>
          </w:p>
        </w:tc>
      </w:tr>
    </w:tbl>
    <w:p>
      <w:pPr>
        <w:spacing w:after="220"/>
      </w:pPr>
    </w:p>
    <w:tbl>
      <w:tblPr>
        <w:tblW w:type="dxa" w:w="1008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80"/>
      </w:tblGrid>
      <w:tr>
        <w:tc>
          <w:tcPr>
            <w:tcW w:type="dxa" w:w="10080"/>
            <w:tcBorders>
              <w:top w:val="single" w:color="E4002B" w:sz="14"/>
              <w:left w:val="none" w:color="FFFFFF" w:sz="0"/>
              <w:bottom w:val="single" w:color="D9D9D9" w:sz="4"/>
              <w:right w:val="none" w:color="FFFFFF" w:sz="0"/>
            </w:tcBorders>
            <w:shd w:fill="F2F3F5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keepNext/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7A1526"/>
                <w:sz w:val="15"/>
                <w:szCs w:val="15"/>
              </w:rPr>
              <w:t xml:space="preserve">NOTA TÉCNICA 2.1   </w:t>
            </w:r>
            <w:r>
              <w:rPr>
                <w:rFonts w:ascii="Calibri" w:cs="Calibri" w:eastAsia="Calibri" w:hAnsi="Calibri"/>
                <w:b/>
                <w:bCs/>
                <w:color w:val="7A1526"/>
                <w:sz w:val="19"/>
                <w:szCs w:val="19"/>
              </w:rPr>
              <w:t xml:space="preserve">Robustez de datos — ¿qué pasaría si...?</w:t>
            </w:r>
          </w:p>
          <w:p>
            <w:pPr>
              <w:spacing w:after="70" w:line="265"/>
            </w:pPr>
            <w:r>
              <w:rPr>
                <w:rFonts w:ascii="Cambria" w:cs="Cambria" w:eastAsia="Cambria" w:hAnsi="Cambria"/>
                <w:color w:val="3A3A3A"/>
                <w:sz w:val="18"/>
                <w:szCs w:val="18"/>
              </w:rPr>
              <w:t xml:space="preserve">Un pequeño grupo de transacciones de prueba del propio equipo de sistemas —no de clientes reales— quedara mezclado en los datos? ¿Podría el k-means formar un clúster artificial alrededor de esos registros, y notaría DBSCAN la diferencia? </w:t>
            </w:r>
            <w:r>
              <w:rPr>
                <w:rFonts w:ascii="Cambria" w:cs="Cambria" w:eastAsia="Cambria" w:hAnsi="Cambria"/>
                <w:i/>
                <w:iCs/>
                <w:color w:val="3A3A3A"/>
                <w:sz w:val="18"/>
                <w:szCs w:val="18"/>
              </w:rPr>
              <w:t xml:space="preserve">(La sensibilidad a atípicos y ruido está en la guía de supuestos de la sesión, punto 2.4.)</w:t>
            </w:r>
          </w:p>
        </w:tc>
      </w:tr>
    </w:tbl>
    <w:p>
      <w:pPr>
        <w:keepNext/>
        <w:spacing w:after="60" w:before="120"/>
      </w:pPr>
      <w:r>
        <w:rPr>
          <w:rFonts w:ascii="Calibri" w:cs="Calibri" w:eastAsia="Calibri" w:hAnsi="Calibri"/>
          <w:b/>
          <w:bCs/>
          <w:color w:val="7A1526"/>
          <w:sz w:val="24"/>
          <w:szCs w:val="24"/>
        </w:rPr>
        <w:t xml:space="preserve">3.  </w:t>
      </w:r>
      <w:r>
        <w:rPr>
          <w:rFonts w:ascii="Calibri" w:cs="Calibri" w:eastAsia="Calibri" w:hAnsi="Calibri"/>
          <w:b/>
          <w:bCs/>
          <w:color w:val="7A1526"/>
          <w:spacing w:val="20"/>
          <w:sz w:val="24"/>
          <w:szCs w:val="24"/>
        </w:rPr>
        <w:t xml:space="preserve">DRILL 3 — MARCAR EL 1 % DE TRANSACCIONES MÁS ANÓMALAS CON ISOLATION FOREST Y PERFILARLAS</w:t>
      </w:r>
    </w:p>
    <w:p>
      <w:pPr>
        <w:keepNext/>
        <w:pBdr>
          <w:bottom w:val="single" w:color="E4002B" w:sz="14" w:space="8"/>
        </w:pBdr>
        <w:spacing w:after="140"/>
      </w:pPr>
      <w:r>
        <w:rPr>
          <w:rFonts w:ascii="Cambria" w:cs="Cambria" w:eastAsia="Cambria" w:hAnsi="Cambria"/>
          <w:i/>
          <w:iCs/>
          <w:color w:val="6E6E6E"/>
          <w:sz w:val="19"/>
          <w:szCs w:val="19"/>
        </w:rPr>
        <w:t xml:space="preserve">Ejercicio de práctica, en parejas</w:t>
      </w:r>
      <w:r>
        <w:rPr>
          <w:rFonts w:ascii="Cambria" w:cs="Cambria" w:eastAsia="Cambria" w:hAnsi="Cambria"/>
          <w:b/>
          <w:bCs/>
          <w:color w:val="7A1526"/>
          <w:sz w:val="19"/>
          <w:szCs w:val="19"/>
        </w:rPr>
        <w:t xml:space="preserve"/>
      </w:r>
    </w:p>
    <w:p>
      <w:pPr>
        <w:spacing w:line="270"/>
      </w:pPr>
      <w:r>
        <w:rPr>
          <w:rFonts w:ascii="Cambria" w:cs="Cambria" w:eastAsia="Cambria" w:hAnsi="Cambria"/>
          <w:color w:val="2D2D2D"/>
          <w:sz w:val="20"/>
          <w:szCs w:val="20"/>
        </w:rPr>
        <w:t xml:space="preserve">Sobre las </w:t>
      </w:r>
      <w:r>
        <w:rPr>
          <w:rFonts w:ascii="Cambria" w:cs="Cambria" w:eastAsia="Cambria" w:hAnsi="Cambria"/>
          <w:b/>
          <w:bCs/>
          <w:color w:val="2D2D2D"/>
          <w:sz w:val="20"/>
          <w:szCs w:val="20"/>
        </w:rPr>
        <w:t xml:space="preserve">transacciones de Online Retail II</w:t>
      </w:r>
      <w:r>
        <w:rPr>
          <w:rFonts w:ascii="Cambria" w:cs="Cambria" w:eastAsia="Cambria" w:hAnsi="Cambria"/>
          <w:color w:val="2D2D2D"/>
          <w:sz w:val="20"/>
          <w:szCs w:val="20"/>
        </w:rPr>
        <w:t xml:space="preserve"> (18 125 transacciones de 140 clientes) se ajusta un </w:t>
      </w:r>
      <w:r>
        <w:rPr>
          <w:rFonts w:ascii="Cambria" w:cs="Cambria" w:eastAsia="Cambria" w:hAnsi="Cambria"/>
          <w:b/>
          <w:bCs/>
          <w:color w:val="2D2D2D"/>
          <w:sz w:val="20"/>
          <w:szCs w:val="20"/>
        </w:rPr>
        <w:t xml:space="preserve">Isolation Forest</w:t>
      </w:r>
      <w:r>
        <w:rPr>
          <w:rFonts w:ascii="Cambria" w:cs="Cambria" w:eastAsia="Cambria" w:hAnsi="Cambria"/>
          <w:color w:val="2D2D2D"/>
          <w:sz w:val="20"/>
          <w:szCs w:val="20"/>
        </w:rPr>
        <w:t xml:space="preserve"> (</w:t>
      </w:r>
      <w:r>
        <w:rPr>
          <w:rFonts w:ascii="Consolas" w:cs="Consolas" w:eastAsia="Consolas" w:hAnsi="Consolas"/>
          <w:color w:val="7A1526"/>
          <w:sz w:val="18"/>
          <w:szCs w:val="18"/>
        </w:rPr>
        <w:t xml:space="preserve">n_estimators=100</w:t>
      </w:r>
      <w:r>
        <w:rPr>
          <w:rFonts w:ascii="Cambria" w:cs="Cambria" w:eastAsia="Cambria" w:hAnsi="Cambria"/>
          <w:color w:val="2D2D2D"/>
          <w:sz w:val="20"/>
          <w:szCs w:val="20"/>
        </w:rPr>
        <w:t xml:space="preserve">, </w:t>
      </w:r>
      <w:r>
        <w:rPr>
          <w:rFonts w:ascii="Consolas" w:cs="Consolas" w:eastAsia="Consolas" w:hAnsi="Consolas"/>
          <w:color w:val="7A1526"/>
          <w:sz w:val="18"/>
          <w:szCs w:val="18"/>
        </w:rPr>
        <w:t xml:space="preserve">random_state=42</w:t>
      </w:r>
      <w:r>
        <w:rPr>
          <w:rFonts w:ascii="Cambria" w:cs="Cambria" w:eastAsia="Cambria" w:hAnsi="Cambria"/>
          <w:color w:val="2D2D2D"/>
          <w:sz w:val="20"/>
          <w:szCs w:val="20"/>
        </w:rPr>
        <w:t xml:space="preserve">, </w:t>
      </w:r>
      <w:r>
        <w:rPr>
          <w:rFonts w:ascii="Consolas" w:cs="Consolas" w:eastAsia="Consolas" w:hAnsi="Consolas"/>
          <w:color w:val="7A1526"/>
          <w:sz w:val="18"/>
          <w:szCs w:val="18"/>
        </w:rPr>
        <w:t xml:space="preserve">contamination=0.01</w:t>
      </w:r>
      <w:r>
        <w:rPr>
          <w:rFonts w:ascii="Cambria" w:cs="Cambria" w:eastAsia="Cambria" w:hAnsi="Cambria"/>
          <w:color w:val="2D2D2D"/>
          <w:sz w:val="20"/>
          <w:szCs w:val="20"/>
        </w:rPr>
        <w:t xml:space="preserve">) sobre las tres variables </w:t>
      </w:r>
      <w:r>
        <w:rPr>
          <w:rFonts w:ascii="Cambria" w:cs="Cambria" w:eastAsia="Cambria" w:hAnsi="Cambria"/>
          <w:b/>
          <w:bCs/>
          <w:color w:val="2D2D2D"/>
          <w:sz w:val="20"/>
          <w:szCs w:val="20"/>
        </w:rPr>
        <w:t xml:space="preserve">estandarizadas</w:t>
      </w:r>
      <w:r>
        <w:rPr>
          <w:rFonts w:ascii="Cambria" w:cs="Cambria" w:eastAsia="Cambria" w:hAnsi="Cambria"/>
          <w:color w:val="2D2D2D"/>
          <w:sz w:val="20"/>
          <w:szCs w:val="20"/>
        </w:rPr>
        <w:t xml:space="preserve"> por transacción: </w:t>
      </w:r>
      <w:r>
        <w:rPr>
          <w:rFonts w:ascii="Consolas" w:cs="Consolas" w:eastAsia="Consolas" w:hAnsi="Consolas"/>
          <w:color w:val="7A1526"/>
          <w:sz w:val="18"/>
          <w:szCs w:val="18"/>
        </w:rPr>
        <w:t xml:space="preserve">Quantity</w:t>
      </w:r>
      <w:r>
        <w:rPr>
          <w:rFonts w:ascii="Cambria" w:cs="Cambria" w:eastAsia="Cambria" w:hAnsi="Cambria"/>
          <w:color w:val="2D2D2D"/>
          <w:sz w:val="20"/>
          <w:szCs w:val="20"/>
        </w:rPr>
        <w:t xml:space="preserve"> (unidades), </w:t>
      </w:r>
      <w:r>
        <w:rPr>
          <w:rFonts w:ascii="Consolas" w:cs="Consolas" w:eastAsia="Consolas" w:hAnsi="Consolas"/>
          <w:color w:val="7A1526"/>
          <w:sz w:val="18"/>
          <w:szCs w:val="18"/>
        </w:rPr>
        <w:t xml:space="preserve">Price</w:t>
      </w:r>
      <w:r>
        <w:rPr>
          <w:rFonts w:ascii="Cambria" w:cs="Cambria" w:eastAsia="Cambria" w:hAnsi="Cambria"/>
          <w:color w:val="2D2D2D"/>
          <w:sz w:val="20"/>
          <w:szCs w:val="20"/>
        </w:rPr>
        <w:t xml:space="preserve"> (precio unitario, GBP) y </w:t>
      </w:r>
      <w:r>
        <w:rPr>
          <w:rFonts w:ascii="Consolas" w:cs="Consolas" w:eastAsia="Consolas" w:hAnsi="Consolas"/>
          <w:color w:val="7A1526"/>
          <w:sz w:val="18"/>
          <w:szCs w:val="18"/>
        </w:rPr>
        <w:t xml:space="preserve">Amount = Quantity × Price</w:t>
      </w:r>
      <w:r>
        <w:rPr>
          <w:rFonts w:ascii="Cambria" w:cs="Cambria" w:eastAsia="Cambria" w:hAnsi="Cambria"/>
          <w:color w:val="2D2D2D"/>
          <w:sz w:val="20"/>
          <w:szCs w:val="20"/>
        </w:rPr>
        <w:t xml:space="preserve"> (importe). </w:t>
      </w:r>
      <w:r>
        <w:rPr>
          <w:rFonts w:ascii="Cambria" w:cs="Cambria" w:eastAsia="Cambria" w:hAnsi="Cambria"/>
          <w:i/>
          <w:iCs/>
          <w:color w:val="2D2D2D"/>
          <w:sz w:val="20"/>
          <w:szCs w:val="20"/>
        </w:rPr>
        <w:t xml:space="preserve">(Convención de esta sesión: </w:t>
      </w:r>
      <w:r>
        <w:rPr>
          <w:rFonts w:ascii="Consolas" w:cs="Consolas" w:eastAsia="Consolas" w:hAnsi="Consolas"/>
          <w:i/>
          <w:iCs/>
          <w:color w:val="7A1526"/>
          <w:sz w:val="18"/>
          <w:szCs w:val="18"/>
        </w:rPr>
        <w:t xml:space="preserve">contamination=0.01</w:t>
      </w:r>
      <w:r>
        <w:rPr>
          <w:rFonts w:ascii="Cambria" w:cs="Cambria" w:eastAsia="Cambria" w:hAnsi="Cambria"/>
          <w:i/>
          <w:iCs/>
          <w:color w:val="2D2D2D"/>
          <w:sz w:val="20"/>
          <w:szCs w:val="20"/>
        </w:rPr>
        <w:t xml:space="preserve"> fijo, no </w:t>
      </w:r>
      <w:r>
        <w:rPr>
          <w:rFonts w:ascii="Consolas" w:cs="Consolas" w:eastAsia="Consolas" w:hAnsi="Consolas"/>
          <w:i/>
          <w:iCs/>
          <w:color w:val="7A1526"/>
          <w:sz w:val="18"/>
          <w:szCs w:val="18"/>
        </w:rPr>
        <w:t xml:space="preserve">'auto'</w:t>
      </w:r>
      <w:r>
        <w:rPr>
          <w:rFonts w:ascii="Cambria" w:cs="Cambria" w:eastAsia="Cambria" w:hAnsi="Cambria"/>
          <w:i/>
          <w:iCs/>
          <w:color w:val="2D2D2D"/>
          <w:sz w:val="20"/>
          <w:szCs w:val="20"/>
        </w:rPr>
        <w:t xml:space="preserve">, para declarar explícitamente «el 1 % más anómalo»; el marcado real siempre lo hace el umbral p99, así que no depende de este valor.)</w:t>
      </w:r>
      <w:r>
        <w:rPr>
          <w:rFonts w:ascii="Cambria" w:cs="Cambria" w:eastAsia="Cambria" w:hAnsi="Cambria"/>
          <w:color w:val="2D2D2D"/>
          <w:sz w:val="20"/>
          <w:szCs w:val="20"/>
        </w:rPr>
        <w:t xml:space="preserve"> Se calcula el </w:t>
      </w:r>
      <w:r>
        <w:rPr>
          <w:rFonts w:ascii="Cambria" w:cs="Cambria" w:eastAsia="Cambria" w:hAnsi="Cambria"/>
          <w:b/>
          <w:bCs/>
          <w:color w:val="2D2D2D"/>
          <w:sz w:val="20"/>
          <w:szCs w:val="20"/>
        </w:rPr>
        <w:t xml:space="preserve">score de anomalía</w:t>
      </w:r>
      <w:r>
        <w:rPr>
          <w:rFonts w:ascii="Cambria" w:cs="Cambria" w:eastAsia="Cambria" w:hAnsi="Cambria"/>
          <w:color w:val="2D2D2D"/>
          <w:sz w:val="20"/>
          <w:szCs w:val="20"/>
        </w:rPr>
        <w:t xml:space="preserve"> (</w:t>
      </w:r>
      <w:r>
        <w:rPr>
          <w:rFonts w:ascii="Consolas" w:cs="Consolas" w:eastAsia="Consolas" w:hAnsi="Consolas"/>
          <w:color w:val="7A1526"/>
          <w:sz w:val="18"/>
          <w:szCs w:val="18"/>
        </w:rPr>
        <w:t xml:space="preserve">-score_samples</w:t>
      </w:r>
      <w:r>
        <w:rPr>
          <w:rFonts w:ascii="Cambria" w:cs="Cambria" w:eastAsia="Cambria" w:hAnsi="Cambria"/>
          <w:color w:val="2D2D2D"/>
          <w:sz w:val="20"/>
          <w:szCs w:val="20"/>
        </w:rPr>
        <w:t xml:space="preserve">, más alto = más anómalo) —el score de aislamiento es </w:t>
      </w:r>
      <w:r>
        <w:rPr>
          <w:rFonts w:ascii="Consolas" w:cs="Consolas" w:eastAsia="Consolas" w:hAnsi="Consolas"/>
          <w:color w:val="7A1526"/>
          <w:sz w:val="18"/>
          <w:szCs w:val="18"/>
        </w:rPr>
        <w:t xml:space="preserve">s(x,n) = 2^(−E[h(x)]/c(n))</w:t>
      </w:r>
      <w:r>
        <w:rPr>
          <w:rFonts w:ascii="Cambria" w:cs="Cambria" w:eastAsia="Cambria" w:hAnsi="Cambria"/>
          <w:color w:val="2D2D2D"/>
          <w:sz w:val="20"/>
          <w:szCs w:val="20"/>
        </w:rPr>
        <w:t xml:space="preserve">, con E[h(x)] la longitud media del camino que aísla a x y c(n) un normalizador: </w:t>
      </w:r>
      <w:r>
        <w:rPr>
          <w:rFonts w:ascii="Cambria" w:cs="Cambria" w:eastAsia="Cambria" w:hAnsi="Cambria"/>
          <w:b/>
          <w:bCs/>
          <w:color w:val="2D2D2D"/>
          <w:sz w:val="20"/>
          <w:szCs w:val="20"/>
        </w:rPr>
        <w:t xml:space="preserve">camino corto </w:t>
      </w:r>
      <w:r>
        <w:rPr>
          <w:rFonts w:ascii="Calibri" w:cs="Calibri" w:eastAsia="Calibri" w:hAnsi="Calibri"/>
          <w:b/>
          <w:bCs/>
          <w:color w:val="2D2D2D"/>
          <w:sz w:val="20"/>
          <w:szCs w:val="20"/>
        </w:rPr>
        <w:t xml:space="preserve">→</w:t>
      </w:r>
      <w:r>
        <w:rPr>
          <w:rFonts w:ascii="Cambria" w:cs="Cambria" w:eastAsia="Cambria" w:hAnsi="Cambria"/>
          <w:b/>
          <w:bCs/>
          <w:color w:val="2D2D2D"/>
          <w:sz w:val="20"/>
          <w:szCs w:val="20"/>
        </w:rPr>
        <w:t xml:space="preserve"> score alto </w:t>
      </w:r>
      <w:r>
        <w:rPr>
          <w:rFonts w:ascii="Calibri" w:cs="Calibri" w:eastAsia="Calibri" w:hAnsi="Calibri"/>
          <w:b/>
          <w:bCs/>
          <w:color w:val="2D2D2D"/>
          <w:sz w:val="20"/>
          <w:szCs w:val="20"/>
        </w:rPr>
        <w:t xml:space="preserve">→</w:t>
      </w:r>
      <w:r>
        <w:rPr>
          <w:rFonts w:ascii="Cambria" w:cs="Cambria" w:eastAsia="Cambria" w:hAnsi="Cambria"/>
          <w:b/>
          <w:bCs/>
          <w:color w:val="2D2D2D"/>
          <w:sz w:val="20"/>
          <w:szCs w:val="20"/>
        </w:rPr>
        <w:t xml:space="preserve"> más anómalo</w:t>
      </w:r>
      <w:r>
        <w:rPr>
          <w:rFonts w:ascii="Cambria" w:cs="Cambria" w:eastAsia="Cambria" w:hAnsi="Cambria"/>
          <w:color w:val="2D2D2D"/>
          <w:sz w:val="20"/>
          <w:szCs w:val="20"/>
        </w:rPr>
        <w:t xml:space="preserve">— y se marca el </w:t>
      </w:r>
      <w:r>
        <w:rPr>
          <w:rFonts w:ascii="Cambria" w:cs="Cambria" w:eastAsia="Cambria" w:hAnsi="Cambria"/>
          <w:b/>
          <w:bCs/>
          <w:color w:val="2D2D2D"/>
          <w:sz w:val="20"/>
          <w:szCs w:val="20"/>
        </w:rPr>
        <w:t xml:space="preserve">1 % con score más alto</w:t>
      </w:r>
      <w:r>
        <w:rPr>
          <w:rFonts w:ascii="Cambria" w:cs="Cambria" w:eastAsia="Cambria" w:hAnsi="Cambria"/>
          <w:color w:val="2D2D2D"/>
          <w:sz w:val="20"/>
          <w:szCs w:val="20"/>
        </w:rPr>
        <w:t xml:space="preserve"> (</w:t>
      </w:r>
      <w:r>
        <w:rPr>
          <w:rFonts w:ascii="Consolas" w:cs="Consolas" w:eastAsia="Consolas" w:hAnsi="Consolas"/>
          <w:color w:val="7A1526"/>
          <w:sz w:val="18"/>
          <w:szCs w:val="18"/>
        </w:rPr>
        <w:t xml:space="preserve">umbral = np.quantile(score, 0.99)</w:t>
      </w:r>
      <w:r>
        <w:rPr>
          <w:rFonts w:ascii="Cambria" w:cs="Cambria" w:eastAsia="Cambria" w:hAnsi="Cambria"/>
          <w:color w:val="2D2D2D"/>
          <w:sz w:val="20"/>
          <w:szCs w:val="20"/>
        </w:rPr>
        <w:t xml:space="preserve">). Resultado: </w:t>
      </w:r>
      <w:r>
        <w:rPr>
          <w:rFonts w:ascii="Cambria" w:cs="Cambria" w:eastAsia="Cambria" w:hAnsi="Cambria"/>
          <w:b/>
          <w:bCs/>
          <w:color w:val="2D2D2D"/>
          <w:sz w:val="20"/>
          <w:szCs w:val="20"/>
        </w:rPr>
        <w:t xml:space="preserve">182 transacciones marcadas (1.00 %)</w:t>
      </w:r>
      <w:r>
        <w:rPr>
          <w:rFonts w:ascii="Cambria" w:cs="Cambria" w:eastAsia="Cambria" w:hAnsi="Cambria"/>
          <w:color w:val="2D2D2D"/>
          <w:sz w:val="20"/>
          <w:szCs w:val="20"/>
        </w:rPr>
        <w:t xml:space="preserve">. Perfil (mediana) de las marcadas frente al resto:</w:t>
      </w:r>
    </w:p>
    <w:p>
      <w:pPr>
        <w:spacing w:after="220"/>
      </w:pPr>
    </w:p>
    <w:tbl>
      <w:tblPr>
        <w:tblW w:type="dxa" w:w="1008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2520"/>
        <w:gridCol w:w="2520"/>
        <w:gridCol w:w="2520"/>
        <w:gridCol w:w="2520"/>
      </w:tblGrid>
      <w:tr>
        <w:trPr>
          <w:tblHeader/>
        </w:trPr>
        <w:tc>
          <w:tcPr>
            <w:tcW w:type="dxa" w:w="25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3D4450" w:color="auto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5"/>
                <w:szCs w:val="15"/>
              </w:rPr>
              <w:t xml:space="preserve">Variable</w:t>
            </w:r>
          </w:p>
        </w:tc>
        <w:tc>
          <w:tcPr>
            <w:tcW w:type="dxa" w:w="25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3D4450" w:color="auto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5"/>
                <w:szCs w:val="15"/>
              </w:rPr>
              <w:t xml:space="preserve">Transacciones anómalas (1 %)</w:t>
            </w:r>
          </w:p>
        </w:tc>
        <w:tc>
          <w:tcPr>
            <w:tcW w:type="dxa" w:w="25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3D4450" w:color="auto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5"/>
                <w:szCs w:val="15"/>
              </w:rPr>
              <w:t xml:space="preserve">Transacciones normales</w:t>
            </w:r>
          </w:p>
        </w:tc>
        <w:tc>
          <w:tcPr>
            <w:tcW w:type="dxa" w:w="25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3D4450" w:color="auto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5"/>
                <w:szCs w:val="15"/>
              </w:rPr>
              <w:t xml:space="preserve">Máximo entre las anómalas</w:t>
            </w:r>
          </w:p>
        </w:tc>
      </w:tr>
      <w:tr>
        <w:tc>
          <w:tcPr>
            <w:tcW w:type="dxa" w:w="2520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FFFFF" w:color="auto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7A1526"/>
                <w:sz w:val="16"/>
                <w:szCs w:val="16"/>
              </w:rPr>
              <w:t xml:space="preserve">Quantity</w:t>
            </w:r>
            <w:r>
              <w:rPr>
                <w:rFonts w:ascii="Calibri" w:cs="Calibri" w:eastAsia="Calibri" w:hAnsi="Calibri"/>
                <w:b/>
                <w:bCs/>
                <w:color w:val="7A1526"/>
                <w:sz w:val="18"/>
                <w:szCs w:val="18"/>
              </w:rPr>
              <w:t xml:space="preserve"> (unidades)</w:t>
            </w:r>
          </w:p>
        </w:tc>
        <w:tc>
          <w:tcPr>
            <w:tcW w:type="dxa" w:w="2520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FFFFF" w:color="auto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D2D2D"/>
                <w:sz w:val="18"/>
                <w:szCs w:val="18"/>
              </w:rPr>
              <w:t xml:space="preserve">288</w:t>
            </w:r>
          </w:p>
        </w:tc>
        <w:tc>
          <w:tcPr>
            <w:tcW w:type="dxa" w:w="2520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FFFFF" w:color="auto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D2D2D"/>
                <w:sz w:val="18"/>
                <w:szCs w:val="18"/>
              </w:rPr>
              <w:t xml:space="preserve">5</w:t>
            </w:r>
          </w:p>
        </w:tc>
        <w:tc>
          <w:tcPr>
            <w:tcW w:type="dxa" w:w="2520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FFFFF" w:color="auto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D2D2D"/>
                <w:sz w:val="18"/>
                <w:szCs w:val="18"/>
              </w:rPr>
              <w:t xml:space="preserve">1 440</w:t>
            </w:r>
          </w:p>
        </w:tc>
      </w:tr>
      <w:tr>
        <w:tc>
          <w:tcPr>
            <w:tcW w:type="dxa" w:w="2520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BEFF1" w:color="auto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7A1526"/>
                <w:sz w:val="16"/>
                <w:szCs w:val="16"/>
              </w:rPr>
              <w:t xml:space="preserve">Price</w:t>
            </w:r>
            <w:r>
              <w:rPr>
                <w:rFonts w:ascii="Calibri" w:cs="Calibri" w:eastAsia="Calibri" w:hAnsi="Calibri"/>
                <w:b/>
                <w:bCs/>
                <w:color w:val="7A1526"/>
                <w:sz w:val="18"/>
                <w:szCs w:val="18"/>
              </w:rPr>
              <w:t xml:space="preserve"> (GBP)</w:t>
            </w:r>
          </w:p>
        </w:tc>
        <w:tc>
          <w:tcPr>
            <w:tcW w:type="dxa" w:w="2520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BEFF1" w:color="auto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D2D2D"/>
                <w:sz w:val="18"/>
                <w:szCs w:val="18"/>
              </w:rPr>
              <w:t xml:space="preserve">2.55</w:t>
            </w:r>
          </w:p>
        </w:tc>
        <w:tc>
          <w:tcPr>
            <w:tcW w:type="dxa" w:w="2520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BEFF1" w:color="auto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D2D2D"/>
                <w:sz w:val="18"/>
                <w:szCs w:val="18"/>
              </w:rPr>
              <w:t xml:space="preserve">2.08</w:t>
            </w:r>
          </w:p>
        </w:tc>
        <w:tc>
          <w:tcPr>
            <w:tcW w:type="dxa" w:w="2520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BEFF1" w:color="auto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D2D2D"/>
                <w:sz w:val="18"/>
                <w:szCs w:val="18"/>
              </w:rPr>
              <w:t xml:space="preserve">2 736.16</w:t>
            </w:r>
          </w:p>
        </w:tc>
      </w:tr>
      <w:tr>
        <w:tc>
          <w:tcPr>
            <w:tcW w:type="dxa" w:w="2520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FFFFF" w:color="auto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7A1526"/>
                <w:sz w:val="16"/>
                <w:szCs w:val="16"/>
              </w:rPr>
              <w:t xml:space="preserve">Amount</w:t>
            </w:r>
            <w:r>
              <w:rPr>
                <w:rFonts w:ascii="Calibri" w:cs="Calibri" w:eastAsia="Calibri" w:hAnsi="Calibri"/>
                <w:b/>
                <w:bCs/>
                <w:color w:val="7A1526"/>
                <w:sz w:val="18"/>
                <w:szCs w:val="18"/>
              </w:rPr>
              <w:t xml:space="preserve"> (GBP)</w:t>
            </w:r>
          </w:p>
        </w:tc>
        <w:tc>
          <w:tcPr>
            <w:tcW w:type="dxa" w:w="2520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FFFFF" w:color="auto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D2D2D"/>
                <w:sz w:val="18"/>
                <w:szCs w:val="18"/>
              </w:rPr>
              <w:t xml:space="preserve">532.8</w:t>
            </w:r>
          </w:p>
        </w:tc>
        <w:tc>
          <w:tcPr>
            <w:tcW w:type="dxa" w:w="2520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FFFFF" w:color="auto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D2D2D"/>
                <w:sz w:val="18"/>
                <w:szCs w:val="18"/>
              </w:rPr>
              <w:t xml:space="preserve">13.2</w:t>
            </w:r>
          </w:p>
        </w:tc>
        <w:tc>
          <w:tcPr>
            <w:tcW w:type="dxa" w:w="2520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FFFFF" w:color="auto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D2D2D"/>
                <w:sz w:val="18"/>
                <w:szCs w:val="18"/>
              </w:rPr>
              <w:t xml:space="preserve">2 736.16</w:t>
            </w:r>
          </w:p>
        </w:tc>
      </w:tr>
    </w:tbl>
    <w:p>
      <w:pPr>
        <w:spacing w:after="220"/>
      </w:pPr>
    </w:p>
    <w:p>
      <w:pPr>
        <w:spacing w:line="270"/>
      </w:pPr>
      <w:r>
        <w:rPr>
          <w:rFonts w:ascii="Cambria" w:cs="Cambria" w:eastAsia="Cambria" w:hAnsi="Cambria"/>
          <w:color w:val="2D2D2D"/>
          <w:sz w:val="20"/>
          <w:szCs w:val="20"/>
        </w:rPr>
        <w:t xml:space="preserve">Se pide:</w:t>
      </w:r>
    </w:p>
    <w:tbl>
      <w:tblPr>
        <w:tblW w:type="dxa" w:w="1008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700"/>
        <w:gridCol w:w="9380"/>
      </w:tblGrid>
      <w:tr>
        <w:tc>
          <w:tcPr>
            <w:tcW w:type="dxa" w:w="700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FFFFF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7A1526"/>
                <w:sz w:val="20"/>
                <w:szCs w:val="20"/>
              </w:rPr>
              <w:t xml:space="preserve">1.</w:t>
            </w:r>
          </w:p>
        </w:tc>
        <w:tc>
          <w:tcPr>
            <w:tcW w:type="dxa" w:w="9380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FFFFF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line="265"/>
            </w:pPr>
            <w:r>
              <w:rPr>
                <w:rFonts w:ascii="Cambria" w:cs="Cambria" w:eastAsia="Cambria" w:hAnsi="Cambria"/>
                <w:color w:val="2D2D2D"/>
                <w:sz w:val="19"/>
                <w:szCs w:val="19"/>
              </w:rPr>
              <w:t xml:space="preserve">Perfilar el 1 % marcado: ¿qué las hace "raras"? Comparar las medianas de </w:t>
            </w:r>
            <w:r>
              <w:rPr>
                <w:rFonts w:ascii="Consolas" w:cs="Consolas" w:eastAsia="Consolas" w:hAnsi="Consolas"/>
                <w:color w:val="7A1526"/>
                <w:sz w:val="17"/>
                <w:szCs w:val="17"/>
              </w:rPr>
              <w:t xml:space="preserve">Quantity</w:t>
            </w:r>
            <w:r>
              <w:rPr>
                <w:rFonts w:ascii="Cambria" w:cs="Cambria" w:eastAsia="Cambria" w:hAnsi="Cambria"/>
                <w:color w:val="2D2D2D"/>
                <w:sz w:val="19"/>
                <w:szCs w:val="19"/>
              </w:rPr>
              <w:t xml:space="preserve"> y </w:t>
            </w:r>
            <w:r>
              <w:rPr>
                <w:rFonts w:ascii="Consolas" w:cs="Consolas" w:eastAsia="Consolas" w:hAnsi="Consolas"/>
                <w:color w:val="7A1526"/>
                <w:sz w:val="17"/>
                <w:szCs w:val="17"/>
              </w:rPr>
              <w:t xml:space="preserve">Amount</w:t>
            </w:r>
            <w:r>
              <w:rPr>
                <w:rFonts w:ascii="Cambria" w:cs="Cambria" w:eastAsia="Cambria" w:hAnsi="Cambria"/>
                <w:color w:val="2D2D2D"/>
                <w:sz w:val="19"/>
                <w:szCs w:val="19"/>
              </w:rPr>
              <w:t xml:space="preserve"> de las anómalas frente a las normales e indicar </w:t>
            </w:r>
            <w:r>
              <w:rPr>
                <w:rFonts w:ascii="Cambria" w:cs="Cambria" w:eastAsia="Cambria" w:hAnsi="Cambria"/>
                <w:b/>
                <w:bCs/>
                <w:color w:val="2D2D2D"/>
                <w:sz w:val="19"/>
                <w:szCs w:val="19"/>
              </w:rPr>
              <w:t xml:space="preserve">qué dos variables</w:t>
            </w:r>
            <w:r>
              <w:rPr>
                <w:rFonts w:ascii="Cambria" w:cs="Cambria" w:eastAsia="Cambria" w:hAnsi="Cambria"/>
                <w:color w:val="2D2D2D"/>
                <w:sz w:val="19"/>
                <w:szCs w:val="19"/>
              </w:rPr>
              <w:t xml:space="preserve"> elevan en mayor medida el score. Describir los </w:t>
            </w:r>
            <w:r>
              <w:rPr>
                <w:rFonts w:ascii="Cambria" w:cs="Cambria" w:eastAsia="Cambria" w:hAnsi="Cambria"/>
                <w:b/>
                <w:bCs/>
                <w:color w:val="2D2D2D"/>
                <w:sz w:val="19"/>
                <w:szCs w:val="19"/>
              </w:rPr>
              <w:t xml:space="preserve">dos tipos</w:t>
            </w:r>
            <w:r>
              <w:rPr>
                <w:rFonts w:ascii="Cambria" w:cs="Cambria" w:eastAsia="Cambria" w:hAnsi="Cambria"/>
                <w:color w:val="2D2D2D"/>
                <w:sz w:val="19"/>
                <w:szCs w:val="19"/>
              </w:rPr>
              <w:t xml:space="preserve"> de transacción atípica que aparecen (una por compra </w:t>
            </w:r>
            <w:r>
              <w:rPr>
                <w:rFonts w:ascii="Cambria" w:cs="Cambria" w:eastAsia="Cambria" w:hAnsi="Cambria"/>
                <w:b/>
                <w:bCs/>
                <w:color w:val="2D2D2D"/>
                <w:sz w:val="19"/>
                <w:szCs w:val="19"/>
              </w:rPr>
              <w:t xml:space="preserve">masiva</w:t>
            </w:r>
            <w:r>
              <w:rPr>
                <w:rFonts w:ascii="Cambria" w:cs="Cambria" w:eastAsia="Cambria" w:hAnsi="Cambria"/>
                <w:color w:val="2D2D2D"/>
                <w:sz w:val="19"/>
                <w:szCs w:val="19"/>
              </w:rPr>
              <w:t xml:space="preserve"> de unidades; otra por un </w:t>
            </w:r>
            <w:r>
              <w:rPr>
                <w:rFonts w:ascii="Cambria" w:cs="Cambria" w:eastAsia="Cambria" w:hAnsi="Cambria"/>
                <w:b/>
                <w:bCs/>
                <w:color w:val="2D2D2D"/>
                <w:sz w:val="19"/>
                <w:szCs w:val="19"/>
              </w:rPr>
              <w:t xml:space="preserve">precio unitario muy alto</w:t>
            </w:r>
            <w:r>
              <w:rPr>
                <w:rFonts w:ascii="Cambria" w:cs="Cambria" w:eastAsia="Cambria" w:hAnsi="Cambria"/>
                <w:color w:val="2D2D2D"/>
                <w:sz w:val="19"/>
                <w:szCs w:val="19"/>
              </w:rPr>
              <w:t xml:space="preserve"> en pocas unidades).</w:t>
            </w:r>
          </w:p>
        </w:tc>
      </w:tr>
      <w:tr>
        <w:tc>
          <w:tcPr>
            <w:tcW w:type="dxa" w:w="700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BEFF1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7A1526"/>
                <w:sz w:val="20"/>
                <w:szCs w:val="20"/>
              </w:rPr>
              <w:t xml:space="preserve">2.</w:t>
            </w:r>
          </w:p>
        </w:tc>
        <w:tc>
          <w:tcPr>
            <w:tcW w:type="dxa" w:w="9380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BEFF1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line="265"/>
            </w:pPr>
            <w:r>
              <w:rPr>
                <w:rFonts w:ascii="Cambria" w:cs="Cambria" w:eastAsia="Cambria" w:hAnsi="Cambria"/>
                <w:color w:val="2D2D2D"/>
                <w:sz w:val="19"/>
                <w:szCs w:val="19"/>
              </w:rPr>
              <w:t xml:space="preserve">Isolation Forest es </w:t>
            </w:r>
            <w:r>
              <w:rPr>
                <w:rFonts w:ascii="Cambria" w:cs="Cambria" w:eastAsia="Cambria" w:hAnsi="Cambria"/>
                <w:b/>
                <w:bCs/>
                <w:color w:val="2D2D2D"/>
                <w:sz w:val="19"/>
                <w:szCs w:val="19"/>
              </w:rPr>
              <w:t xml:space="preserve">no supervisado</w:t>
            </w:r>
            <w:r>
              <w:rPr>
                <w:rFonts w:ascii="Cambria" w:cs="Cambria" w:eastAsia="Cambria" w:hAnsi="Cambria"/>
                <w:color w:val="2D2D2D"/>
                <w:sz w:val="19"/>
                <w:szCs w:val="19"/>
              </w:rPr>
              <w:t xml:space="preserve"> (no se le dan etiquetas). ¿Por qué se puede </w:t>
            </w:r>
            <w:r>
              <w:rPr>
                <w:rFonts w:ascii="Cambria" w:cs="Cambria" w:eastAsia="Cambria" w:hAnsi="Cambria"/>
                <w:b/>
                <w:bCs/>
                <w:color w:val="2D2D2D"/>
                <w:sz w:val="19"/>
                <w:szCs w:val="19"/>
              </w:rPr>
              <w:t xml:space="preserve">confiar</w:t>
            </w:r>
            <w:r>
              <w:rPr>
                <w:rFonts w:ascii="Cambria" w:cs="Cambria" w:eastAsia="Cambria" w:hAnsi="Cambria"/>
                <w:color w:val="2D2D2D"/>
                <w:sz w:val="19"/>
                <w:szCs w:val="19"/>
              </w:rPr>
              <w:t xml:space="preserve"> en que su marca del 1 % es razonable, si en Online Retail II no hay una columna "anomalía" verdadera? </w:t>
            </w:r>
            <w:r>
              <w:rPr>
                <w:rFonts w:ascii="Cambria" w:cs="Cambria" w:eastAsia="Cambria" w:hAnsi="Cambria"/>
                <w:i/>
                <w:iCs/>
                <w:color w:val="2D2D2D"/>
                <w:sz w:val="19"/>
                <w:szCs w:val="19"/>
              </w:rPr>
              <w:t xml:space="preserve">(Pista: el mismo algoritmo, sobre un conjunto</w:t>
            </w:r>
            <w:r>
              <w:rPr>
                <w:rFonts w:ascii="Cambria" w:cs="Cambria" w:eastAsia="Cambria" w:hAnsi="Cambria"/>
                <w:color w:val="2D2D2D"/>
                <w:sz w:val="19"/>
                <w:szCs w:val="19"/>
              </w:rPr>
              <w:t xml:space="preserve"> </w:t>
            </w:r>
            <w:r>
              <w:rPr>
                <w:rFonts w:ascii="Cambria" w:cs="Cambria" w:eastAsia="Cambria" w:hAnsi="Cambria"/>
                <w:b/>
                <w:bCs/>
                <w:color w:val="2D2D2D"/>
                <w:sz w:val="19"/>
                <w:szCs w:val="19"/>
              </w:rPr>
              <w:t xml:space="preserve">etiquetado</w:t>
            </w:r>
            <w:r>
              <w:rPr>
                <w:rFonts w:ascii="Cambria" w:cs="Cambria" w:eastAsia="Cambria" w:hAnsi="Cambria"/>
                <w:color w:val="2D2D2D"/>
                <w:sz w:val="19"/>
                <w:szCs w:val="19"/>
              </w:rPr>
              <w:t xml:space="preserve"> </w:t>
            </w:r>
            <w:r>
              <w:rPr>
                <w:rFonts w:ascii="Cambria" w:cs="Cambria" w:eastAsia="Cambria" w:hAnsi="Cambria"/>
                <w:i/>
                <w:iCs/>
                <w:color w:val="2D2D2D"/>
                <w:sz w:val="19"/>
                <w:szCs w:val="19"/>
              </w:rPr>
              <w:t xml:space="preserve">como el de la réplica de la sesión —Mammography—, alcanza un AUC-ROC que sí se puede comprobar contra la etiqueta real; ese AUC se calcula en el cuaderno </w:t>
            </w:r>
            <w:r>
              <w:rPr>
                <w:rFonts w:ascii="Consolas" w:cs="Consolas" w:eastAsia="Consolas" w:hAnsi="Consolas"/>
                <w:i/>
                <w:iCs/>
                <w:color w:val="7A1526"/>
                <w:sz w:val="17"/>
                <w:szCs w:val="17"/>
              </w:rPr>
              <w:t xml:space="preserve">notebook/S07_clustering_anomalias.ipynb</w:t>
            </w:r>
            <w:r>
              <w:rPr>
                <w:rFonts w:ascii="Cambria" w:cs="Cambria" w:eastAsia="Cambria" w:hAnsi="Cambria"/>
                <w:i/>
                <w:iCs/>
                <w:color w:val="2D2D2D"/>
                <w:sz w:val="19"/>
                <w:szCs w:val="19"/>
              </w:rPr>
              <w:t xml:space="preserve">.)</w:t>
            </w:r>
          </w:p>
        </w:tc>
      </w:tr>
      <w:tr>
        <w:tc>
          <w:tcPr>
            <w:tcW w:type="dxa" w:w="700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FFFFF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7A1526"/>
                <w:sz w:val="20"/>
                <w:szCs w:val="20"/>
              </w:rPr>
              <w:t xml:space="preserve">3.</w:t>
            </w:r>
          </w:p>
        </w:tc>
        <w:tc>
          <w:tcPr>
            <w:tcW w:type="dxa" w:w="9380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FFFFF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line="265"/>
            </w:pPr>
            <w:r>
              <w:rPr>
                <w:rFonts w:ascii="Cambria" w:cs="Cambria" w:eastAsia="Cambria" w:hAnsi="Cambria"/>
                <w:color w:val="2D2D2D"/>
                <w:sz w:val="19"/>
                <w:szCs w:val="19"/>
              </w:rPr>
              <w:t xml:space="preserve">Isolation Forest </w:t>
            </w:r>
            <w:r>
              <w:rPr>
                <w:rFonts w:ascii="Cambria" w:cs="Cambria" w:eastAsia="Cambria" w:hAnsi="Cambria"/>
                <w:b/>
                <w:bCs/>
                <w:color w:val="2D2D2D"/>
                <w:sz w:val="19"/>
                <w:szCs w:val="19"/>
              </w:rPr>
              <w:t xml:space="preserve">no necesita</w:t>
            </w:r>
            <w:r>
              <w:rPr>
                <w:rFonts w:ascii="Cambria" w:cs="Cambria" w:eastAsia="Cambria" w:hAnsi="Cambria"/>
                <w:color w:val="2D2D2D"/>
                <w:sz w:val="19"/>
                <w:szCs w:val="19"/>
              </w:rPr>
              <w:t xml:space="preserve"> estandarizar para obtener el mismo ranking/AUC (a diferencia de LOF, que sí la necesita). Explicar </w:t>
            </w:r>
            <w:r>
              <w:rPr>
                <w:rFonts w:ascii="Cambria" w:cs="Cambria" w:eastAsia="Cambria" w:hAnsi="Cambria"/>
                <w:b/>
                <w:bCs/>
                <w:color w:val="2D2D2D"/>
                <w:sz w:val="19"/>
                <w:szCs w:val="19"/>
              </w:rPr>
              <w:t xml:space="preserve">qué propiedad</w:t>
            </w:r>
            <w:r>
              <w:rPr>
                <w:rFonts w:ascii="Cambria" w:cs="Cambria" w:eastAsia="Cambria" w:hAnsi="Cambria"/>
                <w:color w:val="2D2D2D"/>
                <w:sz w:val="19"/>
                <w:szCs w:val="19"/>
              </w:rPr>
              <w:t xml:space="preserve"> de Isolation Forest (parte por </w:t>
            </w:r>
            <w:r>
              <w:rPr>
                <w:rFonts w:ascii="Cambria" w:cs="Cambria" w:eastAsia="Cambria" w:hAnsi="Cambria"/>
                <w:b/>
                <w:bCs/>
                <w:color w:val="2D2D2D"/>
                <w:sz w:val="19"/>
                <w:szCs w:val="19"/>
              </w:rPr>
              <w:t xml:space="preserve">cortes</w:t>
            </w:r>
            <w:r>
              <w:rPr>
                <w:rFonts w:ascii="Cambria" w:cs="Cambria" w:eastAsia="Cambria" w:hAnsi="Cambria"/>
                <w:color w:val="2D2D2D"/>
                <w:sz w:val="19"/>
                <w:szCs w:val="19"/>
              </w:rPr>
              <w:t xml:space="preserve">, no por distancias) lo hace insensible a la escala — y por qué, aun así, este mismo ejercicio y el cuaderno (celda 66) </w:t>
            </w:r>
            <w:r>
              <w:rPr>
                <w:rFonts w:ascii="Cambria" w:cs="Cambria" w:eastAsia="Cambria" w:hAnsi="Cambria"/>
                <w:b/>
                <w:bCs/>
                <w:color w:val="2D2D2D"/>
                <w:sz w:val="19"/>
                <w:szCs w:val="19"/>
              </w:rPr>
              <w:t xml:space="preserve">sí aplican</w:t>
            </w:r>
            <w:r>
              <w:rPr>
                <w:rFonts w:ascii="Cambria" w:cs="Cambria" w:eastAsia="Cambria" w:hAnsi="Cambria"/>
                <w:color w:val="2D2D2D"/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color w:val="7A1526"/>
                <w:sz w:val="17"/>
                <w:szCs w:val="17"/>
              </w:rPr>
              <w:t xml:space="preserve">StandardScaler</w:t>
            </w:r>
            <w:r>
              <w:rPr>
                <w:rFonts w:ascii="Cambria" w:cs="Cambria" w:eastAsia="Cambria" w:hAnsi="Cambria"/>
                <w:color w:val="2D2D2D"/>
                <w:sz w:val="19"/>
                <w:szCs w:val="19"/>
              </w:rPr>
              <w:t xml:space="preserve"> a las transacciones antes de ajustarlo. </w:t>
            </w:r>
            <w:r>
              <w:rPr>
                <w:rFonts w:ascii="Cambria" w:cs="Cambria" w:eastAsia="Cambria" w:hAnsi="Cambria"/>
                <w:i/>
                <w:iCs/>
                <w:color w:val="2D2D2D"/>
                <w:sz w:val="19"/>
                <w:szCs w:val="19"/>
              </w:rPr>
              <w:t xml:space="preserve">(Pista: por consistencia de pipeline con Mammography/Shuttle, no por necesidad matemática; la hoja </w:t>
            </w:r>
            <w:r>
              <w:rPr>
                <w:rFonts w:ascii="Consolas" w:cs="Consolas" w:eastAsia="Consolas" w:hAnsi="Consolas"/>
                <w:i/>
                <w:iCs/>
                <w:color w:val="7A1526"/>
                <w:sz w:val="17"/>
                <w:szCs w:val="17"/>
              </w:rPr>
              <w:t xml:space="preserve">iforest_estandarizacion</w:t>
            </w:r>
            <w:r>
              <w:rPr>
                <w:rFonts w:ascii="Cambria" w:cs="Cambria" w:eastAsia="Cambria" w:hAnsi="Cambria"/>
                <w:i/>
                <w:iCs/>
                <w:color w:val="2D2D2D"/>
                <w:sz w:val="19"/>
                <w:szCs w:val="19"/>
              </w:rPr>
              <w:t xml:space="preserve"> certifica que el resultado —182 marcadas, mismo umbral, mismo importe— es idéntico con y sin estandarizar.)</w:t>
            </w:r>
          </w:p>
        </w:tc>
      </w:tr>
      <w:tr>
        <w:tc>
          <w:tcPr>
            <w:tcW w:type="dxa" w:w="700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BEFF1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7A1526"/>
                <w:sz w:val="20"/>
                <w:szCs w:val="20"/>
              </w:rPr>
              <w:t xml:space="preserve">4.</w:t>
            </w:r>
          </w:p>
        </w:tc>
        <w:tc>
          <w:tcPr>
            <w:tcW w:type="dxa" w:w="9380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BEFF1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line="265"/>
            </w:pPr>
            <w:r>
              <w:rPr>
                <w:rFonts w:ascii="Cambria" w:cs="Cambria" w:eastAsia="Cambria" w:hAnsi="Cambria"/>
                <w:color w:val="2D2D2D"/>
                <w:sz w:val="19"/>
                <w:szCs w:val="19"/>
              </w:rPr>
              <w:t xml:space="preserve">El gerente de fraude pide "cortar automáticamente todas las transacciones que Isolation Forest marque como anómalas". ¿Es prudente? Explicar qué </w:t>
            </w:r>
            <w:r>
              <w:rPr>
                <w:rFonts w:ascii="Cambria" w:cs="Cambria" w:eastAsia="Cambria" w:hAnsi="Cambria"/>
                <w:b/>
                <w:bCs/>
                <w:color w:val="2D2D2D"/>
                <w:sz w:val="19"/>
                <w:szCs w:val="19"/>
              </w:rPr>
              <w:t xml:space="preserve">es</w:t>
            </w:r>
            <w:r>
              <w:rPr>
                <w:rFonts w:ascii="Cambria" w:cs="Cambria" w:eastAsia="Cambria" w:hAnsi="Cambria"/>
                <w:color w:val="2D2D2D"/>
                <w:sz w:val="19"/>
                <w:szCs w:val="19"/>
              </w:rPr>
              <w:t xml:space="preserve"> y qué </w:t>
            </w:r>
            <w:r>
              <w:rPr>
                <w:rFonts w:ascii="Cambria" w:cs="Cambria" w:eastAsia="Cambria" w:hAnsi="Cambria"/>
                <w:b/>
                <w:bCs/>
                <w:color w:val="2D2D2D"/>
                <w:sz w:val="19"/>
                <w:szCs w:val="19"/>
              </w:rPr>
              <w:t xml:space="preserve">no es</w:t>
            </w:r>
            <w:r>
              <w:rPr>
                <w:rFonts w:ascii="Cambria" w:cs="Cambria" w:eastAsia="Cambria" w:hAnsi="Cambria"/>
                <w:color w:val="2D2D2D"/>
                <w:sz w:val="19"/>
                <w:szCs w:val="19"/>
              </w:rPr>
              <w:t xml:space="preserve"> la bandera de anomalía (hipótesis a revisar vs. sentencia), y proponer un uso operativo del score continuo (p. ej. una cola de revisión priorizada por score) coherente con el presupuesto de revisión. </w:t>
            </w:r>
            <w:r>
              <w:rPr>
                <w:rFonts w:ascii="Cambria" w:cs="Cambria" w:eastAsia="Cambria" w:hAnsi="Cambria"/>
                <w:b/>
                <w:bCs/>
                <w:color w:val="2D2D2D"/>
                <w:sz w:val="19"/>
                <w:szCs w:val="19"/>
              </w:rPr>
              <w:t xml:space="preserve">Cerrar en dinero:</w:t>
            </w:r>
            <w:r>
              <w:rPr>
                <w:rFonts w:ascii="Cambria" w:cs="Cambria" w:eastAsia="Cambria" w:hAnsi="Cambria"/>
                <w:color w:val="2D2D2D"/>
                <w:sz w:val="19"/>
                <w:szCs w:val="19"/>
              </w:rPr>
              <w:t xml:space="preserve"> con el </w:t>
            </w:r>
            <w:r>
              <w:rPr>
                <w:rFonts w:ascii="Consolas" w:cs="Consolas" w:eastAsia="Consolas" w:hAnsi="Consolas"/>
                <w:color w:val="7A1526"/>
                <w:sz w:val="17"/>
                <w:szCs w:val="17"/>
              </w:rPr>
              <w:t xml:space="preserve">Amount</w:t>
            </w:r>
            <w:r>
              <w:rPr>
                <w:rFonts w:ascii="Cambria" w:cs="Cambria" w:eastAsia="Cambria" w:hAnsi="Cambria"/>
                <w:color w:val="2D2D2D"/>
                <w:sz w:val="19"/>
                <w:szCs w:val="19"/>
              </w:rPr>
              <w:t xml:space="preserve"> de las 182 marcadas, estimar el </w:t>
            </w:r>
            <w:r>
              <w:rPr>
                <w:rFonts w:ascii="Cambria" w:cs="Cambria" w:eastAsia="Cambria" w:hAnsi="Cambria"/>
                <w:b/>
                <w:bCs/>
                <w:color w:val="2D2D2D"/>
                <w:sz w:val="19"/>
                <w:szCs w:val="19"/>
              </w:rPr>
              <w:t xml:space="preserve">importe en riesgo</w:t>
            </w:r>
            <w:r>
              <w:rPr>
                <w:rFonts w:ascii="Cambria" w:cs="Cambria" w:eastAsia="Cambria" w:hAnsi="Cambria"/>
                <w:color w:val="2D2D2D"/>
                <w:sz w:val="19"/>
                <w:szCs w:val="19"/>
              </w:rPr>
              <w:t xml:space="preserve"> (suma de su </w:t>
            </w:r>
            <w:r>
              <w:rPr>
                <w:rFonts w:ascii="Consolas" w:cs="Consolas" w:eastAsia="Consolas" w:hAnsi="Consolas"/>
                <w:color w:val="7A1526"/>
                <w:sz w:val="17"/>
                <w:szCs w:val="17"/>
              </w:rPr>
              <w:t xml:space="preserve">Amount</w:t>
            </w:r>
            <w:r>
              <w:rPr>
                <w:rFonts w:ascii="Cambria" w:cs="Cambria" w:eastAsia="Cambria" w:hAnsi="Cambria"/>
                <w:color w:val="2D2D2D"/>
                <w:sz w:val="19"/>
                <w:szCs w:val="19"/>
              </w:rPr>
              <w:t xml:space="preserve"> en GBP y qué </w:t>
            </w:r>
            <w:r>
              <w:rPr>
                <w:rFonts w:ascii="Cambria" w:cs="Cambria" w:eastAsia="Cambria" w:hAnsi="Cambria"/>
                <w:b/>
                <w:bCs/>
                <w:color w:val="2D2D2D"/>
                <w:sz w:val="19"/>
                <w:szCs w:val="19"/>
              </w:rPr>
              <w:t xml:space="preserve">% del volumen total</w:t>
            </w:r>
            <w:r>
              <w:rPr>
                <w:rFonts w:ascii="Cambria" w:cs="Cambria" w:eastAsia="Cambria" w:hAnsi="Cambria"/>
                <w:color w:val="2D2D2D"/>
                <w:sz w:val="19"/>
                <w:szCs w:val="19"/>
              </w:rPr>
              <w:t xml:space="preserve"> de ventas concentra ese 1 %) y contrastarlo con el </w:t>
            </w:r>
            <w:r>
              <w:rPr>
                <w:rFonts w:ascii="Cambria" w:cs="Cambria" w:eastAsia="Cambria" w:hAnsi="Cambria"/>
                <w:b/>
                <w:bCs/>
                <w:color w:val="2D2D2D"/>
                <w:sz w:val="19"/>
                <w:szCs w:val="19"/>
              </w:rPr>
              <w:t xml:space="preserve">costo de revisar</w:t>
            </w:r>
            <w:r>
              <w:rPr>
                <w:rFonts w:ascii="Cambria" w:cs="Cambria" w:eastAsia="Cambria" w:hAnsi="Cambria"/>
                <w:color w:val="2D2D2D"/>
                <w:sz w:val="19"/>
                <w:szCs w:val="19"/>
              </w:rPr>
              <w:t xml:space="preserve"> ese 1 % (nº de marcadas × minutos-analista × tarifa), para argumentar si revisar </w:t>
            </w:r>
            <w:r>
              <w:rPr>
                <w:rFonts w:ascii="Cambria" w:cs="Cambria" w:eastAsia="Cambria" w:hAnsi="Cambria"/>
                <w:b/>
                <w:bCs/>
                <w:color w:val="2D2D2D"/>
                <w:sz w:val="19"/>
                <w:szCs w:val="19"/>
              </w:rPr>
              <w:t xml:space="preserve">conviene en dinero</w:t>
            </w:r>
            <w:r>
              <w:rPr>
                <w:rFonts w:ascii="Cambria" w:cs="Cambria" w:eastAsia="Cambria" w:hAnsi="Cambria"/>
                <w:color w:val="2D2D2D"/>
                <w:sz w:val="19"/>
                <w:szCs w:val="19"/>
              </w:rPr>
              <w:t xml:space="preserve"> —no solo por el tope de presupuesto—. </w:t>
            </w:r>
            <w:r>
              <w:rPr>
                <w:rFonts w:ascii="Cambria" w:cs="Cambria" w:eastAsia="Cambria" w:hAnsi="Cambria"/>
                <w:i/>
                <w:iCs/>
                <w:color w:val="2D2D2D"/>
                <w:sz w:val="19"/>
                <w:szCs w:val="19"/>
              </w:rPr>
              <w:t xml:space="preserve">(Insumos de costeo, declarados</w:t>
            </w:r>
            <w:r>
              <w:rPr>
                <w:rFonts w:ascii="Cambria" w:cs="Cambria" w:eastAsia="Cambria" w:hAnsi="Cambria"/>
                <w:color w:val="2D2D2D"/>
                <w:sz w:val="19"/>
                <w:szCs w:val="19"/>
              </w:rPr>
              <w:t xml:space="preserve"> </w:t>
            </w:r>
            <w:r>
              <w:rPr>
                <w:rFonts w:ascii="Cambria" w:cs="Cambria" w:eastAsia="Cambria" w:hAnsi="Cambria"/>
                <w:b/>
                <w:bCs/>
                <w:color w:val="2D2D2D"/>
                <w:sz w:val="19"/>
                <w:szCs w:val="19"/>
              </w:rPr>
              <w:t xml:space="preserve">ilustrativos</w:t>
            </w:r>
            <w:r>
              <w:rPr>
                <w:rFonts w:ascii="Cambria" w:cs="Cambria" w:eastAsia="Cambria" w:hAnsi="Cambria"/>
                <w:i/>
                <w:iCs/>
                <w:color w:val="2D2D2D"/>
                <w:sz w:val="19"/>
                <w:szCs w:val="19"/>
              </w:rPr>
              <w:t xml:space="preserve">, no un dato del caso: tarifa del analista ≈ £24/hora, tiempo de revisión ≈ 10 minutos por transacción marcada </w:t>
            </w:r>
            <w:r>
              <w:rPr>
                <w:rFonts w:ascii="Calibri" w:cs="Calibri" w:eastAsia="Calibri" w:hAnsi="Calibri"/>
                <w:i/>
                <w:iCs/>
                <w:color w:val="2D2D2D"/>
                <w:sz w:val="19"/>
                <w:szCs w:val="19"/>
              </w:rPr>
              <w:t xml:space="preserve">→</w:t>
            </w:r>
            <w:r>
              <w:rPr>
                <w:rFonts w:ascii="Cambria" w:cs="Cambria" w:eastAsia="Cambria" w:hAnsi="Cambria"/>
                <w:i/>
                <w:iCs/>
                <w:color w:val="2D2D2D"/>
                <w:sz w:val="19"/>
                <w:szCs w:val="19"/>
              </w:rPr>
              <w:t xml:space="preserve"> costo unitario ≈ £4/revisión.)</w:t>
            </w:r>
          </w:p>
        </w:tc>
      </w:tr>
    </w:tbl>
    <w:p>
      <w:pPr>
        <w:spacing w:after="220"/>
      </w:pPr>
    </w:p>
    <w:tbl>
      <w:tblPr>
        <w:tblW w:type="dxa" w:w="1008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80"/>
      </w:tblGrid>
      <w:tr>
        <w:tc>
          <w:tcPr>
            <w:tcW w:type="dxa" w:w="10080"/>
            <w:tcBorders>
              <w:top w:val="single" w:color="E4002B" w:sz="14"/>
              <w:left w:val="none" w:color="FFFFFF" w:sz="0"/>
              <w:bottom w:val="single" w:color="D9D9D9" w:sz="4"/>
              <w:right w:val="none" w:color="FFFFFF" w:sz="0"/>
            </w:tcBorders>
            <w:shd w:fill="F2F3F5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keepNext/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7A1526"/>
                <w:sz w:val="15"/>
                <w:szCs w:val="15"/>
              </w:rPr>
              <w:t xml:space="preserve">NOTA TÉCNICA 3.1   </w:t>
            </w:r>
            <w:r>
              <w:rPr>
                <w:rFonts w:ascii="Calibri" w:cs="Calibri" w:eastAsia="Calibri" w:hAnsi="Calibri"/>
                <w:b/>
                <w:bCs/>
                <w:color w:val="7A1526"/>
                <w:sz w:val="19"/>
                <w:szCs w:val="19"/>
              </w:rPr>
              <w:t xml:space="preserve">Proyección — ¿qué pasaría si...?</w:t>
            </w:r>
          </w:p>
          <w:p>
            <w:pPr>
              <w:spacing w:after="70" w:line="265"/>
            </w:pPr>
            <w:r>
              <w:rPr>
                <w:rFonts w:ascii="Cambria" w:cs="Cambria" w:eastAsia="Cambria" w:hAnsi="Cambria"/>
                <w:color w:val="3A3A3A"/>
                <w:sz w:val="18"/>
                <w:szCs w:val="18"/>
              </w:rPr>
              <w:t xml:space="preserve">Isolation Forest marca aquí transacciones atípicas, aisladas unas de otras. ¿Qué pasaría si, en lugar de atipicidad, se quisiera descubrir qué productos tienden a comprarse juntos dentro de las transacciones normales? ¿Qué técnica identifica esas combinaciones frecuentes? </w:t>
            </w:r>
            <w:r>
              <w:rPr>
                <w:rFonts w:ascii="Cambria" w:cs="Cambria" w:eastAsia="Cambria" w:hAnsi="Cambria"/>
                <w:i/>
                <w:iCs/>
                <w:color w:val="3A3A3A"/>
                <w:sz w:val="18"/>
                <w:szCs w:val="18"/>
              </w:rPr>
              <w:t xml:space="preserve">(No se resuelve aquí — las reglas de asociación son el tema de la S08.)</w:t>
            </w:r>
          </w:p>
        </w:tc>
      </w:tr>
    </w:tbl>
    <w:p>
      <w:pPr>
        <w:spacing w:after="220"/>
      </w:pPr>
    </w:p>
    <w:p>
      <w:pPr>
        <w:spacing w:after="260" w:line="265"/>
      </w:pPr>
      <w:r>
        <w:rPr>
          <w:rFonts w:ascii="Cambria" w:cs="Cambria" w:eastAsia="Cambria" w:hAnsi="Cambria"/>
          <w:i/>
          <w:iCs/>
          <w:color w:val="6E6E6E"/>
          <w:sz w:val="18"/>
          <w:szCs w:val="18"/>
        </w:rPr>
        <w:t xml:space="preserve">El procedimiento y las respuestas los conserva el docente. El desempeño en estos drills se refuerza en el </w:t>
      </w:r>
      <w:r>
        <w:rPr>
          <w:rFonts w:ascii="Cambria" w:cs="Cambria" w:eastAsia="Cambria" w:hAnsi="Cambria"/>
          <w:b/>
          <w:bCs/>
          <w:i/>
          <w:iCs/>
          <w:color w:val="6E6E6E"/>
          <w:sz w:val="18"/>
          <w:szCs w:val="18"/>
        </w:rPr>
        <w:t xml:space="preserve">control corto</w:t>
      </w:r>
      <w:r>
        <w:rPr>
          <w:rFonts w:ascii="Cambria" w:cs="Cambria" w:eastAsia="Cambria" w:hAnsi="Cambria"/>
          <w:i/>
          <w:iCs/>
          <w:color w:val="6E6E6E"/>
          <w:sz w:val="18"/>
          <w:szCs w:val="18"/>
        </w:rPr>
        <w:t xml:space="preserve"> de cierre de la sesión y se evalúa de forma integral en </w:t>
      </w:r>
      <w:r>
        <w:rPr>
          <w:rFonts w:ascii="Consolas" w:cs="Consolas" w:eastAsia="Consolas" w:hAnsi="Consolas"/>
          <w:i/>
          <w:iCs/>
          <w:color w:val="7A1526"/>
          <w:sz w:val="16"/>
          <w:szCs w:val="16"/>
        </w:rPr>
        <w:t xml:space="preserve">evaluacion/entregable.docx</w:t>
      </w:r>
      <w:r>
        <w:rPr>
          <w:rFonts w:ascii="Cambria" w:cs="Cambria" w:eastAsia="Cambria" w:hAnsi="Cambria"/>
          <w:i/>
          <w:iCs/>
          <w:color w:val="6E6E6E"/>
          <w:sz w:val="18"/>
          <w:szCs w:val="18"/>
        </w:rPr>
        <w:t xml:space="preserve">.</w:t>
      </w:r>
    </w:p>
    <w:sectPr>
      <w:headerReference w:type="default" r:id="rId7"/>
      <w:footerReference w:type="default" r:id="rId8"/>
      <w:pgSz w:w="12240" w:h="15840" w:orient="portrait"/>
      <w:pgMar w:top="1080" w:right="1080" w:bottom="100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6E6E6E"/>
        <w:sz w:val="14"/>
        <w:szCs w:val="14"/>
      </w:rPr>
      <w:t xml:space="preserve">Herramientas para la Ciencia de Datos, UPC, Facultad de Negocios     |     </w:t>
    </w:r>
    <w:r>
      <w:rPr>
        <w:rFonts w:ascii="Calibri" w:cs="Calibri" w:eastAsia="Calibri" w:hAnsi="Calibri"/>
        <w:b/>
        <w:bCs/>
        <w:color w:val="7A1526"/>
        <w:sz w:val="14"/>
        <w:szCs w:val="14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FE2E6" w:sz="4" w:space="4"/>
      </w:pBdr>
      <w:spacing w:after="120"/>
    </w:pPr>
    <w:r>
      <w:rPr>
        <w:rFonts w:ascii="Calibri" w:cs="Calibri" w:eastAsia="Calibri" w:hAnsi="Calibri"/>
        <w:color w:val="6E6E6E"/>
        <w:sz w:val="15"/>
        <w:szCs w:val="15"/>
      </w:rPr>
      <w:t xml:space="preserve">Drills — Sesión S07: Clustering jerárquico + DBSCAN + detección de anomalías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mbria" w:cs="Cambria" w:eastAsia="Cambria" w:hAnsi="Cambria"/>
        <w:color w:val="2D2D2D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Drills — Sesión S07</dc:title>
  <dc:creator>UPC</dc:creator>
  <dc:description>Clustering jerárquico + DBSCAN + detección de anomalías</dc:description>
  <cp:lastModifiedBy>Un-named</cp:lastModifiedBy>
  <cp:revision>1</cp:revision>
  <dcterms:created xsi:type="dcterms:W3CDTF">2026-09-11T14:14:07.490Z</dcterms:created>
  <dcterms:modified xsi:type="dcterms:W3CDTF">2026-09-11T14:14:07.491Z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