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200"/>
        <w:ind w:left="113"/>
        <w:shd w:val="clear" w:color="auto" w:fill="E4002B"/>
        <w:pBdr>
          <w:top w:val="single" w:sz="18" w:space="6" w:color="E4002B"/>
          <w:bottom w:val="single" w:sz="18" w:space="6" w:color="E4002B"/>
          <w:left w:val="single" w:sz="18" w:space="6" w:color="E4002B"/>
          <w:right w:val="single" w:sz="18" w:space="6" w:color="E4002B"/>
        </w:pBdr>
      </w:pPr>
      <w:r>
        <w:rPr>
          <w:b/>
          <w:color w:val="FFFFFF"/>
          <w:sz w:val="40"/>
        </w:rPr>
        <w:t>Plantilla de «fichas de segmento» con acciones de marketing</w:t>
      </w:r>
    </w:p>
    <w:p>
      <w:pPr>
        <w:spacing w:before="80" w:after="160" w:line="288" w:lineRule="auto"/>
        <w:ind w:left="85" w:right="85"/>
        <w:shd w:val="clear" w:color="auto" w:fill="F4F4F4"/>
        <w:pBdr>
          <w:left w:val="single" w:sz="24" w:space="10" w:color="E4002B"/>
        </w:pBdr>
      </w:pPr>
      <w:r>
        <w:rPr>
          <w:color w:val="2D2D2D"/>
        </w:rPr>
        <w:t xml:space="preserve">Plantilla de trabajo de la Sesión S07 — Herramientas para la Ciencia de Datos (UPC). Una </w:t>
      </w:r>
      <w:r>
        <w:rPr>
          <w:b/>
          <w:color w:val="2D2D2D"/>
        </w:rPr>
        <w:t>ficha por segmento</w:t>
      </w:r>
      <w:r>
        <w:rPr>
          <w:color w:val="2D2D2D"/>
        </w:rPr>
        <w:t xml:space="preserve">: nombre, perfil RFM, tamaño, valor y </w:t>
      </w:r>
      <w:r>
        <w:rPr>
          <w:b/>
          <w:color w:val="2D2D2D"/>
        </w:rPr>
        <w:t>2–3 acciones de marketing</w:t>
      </w:r>
      <w:r>
        <w:rPr>
          <w:color w:val="2D2D2D"/>
        </w:rPr>
        <w:t xml:space="preserve"> recomendadas, con un ejemplo resuelto. Convierte la tabla de perfilamiento (</w:t>
      </w:r>
      <w:r>
        <w:rPr>
          <w:rFonts w:ascii="Consolas" w:hAnsi="Consolas"/>
          <w:color w:val="2D2D2D"/>
          <w:sz w:val="19"/>
        </w:rPr>
        <w:t>plantillas/rfm_perfilamiento.docx</w:t>
      </w:r>
      <w:r>
        <w:rPr>
          <w:color w:val="2D2D2D"/>
        </w:rPr>
        <w:t xml:space="preserve">) en decisiones accionables. Se completa junto al cuaderno </w:t>
      </w:r>
      <w:r>
        <w:rPr>
          <w:rFonts w:ascii="Consolas" w:hAnsi="Consolas"/>
          <w:color w:val="2D2D2D"/>
          <w:sz w:val="19"/>
        </w:rPr>
        <w:t>notebook/S07_clustering_anomalias.ipynb</w:t>
      </w:r>
      <w:r>
        <w:rPr>
          <w:color w:val="2D2D2D"/>
        </w:rPr>
        <w:t xml:space="preserve"> y es el </w:t>
      </w:r>
      <w:r>
        <w:rPr>
          <w:b/>
          <w:color w:val="2D2D2D"/>
        </w:rPr>
        <w:t>entregable central</w:t>
      </w:r>
      <w:r>
        <w:rPr>
          <w:color w:val="2D2D2D"/>
        </w:rPr>
        <w:t xml:space="preserve"> de </w:t>
      </w:r>
      <w:r>
        <w:rPr>
          <w:rFonts w:ascii="Consolas" w:hAnsi="Consolas"/>
          <w:color w:val="2D2D2D"/>
          <w:sz w:val="19"/>
        </w:rPr>
        <w:t>evaluacion/entregable.docx</w:t>
      </w:r>
      <w:r>
        <w:rPr>
          <w:color w:val="2D2D2D"/>
        </w:rPr>
        <w:t xml:space="preserve"> (perfilar los segmentos en «fichas de segmento» con acciones de marketing). Español impersonal. Fechas DD/MM/YYYY, UTF-8.</w:t>
      </w:r>
    </w:p>
    <w:p>
      <w:pPr>
        <w:keepNext/>
        <w:spacing w:before="240" w:after="60"/>
        <w:pBdr>
          <w:bottom w:val="single" w:sz="6" w:space="2" w:color="E4002B"/>
        </w:pBdr>
      </w:pPr>
      <w:r>
        <w:rPr>
          <w:b/>
          <w:color w:val="E4002B"/>
          <w:sz w:val="30"/>
        </w:rPr>
        <w:t>Concepto</w:t>
      </w:r>
    </w:p>
    <w:p>
      <w:pPr>
        <w:jc w:val="both"/>
      </w:pPr>
      <w:r>
        <w:t xml:space="preserve">Un cluster </w:t>
      </w:r>
      <w:r>
        <w:rPr>
          <w:b/>
        </w:rPr>
        <w:t>sin perfilar</w:t>
      </w:r>
      <w:r>
        <w:t xml:space="preserve"> es solo un número de etiqueta; la ficha de la sesión de segmento es lo que lo convierte en una </w:t>
      </w:r>
      <w:r>
        <w:rPr>
          <w:b/>
        </w:rPr>
        <w:t>decisión de marketing</w:t>
      </w:r>
      <w:r>
        <w:t xml:space="preserve"> (a quién retener, a quién reactivar, a quién subir de categoría). Cada ficha traduce el perfil numérico (R, F, M frente al promedio global) en un </w:t>
      </w:r>
      <w:r>
        <w:rPr>
          <w:b/>
        </w:rPr>
        <w:t>nombre</w:t>
      </w:r>
      <w:r>
        <w:t xml:space="preserve">, una </w:t>
      </w:r>
      <w:r>
        <w:rPr>
          <w:b/>
        </w:rPr>
        <w:t>prioridad</w:t>
      </w:r>
      <w:r>
        <w:t xml:space="preserve"> (según tamaño y % de ingreso) y </w:t>
      </w:r>
      <w:r>
        <w:rPr>
          <w:b/>
        </w:rPr>
        <w:t>acciones concretas</w:t>
      </w:r>
      <w:r>
        <w:t xml:space="preserve">. La regla de oro: </w:t>
      </w:r>
      <w:r>
        <w:rPr>
          <w:b/>
        </w:rPr>
        <w:t>cada afirmación declarado para la sesión está respaldada por la tabla de perfilamiento</w:t>
      </w:r>
      <w:r>
        <w:t xml:space="preserve">, no por intuición; y los valores se muestran en </w:t>
      </w:r>
      <w:r>
        <w:rPr>
          <w:b/>
        </w:rPr>
        <w:t>unidades de negocio</w:t>
      </w:r>
      <w:r>
        <w:t xml:space="preserve"> (días, nº de pedidos, £), no en z-scores.</w:t>
      </w:r>
    </w:p>
    <w:p>
      <w:pPr>
        <w:spacing w:before="80" w:after="160" w:line="288" w:lineRule="auto"/>
        <w:ind w:left="85" w:right="85"/>
        <w:shd w:val="clear" w:color="auto" w:fill="F4F4F4"/>
        <w:pBdr>
          <w:left w:val="single" w:sz="24" w:space="10" w:color="E4002B"/>
        </w:pBdr>
      </w:pPr>
      <w:r>
        <w:rPr>
          <w:b/>
          <w:color w:val="2D2D2D"/>
        </w:rPr>
        <w:t>El `cluster_id` es arbitrario entre ejecuciones.</w:t>
      </w:r>
      <w:r>
        <w:rPr>
          <w:color w:val="2D2D2D"/>
        </w:rPr>
        <w:t xml:space="preserve"> El número que </w:t>
      </w:r>
      <w:r>
        <w:rPr>
          <w:rFonts w:ascii="Consolas" w:hAnsi="Consolas"/>
          <w:color w:val="2D2D2D"/>
          <w:sz w:val="19"/>
        </w:rPr>
        <w:t>AgglomerativeClustering</w:t>
      </w:r>
      <w:r>
        <w:rPr>
          <w:color w:val="2D2D2D"/>
        </w:rPr>
        <w:t>/</w:t>
      </w:r>
      <w:r>
        <w:rPr>
          <w:rFonts w:ascii="Consolas" w:hAnsi="Consolas"/>
          <w:color w:val="2D2D2D"/>
          <w:sz w:val="19"/>
        </w:rPr>
        <w:t>DBSCAN</w:t>
      </w:r>
      <w:r>
        <w:rPr>
          <w:color w:val="2D2D2D"/>
        </w:rPr>
        <w:t xml:space="preserve"> asigna a cada grupo (0, 1, 2, 3…) no tiene significado propio ni es comparable entre ejecuciones distintas (otra semilla, otra versión de sklearn, otro orden de filas puede numerar los mismos grupos de otro modo). Cada segmento se identifica y se nombra siempre por su </w:t>
      </w:r>
      <w:r>
        <w:rPr>
          <w:b/>
          <w:color w:val="2D2D2D"/>
        </w:rPr>
        <w:t>perfil</w:t>
      </w:r>
      <w:r>
        <w:rPr>
          <w:color w:val="2D2D2D"/>
        </w:rPr>
        <w:t xml:space="preserve"> (R/F/M frente al promedio), respaldado por la tabla de perfilamiento — nunca memorice «cluster_id N = tal segmento» como si fuera fijo.</w:t>
      </w:r>
    </w:p>
    <w:p>
      <w:pPr>
        <w:jc w:val="both"/>
      </w:pPr>
      <w:r>
        <w:rPr>
          <w:b/>
        </w:rPr>
        <w:t>Cómo se leen los patrones RFM para nombrar y accionar</w:t>
      </w:r>
      <w:r>
        <w:t xml:space="preserve"> (recordatorio):</w:t>
      </w:r>
    </w:p>
    <w:tbl>
      <w:tblPr>
        <w:tblStyle w:val="TableGrid"/>
        <w:tblW w:type="auto" w:w="0"/>
        <w:tblLayout w:type="autofi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3249"/>
        <w:gridCol w:w="3249"/>
        <w:gridCol w:w="3249"/>
      </w:tblGrid>
      <w:tr>
        <w:tc>
          <w:tcPr>
            <w:tcW w:type="dxa" w:w="3249"/>
            <w:tcMar>
              <w:top w:w="60" w:type="dxa"/>
              <w:bottom w:w="60" w:type="dxa"/>
              <w:start w:w="110" w:type="dxa"/>
              <w:end w:w="110" w:type="dxa"/>
            </w:tcMar>
            <w:vAlign w:val="center"/>
            <w:shd w:val="clear" w:color="auto" w:fill="E4002B"/>
          </w:tcPr>
          <w:p>
            <w:pPr>
              <w:spacing w:after="0"/>
            </w:pPr>
            <w:r/>
            <w:r>
              <w:rPr>
                <w:b/>
                <w:color w:val="FFFFFF"/>
                <w:sz w:val="19"/>
              </w:rPr>
              <w:t>Patrón (respecto al promedio)</w:t>
            </w:r>
          </w:p>
        </w:tc>
        <w:tc>
          <w:tcPr>
            <w:tcW w:type="dxa" w:w="3249"/>
            <w:tcMar>
              <w:top w:w="60" w:type="dxa"/>
              <w:bottom w:w="60" w:type="dxa"/>
              <w:start w:w="110" w:type="dxa"/>
              <w:end w:w="110" w:type="dxa"/>
            </w:tcMar>
            <w:vAlign w:val="center"/>
            <w:shd w:val="clear" w:color="auto" w:fill="E4002B"/>
          </w:tcPr>
          <w:p>
            <w:pPr>
              <w:spacing w:after="0"/>
            </w:pPr>
            <w:r/>
            <w:r>
              <w:rPr>
                <w:b/>
                <w:color w:val="FFFFFF"/>
                <w:sz w:val="19"/>
              </w:rPr>
              <w:t>Segmento</w:t>
            </w:r>
          </w:p>
        </w:tc>
        <w:tc>
          <w:tcPr>
            <w:tcW w:type="dxa" w:w="3249"/>
            <w:tcMar>
              <w:top w:w="60" w:type="dxa"/>
              <w:bottom w:w="60" w:type="dxa"/>
              <w:start w:w="110" w:type="dxa"/>
              <w:end w:w="110" w:type="dxa"/>
            </w:tcMar>
            <w:vAlign w:val="center"/>
            <w:shd w:val="clear" w:color="auto" w:fill="E4002B"/>
          </w:tcPr>
          <w:p>
            <w:pPr>
              <w:spacing w:after="0"/>
            </w:pPr>
            <w:r/>
            <w:r>
              <w:rPr>
                <w:b/>
                <w:color w:val="FFFFFF"/>
                <w:sz w:val="19"/>
              </w:rPr>
              <w:t>Acciones típicas</w:t>
            </w:r>
          </w:p>
        </w:tc>
      </w:tr>
      <w:tr>
        <w:tc>
          <w:tcPr>
            <w:tcW w:type="dxa" w:w="3249"/>
            <w:tcMar>
              <w:top w:w="60" w:type="dxa"/>
              <w:bottom w:w="60" w:type="dxa"/>
              <w:start w:w="110" w:type="dxa"/>
              <w:end w:w="110" w:type="dxa"/>
            </w:tcMar>
            <w:vAlign w:val="center"/>
          </w:tcPr>
          <w:p>
            <w:pPr>
              <w:spacing w:after="0"/>
            </w:pPr>
            <w:r>
              <w:rPr>
                <w:sz w:val="19"/>
              </w:rPr>
            </w:r>
            <w:r>
              <w:rPr>
                <w:sz w:val="19"/>
              </w:rPr>
              <w:t xml:space="preserve">R </w:t>
            </w:r>
            <w:r>
              <w:rPr>
                <w:b/>
                <w:sz w:val="19"/>
              </w:rPr>
              <w:t>baja</w:t>
            </w:r>
            <w:r>
              <w:rPr>
                <w:sz w:val="19"/>
              </w:rPr>
              <w:t xml:space="preserve"> + F </w:t>
            </w:r>
            <w:r>
              <w:rPr>
                <w:b/>
                <w:sz w:val="19"/>
              </w:rPr>
              <w:t>alta</w:t>
            </w:r>
            <w:r>
              <w:rPr>
                <w:sz w:val="19"/>
              </w:rPr>
              <w:t xml:space="preserve"> + M </w:t>
            </w:r>
            <w:r>
              <w:rPr>
                <w:b/>
                <w:sz w:val="19"/>
              </w:rPr>
              <w:t>alto</w:t>
            </w:r>
          </w:p>
        </w:tc>
        <w:tc>
          <w:tcPr>
            <w:tcW w:type="dxa" w:w="3249"/>
            <w:tcMar>
              <w:top w:w="60" w:type="dxa"/>
              <w:bottom w:w="60" w:type="dxa"/>
              <w:start w:w="110" w:type="dxa"/>
              <w:end w:w="110" w:type="dxa"/>
            </w:tcMar>
            <w:vAlign w:val="center"/>
          </w:tcPr>
          <w:p>
            <w:pPr>
              <w:spacing w:after="0"/>
            </w:pPr>
            <w:r>
              <w:rPr>
                <w:sz w:val="19"/>
              </w:rPr>
            </w:r>
            <w:r>
              <w:rPr>
                <w:b/>
                <w:sz w:val="19"/>
              </w:rPr>
              <w:t>Campeones / VIP</w:t>
            </w:r>
          </w:p>
        </w:tc>
        <w:tc>
          <w:tcPr>
            <w:tcW w:type="dxa" w:w="3249"/>
            <w:tcMar>
              <w:top w:w="60" w:type="dxa"/>
              <w:bottom w:w="60" w:type="dxa"/>
              <w:start w:w="110" w:type="dxa"/>
              <w:end w:w="110" w:type="dxa"/>
            </w:tcMar>
            <w:vAlign w:val="center"/>
          </w:tcPr>
          <w:p>
            <w:pPr>
              <w:spacing w:after="0"/>
            </w:pPr>
            <w:r>
              <w:rPr>
                <w:sz w:val="19"/>
              </w:rPr>
            </w:r>
            <w:r>
              <w:rPr>
                <w:sz w:val="19"/>
              </w:rPr>
              <w:t>Fidelizar: programa de lealtad, acceso anticipado, up-sell</w:t>
            </w:r>
          </w:p>
        </w:tc>
      </w:tr>
      <w:tr>
        <w:tc>
          <w:tcPr>
            <w:tcW w:type="dxa" w:w="3249"/>
            <w:tcMar>
              <w:top w:w="60" w:type="dxa"/>
              <w:bottom w:w="60" w:type="dxa"/>
              <w:start w:w="110" w:type="dxa"/>
              <w:end w:w="110" w:type="dxa"/>
            </w:tcMar>
            <w:vAlign w:val="center"/>
            <w:shd w:val="clear" w:color="auto" w:fill="FCEDEE"/>
          </w:tcPr>
          <w:p>
            <w:pPr>
              <w:spacing w:after="0"/>
            </w:pPr>
            <w:r>
              <w:rPr>
                <w:sz w:val="19"/>
              </w:rPr>
            </w:r>
            <w:r>
              <w:rPr>
                <w:sz w:val="19"/>
              </w:rPr>
              <w:t xml:space="preserve">R </w:t>
            </w:r>
            <w:r>
              <w:rPr>
                <w:b/>
                <w:sz w:val="19"/>
              </w:rPr>
              <w:t>alta</w:t>
            </w:r>
            <w:r>
              <w:rPr>
                <w:sz w:val="19"/>
              </w:rPr>
              <w:t xml:space="preserve"> + F/M que </w:t>
            </w:r>
            <w:r>
              <w:rPr>
                <w:b/>
                <w:sz w:val="19"/>
              </w:rPr>
              <w:t>fueron</w:t>
            </w:r>
            <w:r>
              <w:rPr>
                <w:sz w:val="19"/>
              </w:rPr>
              <w:t xml:space="preserve"> altos</w:t>
            </w:r>
          </w:p>
        </w:tc>
        <w:tc>
          <w:tcPr>
            <w:tcW w:type="dxa" w:w="3249"/>
            <w:tcMar>
              <w:top w:w="60" w:type="dxa"/>
              <w:bottom w:w="60" w:type="dxa"/>
              <w:start w:w="110" w:type="dxa"/>
              <w:end w:w="110" w:type="dxa"/>
            </w:tcMar>
            <w:vAlign w:val="center"/>
            <w:shd w:val="clear" w:color="auto" w:fill="FCEDEE"/>
          </w:tcPr>
          <w:p>
            <w:pPr>
              <w:spacing w:after="0"/>
            </w:pPr>
            <w:r>
              <w:rPr>
                <w:sz w:val="19"/>
              </w:rPr>
            </w:r>
            <w:r>
              <w:rPr>
                <w:b/>
                <w:sz w:val="19"/>
              </w:rPr>
              <w:t>En riesgo de fuga</w:t>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Reactivar: win-back, encuesta de abandono, oferta de retorno</w:t>
            </w:r>
          </w:p>
        </w:tc>
      </w:tr>
      <w:tr>
        <w:tc>
          <w:tcPr>
            <w:tcW w:type="dxa" w:w="3249"/>
            <w:tcMar>
              <w:top w:w="60" w:type="dxa"/>
              <w:bottom w:w="60" w:type="dxa"/>
              <w:start w:w="110" w:type="dxa"/>
              <w:end w:w="110" w:type="dxa"/>
            </w:tcMar>
            <w:vAlign w:val="center"/>
          </w:tcPr>
          <w:p>
            <w:pPr>
              <w:spacing w:after="0"/>
            </w:pPr>
            <w:r>
              <w:rPr>
                <w:sz w:val="19"/>
              </w:rPr>
            </w:r>
            <w:r>
              <w:rPr>
                <w:sz w:val="19"/>
              </w:rPr>
              <w:t xml:space="preserve">R </w:t>
            </w:r>
            <w:r>
              <w:rPr>
                <w:b/>
                <w:sz w:val="19"/>
              </w:rPr>
              <w:t>baja</w:t>
            </w:r>
            <w:r>
              <w:rPr>
                <w:sz w:val="19"/>
              </w:rPr>
              <w:t xml:space="preserve"> + F/M </w:t>
            </w:r>
            <w:r>
              <w:rPr>
                <w:b/>
                <w:sz w:val="19"/>
              </w:rPr>
              <w:t>bajos</w:t>
            </w:r>
          </w:p>
        </w:tc>
        <w:tc>
          <w:tcPr>
            <w:tcW w:type="dxa" w:w="3249"/>
            <w:tcMar>
              <w:top w:w="60" w:type="dxa"/>
              <w:bottom w:w="60" w:type="dxa"/>
              <w:start w:w="110" w:type="dxa"/>
              <w:end w:w="110" w:type="dxa"/>
            </w:tcMar>
            <w:vAlign w:val="center"/>
          </w:tcPr>
          <w:p>
            <w:pPr>
              <w:spacing w:after="0"/>
            </w:pPr>
            <w:r>
              <w:rPr>
                <w:sz w:val="19"/>
              </w:rPr>
            </w:r>
            <w:r>
              <w:rPr>
                <w:b/>
                <w:sz w:val="19"/>
              </w:rPr>
              <w:t>Nuevos</w:t>
            </w:r>
          </w:p>
        </w:tc>
        <w:tc>
          <w:tcPr>
            <w:tcW w:type="dxa" w:w="3249"/>
            <w:tcMar>
              <w:top w:w="60" w:type="dxa"/>
              <w:bottom w:w="60" w:type="dxa"/>
              <w:start w:w="110" w:type="dxa"/>
              <w:end w:w="110" w:type="dxa"/>
            </w:tcMar>
            <w:vAlign w:val="center"/>
          </w:tcPr>
          <w:p>
            <w:pPr>
              <w:spacing w:after="0"/>
            </w:pPr>
            <w:r>
              <w:rPr>
                <w:sz w:val="19"/>
              </w:rPr>
            </w:r>
            <w:r>
              <w:rPr>
                <w:sz w:val="19"/>
              </w:rPr>
              <w:t>Onboarding: bienvenida, empuje a la 2.ª compra</w:t>
            </w:r>
          </w:p>
        </w:tc>
      </w:tr>
      <w:tr>
        <w:tc>
          <w:tcPr>
            <w:tcW w:type="dxa" w:w="3249"/>
            <w:tcMar>
              <w:top w:w="60" w:type="dxa"/>
              <w:bottom w:w="60" w:type="dxa"/>
              <w:start w:w="110" w:type="dxa"/>
              <w:end w:w="110" w:type="dxa"/>
            </w:tcMar>
            <w:vAlign w:val="center"/>
            <w:shd w:val="clear" w:color="auto" w:fill="FCEDEE"/>
          </w:tcPr>
          <w:p>
            <w:pPr>
              <w:spacing w:after="0"/>
            </w:pPr>
            <w:r>
              <w:rPr>
                <w:sz w:val="19"/>
              </w:rPr>
            </w:r>
            <w:r>
              <w:rPr>
                <w:sz w:val="19"/>
              </w:rPr>
              <w:t xml:space="preserve">R </w:t>
            </w:r>
            <w:r>
              <w:rPr>
                <w:b/>
                <w:sz w:val="19"/>
              </w:rPr>
              <w:t>alta</w:t>
            </w:r>
            <w:r>
              <w:rPr>
                <w:sz w:val="19"/>
              </w:rPr>
              <w:t xml:space="preserve"> + todo </w:t>
            </w:r>
            <w:r>
              <w:rPr>
                <w:b/>
                <w:sz w:val="19"/>
              </w:rPr>
              <w:t>bajo</w:t>
            </w:r>
          </w:p>
        </w:tc>
        <w:tc>
          <w:tcPr>
            <w:tcW w:type="dxa" w:w="3249"/>
            <w:tcMar>
              <w:top w:w="60" w:type="dxa"/>
              <w:bottom w:w="60" w:type="dxa"/>
              <w:start w:w="110" w:type="dxa"/>
              <w:end w:w="110" w:type="dxa"/>
            </w:tcMar>
            <w:vAlign w:val="center"/>
            <w:shd w:val="clear" w:color="auto" w:fill="FCEDEE"/>
          </w:tcPr>
          <w:p>
            <w:pPr>
              <w:spacing w:after="0"/>
            </w:pPr>
            <w:r>
              <w:rPr>
                <w:sz w:val="19"/>
              </w:rPr>
            </w:r>
            <w:r>
              <w:rPr>
                <w:b/>
                <w:sz w:val="19"/>
              </w:rPr>
              <w:t>En hibernación / perdidos</w:t>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 xml:space="preserve">Bajo costo (email masivo) o </w:t>
            </w:r>
            <w:r>
              <w:rPr>
                <w:b/>
                <w:sz w:val="19"/>
              </w:rPr>
              <w:t>descartar</w:t>
            </w:r>
            <w:r>
              <w:rPr>
                <w:sz w:val="19"/>
              </w:rPr>
              <w:t xml:space="preserve"> de campañas caras</w:t>
            </w:r>
          </w:p>
        </w:tc>
      </w:tr>
    </w:tbl>
    <w:p>
      <w:pPr>
        <w:spacing w:after="40"/>
      </w:pPr>
    </w:p>
    <w:p>
      <w:pPr>
        <w:spacing w:before="40" w:after="40"/>
        <w:pBdr>
          <w:bottom w:val="single" w:sz="6" w:space="1" w:color="D9D9D9"/>
        </w:pBdr>
      </w:pPr>
    </w:p>
    <w:p>
      <w:pPr>
        <w:keepNext/>
        <w:spacing w:before="240" w:after="60"/>
        <w:pBdr>
          <w:bottom w:val="single" w:sz="6" w:space="2" w:color="E4002B"/>
        </w:pBdr>
      </w:pPr>
      <w:r>
        <w:rPr>
          <w:b/>
          <w:color w:val="E4002B"/>
          <w:sz w:val="30"/>
        </w:rPr>
        <w:t>Plantilla de ficha (rellenar una por segmento)</w:t>
      </w:r>
    </w:p>
    <w:p>
      <w:pPr>
        <w:spacing w:before="80" w:after="120"/>
        <w:ind w:left="170"/>
        <w:shd w:val="clear" w:color="auto" w:fill="F4F4F4"/>
        <w:pBdr>
          <w:left w:val="single" w:sz="12" w:space="6" w:color="6E6E6E"/>
        </w:pBdr>
      </w:pPr>
      <w:r>
        <w:rPr>
          <w:rFonts w:ascii="Consolas" w:hAnsi="Consolas"/>
          <w:color w:val="2D2D2D"/>
          <w:sz w:val="18"/>
        </w:rPr>
        <w:t>┌───────────────────────────────────────────────────────────────────────┐</w:t>
        <w:br/>
        <w:t>│ FICHA DE SEGMENTO — cluster_id: ____ Sesión S07 — RFM │</w:t>
        <w:br/>
        <w:t>├───────────────────────────────────────────────────────────────────────┤</w:t>
        <w:br/>
        <w:t>│ NOMBRE DEL SEGMENTO: ______________________________________________ │</w:t>
        <w:br/>
        <w:t>│ (respaldado por la tabla de perfilamiento) │</w:t>
        <w:br/>
        <w:t>├───────────────────────────────────────────────────────────────────────┤</w:t>
        <w:br/>
        <w:t>│ PERFIL RFM (unidades de negocio, vs. promedio global) │</w:t>
        <w:br/>
        <w:t>│ Recency (días): ______ [ ▲ alta / ▼ baja ] vs global ____ │</w:t>
        <w:br/>
        <w:t>│ Frequency (nº pedidos): ______ [ ▲ alta / ▼ baja ] vs global ____ │</w:t>
        <w:br/>
        <w:t>│ Monetary (£): ______ [ ▲ alta / ▼ baja ] vs global ____ │</w:t>
        <w:br/>
        <w:t>├───────────────────────────────────────────────────────────────────────┤</w:t>
        <w:br/>
        <w:t>│ TAMAÑO: ____ clientes ( ____ % de la base ) │</w:t>
        <w:br/>
        <w:t>│ VALOR: ____ % del ingreso total → PRIORIDAD [ Alta/Media/Baja ] │</w:t>
        <w:br/>
        <w:t>├───────────────────────────────────────────────────────────────────────┤</w:t>
        <w:br/>
        <w:t>│ ACCIONES DE MARKETING (2–3, concretas y medibles) │</w:t>
        <w:br/>
        <w:t>│ 1) _______________________________________________________________ │</w:t>
        <w:br/>
        <w:t>│ 2) _______________________________________________________________ │</w:t>
        <w:br/>
        <w:t>│ 3) _______________________________________________________________ │</w:t>
        <w:br/>
        <w:t>├───────────────────────────────────────────────────────────────────────┤</w:t>
        <w:br/>
        <w:t>│ MÉTRICA DE ÉXITO: _________________________________________________ │</w:t>
        <w:br/>
        <w:t>│ RIESGO / NOTA: _________________________________________________ │</w:t>
        <w:br/>
        <w:t>└───────────────────────────────────────────────────────────────────────┘</w:t>
      </w:r>
    </w:p>
    <w:p>
      <w:pPr>
        <w:spacing w:before="80" w:after="160" w:line="288" w:lineRule="auto"/>
        <w:ind w:left="85" w:right="85"/>
        <w:shd w:val="clear" w:color="auto" w:fill="F4F4F4"/>
        <w:pBdr>
          <w:left w:val="single" w:sz="24" w:space="10" w:color="E4002B"/>
        </w:pBdr>
      </w:pPr>
      <w:r>
        <w:rPr>
          <w:b/>
          <w:color w:val="2D2D2D"/>
        </w:rPr>
        <w:t>Prioridad</w:t>
      </w:r>
      <w:r>
        <w:rPr>
          <w:color w:val="2D2D2D"/>
        </w:rPr>
        <w:t xml:space="preserve"> = tamaño × % de ingreso: un segmento </w:t>
      </w:r>
      <w:r>
        <w:rPr>
          <w:b/>
          <w:color w:val="2D2D2D"/>
        </w:rPr>
        <w:t>pequeño en nº</w:t>
      </w:r>
      <w:r>
        <w:rPr>
          <w:color w:val="2D2D2D"/>
        </w:rPr>
        <w:t xml:space="preserve"> pero con </w:t>
      </w:r>
      <w:r>
        <w:rPr>
          <w:b/>
          <w:color w:val="2D2D2D"/>
        </w:rPr>
        <w:t>alto % del ingreso</w:t>
      </w:r>
      <w:r>
        <w:rPr>
          <w:color w:val="2D2D2D"/>
        </w:rPr>
        <w:t xml:space="preserve"> (típico de los Campeones) es prioridad </w:t>
      </w:r>
      <w:r>
        <w:rPr>
          <w:b/>
          <w:color w:val="2D2D2D"/>
        </w:rPr>
        <w:t>Alta</w:t>
      </w:r>
      <w:r>
        <w:rPr>
          <w:color w:val="2D2D2D"/>
        </w:rPr>
        <w:t>; uno grande pero de bajo valor puede ser prioridad Baja o de campaña de menor costo.</w:t>
      </w:r>
    </w:p>
    <w:p>
      <w:pPr>
        <w:spacing w:before="40" w:after="40"/>
        <w:pBdr>
          <w:bottom w:val="single" w:sz="6" w:space="1" w:color="D9D9D9"/>
        </w:pBdr>
      </w:pPr>
    </w:p>
    <w:p>
      <w:pPr>
        <w:keepNext/>
        <w:spacing w:before="240" w:after="60"/>
        <w:pBdr>
          <w:bottom w:val="single" w:sz="6" w:space="2" w:color="E4002B"/>
        </w:pBdr>
      </w:pPr>
      <w:r>
        <w:rPr>
          <w:b/>
          <w:color w:val="E4002B"/>
          <w:sz w:val="30"/>
        </w:rPr>
        <w:t>Ejemplo ilustrativo de relleno (Campeones / VIP) — cifras inventadas, NO las de la sesión</w:t>
      </w:r>
    </w:p>
    <w:p>
      <w:pPr>
        <w:spacing w:before="80" w:after="80" w:line="288" w:lineRule="auto"/>
        <w:ind w:left="85" w:right="85"/>
        <w:shd w:val="clear" w:color="auto" w:fill="F4F4F4"/>
        <w:pBdr>
          <w:left w:val="single" w:sz="24" w:space="10" w:color="E4002B"/>
        </w:pBdr>
      </w:pPr>
      <w:r>
        <w:rPr>
          <w:b/>
          <w:color w:val="2D2D2D"/>
        </w:rPr>
        <w:t>Aviso:</w:t>
      </w:r>
      <w:r>
        <w:rPr>
          <w:color w:val="2D2D2D"/>
        </w:rPr>
        <w:t xml:space="preserve"> este ejemplo es </w:t>
      </w:r>
      <w:r>
        <w:rPr>
          <w:b/>
          <w:color w:val="2D2D2D"/>
        </w:rPr>
        <w:t>solo una plantilla rellenada con cifras inventadas</w:t>
      </w:r>
      <w:r>
        <w:rPr>
          <w:color w:val="2D2D2D"/>
        </w:rPr>
        <w:t xml:space="preserve"> para mostrar el formato; </w:t>
      </w:r>
      <w:r>
        <w:rPr>
          <w:b/>
          <w:color w:val="2D2D2D"/>
        </w:rPr>
        <w:t>NO es el resultado de la sesión</w:t>
      </w:r>
      <w:r>
        <w:rPr>
          <w:color w:val="2D2D2D"/>
        </w:rPr>
        <w:t xml:space="preserve">. Los valores reales del segmento Campeones/VIP provienen del cuaderno </w:t>
      </w:r>
      <w:r>
        <w:rPr>
          <w:rFonts w:ascii="Consolas" w:hAnsi="Consolas"/>
          <w:color w:val="2D2D2D"/>
          <w:sz w:val="19"/>
        </w:rPr>
        <w:t>notebook/S07_clustering_anomalias.ipynb</w:t>
      </w:r>
      <w:r>
        <w:rPr>
          <w:color w:val="2D2D2D"/>
        </w:rPr>
        <w:t xml:space="preserve"> sobre </w:t>
      </w:r>
      <w:r>
        <w:rPr>
          <w:rFonts w:ascii="Consolas" w:hAnsi="Consolas"/>
          <w:color w:val="2D2D2D"/>
          <w:sz w:val="19"/>
        </w:rPr>
        <w:t>online_retail_II_muestra.csv</w:t>
      </w:r>
      <w:r>
        <w:rPr>
          <w:color w:val="2D2D2D"/>
        </w:rPr>
        <w:t xml:space="preserve"> y de </w:t>
      </w:r>
      <w:r>
        <w:rPr>
          <w:rFonts w:ascii="Consolas" w:hAnsi="Consolas"/>
          <w:color w:val="2D2D2D"/>
          <w:sz w:val="19"/>
        </w:rPr>
        <w:t>resultados/S07_resultados.xlsx</w:t>
      </w:r>
      <w:r>
        <w:rPr>
          <w:color w:val="2D2D2D"/>
        </w:rPr>
        <w:t xml:space="preserve"> (hoja </w:t>
      </w:r>
      <w:r>
        <w:rPr>
          <w:rFonts w:ascii="Consolas" w:hAnsi="Consolas"/>
          <w:color w:val="2D2D2D"/>
          <w:sz w:val="19"/>
        </w:rPr>
        <w:t>perfiles_cluster</w:t>
      </w:r>
      <w:r>
        <w:rPr>
          <w:color w:val="2D2D2D"/>
        </w:rPr>
        <w:t xml:space="preserve">, certificada 24/08/2026), y difieren de los de abajo: son </w:t>
      </w:r>
      <w:r>
        <w:rPr>
          <w:b/>
          <w:color w:val="2D2D2D"/>
        </w:rPr>
        <w:t>6 clientes (4,3 % de la base)</w:t>
      </w:r>
      <w:r>
        <w:rPr>
          <w:color w:val="2D2D2D"/>
        </w:rPr>
        <w:t xml:space="preserve"> que concentran el </w:t>
      </w:r>
      <w:r>
        <w:rPr>
          <w:b/>
          <w:color w:val="2D2D2D"/>
        </w:rPr>
        <w:t>70,08 % del ingreso</w:t>
      </w:r>
      <w:r>
        <w:rPr>
          <w:color w:val="2D2D2D"/>
        </w:rPr>
        <w:t xml:space="preserve"> (cifra exacta) con un </w:t>
      </w:r>
      <w:r>
        <w:rPr>
          <w:i/>
          <w:color w:val="2D2D2D"/>
        </w:rPr>
        <w:t>Monetary</w:t>
      </w:r>
      <w:r>
        <w:rPr>
          <w:color w:val="2D2D2D"/>
        </w:rPr>
        <w:t xml:space="preserve"> </w:t>
      </w:r>
      <w:r>
        <w:rPr>
          <w:b/>
          <w:color w:val="2D2D2D"/>
        </w:rPr>
        <w:t>mediana</w:t>
      </w:r>
      <w:r>
        <w:rPr>
          <w:color w:val="2D2D2D"/>
        </w:rPr>
        <w:t xml:space="preserve"> ≈ </w:t>
      </w:r>
      <w:r>
        <w:rPr>
          <w:b/>
          <w:color w:val="2D2D2D"/>
        </w:rPr>
        <w:t>£13 619,88</w:t>
      </w:r>
      <w:r>
        <w:rPr>
          <w:color w:val="2D2D2D"/>
        </w:rPr>
        <w:t xml:space="preserve"> (media ≈ £63 726,80 — la ficha de la sesión al cliente comunica la </w:t>
      </w:r>
      <w:r>
        <w:rPr>
          <w:b/>
          <w:color w:val="2D2D2D"/>
        </w:rPr>
        <w:t>mediana</w:t>
      </w:r>
      <w:r>
        <w:rPr>
          <w:color w:val="2D2D2D"/>
        </w:rPr>
        <w:t xml:space="preserve"> por el sesgo, nunca la media sola). El estudiante debe completar su ficha con </w:t>
      </w:r>
      <w:r>
        <w:rPr>
          <w:b/>
          <w:color w:val="2D2D2D"/>
        </w:rPr>
        <w:t>sus</w:t>
      </w:r>
      <w:r>
        <w:rPr>
          <w:color w:val="2D2D2D"/>
        </w:rPr>
        <w:t xml:space="preserve"> cifras, no copiar las de este ejemplo.</w:t>
      </w:r>
    </w:p>
    <w:p>
      <w:pPr>
        <w:spacing w:before="0" w:after="160" w:line="288" w:lineRule="auto"/>
        <w:ind w:left="85" w:right="85"/>
        <w:shd w:val="clear" w:color="auto" w:fill="F4F4F4"/>
        <w:pBdr>
          <w:left w:val="single" w:sz="24" w:space="10" w:color="E4002B"/>
        </w:pBdr>
      </w:pPr>
      <w:r>
        <w:rPr>
          <w:b/>
          <w:color w:val="2D2D2D"/>
        </w:rPr>
        <w:t>El `cluster_id` es ARBITRARIO entre ejecuciones — no debe tratarse como fijo.</w:t>
      </w:r>
      <w:r>
        <w:rPr>
          <w:color w:val="2D2D2D"/>
        </w:rPr>
        <w:t xml:space="preserve"> En la ejecución certificada de esta sesión, Campeones/VIP es el </w:t>
      </w:r>
      <w:r>
        <w:rPr>
          <w:b/>
          <w:color w:val="2D2D2D"/>
        </w:rPr>
        <w:t>`cluster_id = 2`</w:t>
      </w:r>
      <w:r>
        <w:rPr>
          <w:color w:val="2D2D2D"/>
        </w:rPr>
        <w:t xml:space="preserve"> (no el 0 usado más abajo solo como marcador de posición del formato): </w:t>
      </w:r>
      <w:r>
        <w:rPr>
          <w:rFonts w:ascii="Consolas" w:hAnsi="Consolas"/>
          <w:color w:val="2D2D2D"/>
          <w:sz w:val="19"/>
        </w:rPr>
        <w:t>perfiles_cluster</w:t>
      </w:r>
      <w:r>
        <w:rPr>
          <w:color w:val="2D2D2D"/>
        </w:rPr>
        <w:t xml:space="preserve"> advierte, en la columna </w:t>
      </w:r>
      <w:r>
        <w:rPr>
          <w:rFonts w:ascii="Consolas" w:hAnsi="Consolas"/>
          <w:color w:val="2D2D2D"/>
          <w:sz w:val="19"/>
        </w:rPr>
        <w:t>nota_arbitrariedad</w:t>
      </w:r>
      <w:r>
        <w:rPr>
          <w:color w:val="2D2D2D"/>
        </w:rPr>
        <w:t xml:space="preserve">, que </w:t>
      </w:r>
      <w:r>
        <w:rPr>
          <w:rFonts w:ascii="Consolas" w:hAnsi="Consolas"/>
          <w:color w:val="2D2D2D"/>
          <w:sz w:val="19"/>
        </w:rPr>
        <w:t>cluster_id</w:t>
      </w:r>
      <w:r>
        <w:rPr>
          <w:color w:val="2D2D2D"/>
        </w:rPr>
        <w:t xml:space="preserve"> es una etiqueta ARBITRARIA de esta ejecución (Ward y semilla fijos la hacen estable AQUÍ, pero no es comparable entre ejecuciones distintas de sklearn, versión u orden). El </w:t>
      </w:r>
      <w:r>
        <w:rPr>
          <w:b/>
          <w:color w:val="2D2D2D"/>
        </w:rPr>
        <w:t>nombre</w:t>
      </w:r>
      <w:r>
        <w:rPr>
          <w:color w:val="2D2D2D"/>
        </w:rPr>
        <w:t xml:space="preserve"> del segmento se verifica siempre contra la propia tabla de perfilamiento, nunca contra el número.</w:t>
      </w:r>
    </w:p>
    <w:p>
      <w:pPr>
        <w:spacing w:before="80" w:after="120"/>
        <w:ind w:left="170"/>
        <w:shd w:val="clear" w:color="auto" w:fill="F4F4F4"/>
        <w:pBdr>
          <w:left w:val="single" w:sz="12" w:space="6" w:color="6E6E6E"/>
        </w:pBdr>
      </w:pPr>
      <w:r>
        <w:rPr>
          <w:rFonts w:ascii="Consolas" w:hAnsi="Consolas"/>
          <w:color w:val="2D2D2D"/>
          <w:sz w:val="18"/>
        </w:rPr>
        <w:t>┌───────────────────────────────────────────────────────────────────────┐</w:t>
        <w:br/>
        <w:t>│ FICHA DE SEGMENTO — cluster_id: N (arbitrario) Sesión S07 — RFM │</w:t>
        <w:br/>
        <w:t>├───────────────────────────────────────────────────────────────────────┤</w:t>
        <w:br/>
        <w:t>│ NOMBRE DEL SEGMENTO: Campeones / VIP │</w:t>
        <w:br/>
        <w:t>├───────────────────────────────────────────────────────────────────────┤</w:t>
        <w:br/>
        <w:t>│ PERFIL RFM (mediana, vs. promedio global) │</w:t>
        <w:br/>
        <w:t>│ Recency (días): 18 [ ▼ baja ] vs global 92 │</w:t>
        <w:br/>
        <w:t>│ Frequency (nº pedidos): 14 [ ▲ alta ] vs global 4 │</w:t>
        <w:br/>
        <w:t>│ Monetary (£): 4 850 [ ▲ alta ] vs global 980 │</w:t>
        <w:br/>
        <w:t>├───────────────────────────────────────────────────────────────────────┤</w:t>
        <w:br/>
        <w:t>│ TAMAÑO: 21 clientes ( 15 % de la base ) │</w:t>
        <w:br/>
        <w:t>│ VALOR: 48 % del ingreso total → PRIORIDAD [ Alta ] │</w:t>
        <w:br/>
        <w:t>├───────────────────────────────────────────────────────────────────────┤</w:t>
        <w:br/>
        <w:t>│ ACCIONES DE MARKETING │</w:t>
        <w:br/>
        <w:t>│ 1) Programa de fidelización con niveles: puntos por compra y un │</w:t>
        <w:br/>
        <w:t>│ beneficio exclusivo (envío gratis / acceso anticipado a stock). │</w:t>
        <w:br/>
        <w:t>│ 2) Up-sell / cross-sell personalizado sobre su historial de compra │</w:t>
        <w:br/>
        <w:t>│ (recomendación de productos complementarios de gama alta). │</w:t>
        <w:br/>
        <w:t>│ 3) Trato prioritario: gestor de cuenta o soporte preferente para │</w:t>
        <w:br/>
        <w:t>│ blindar la relación frente a la competencia. │</w:t>
        <w:br/>
        <w:t>├───────────────────────────────────────────────────────────────────────┤</w:t>
        <w:br/>
        <w:t>│ MÉTRICA DE ÉXITO: retención a 12 meses del segmento ≥ 90 % y │</w:t>
        <w:br/>
        <w:t>│ mantener/subir su % del ingreso total. │</w:t>
        <w:br/>
        <w:t>│ RIESGO / NOTA: segmento pequeño (15 %) pero concentra ~½ del │</w:t>
        <w:br/>
        <w:t>│ ingreso → perder un VIP cuesta mucho; vigilar Recency.│</w:t>
        <w:br/>
        <w:t>└───────────────────────────────────────────────────────────────────────┘</w:t>
      </w:r>
    </w:p>
    <w:p>
      <w:pPr>
        <w:jc w:val="both"/>
      </w:pPr>
      <w:r>
        <w:rPr>
          <w:b/>
        </w:rPr>
        <w:t>Por qué estas acciones (lógica RFM→marketing):</w:t>
      </w:r>
      <w:r>
        <w:t xml:space="preserve"> el segmento tiene </w:t>
      </w:r>
      <w:r>
        <w:rPr>
          <w:b/>
        </w:rPr>
        <w:t>Recency baja</w:t>
      </w:r>
      <w:r>
        <w:t xml:space="preserve"> (compró hace ~18 días, muy activo), </w:t>
      </w:r>
      <w:r>
        <w:rPr>
          <w:b/>
        </w:rPr>
        <w:t>Frequency alta</w:t>
      </w:r>
      <w:r>
        <w:t xml:space="preserve"> (≈14 pedidos frente a 4 del promedio) y </w:t>
      </w:r>
      <w:r>
        <w:rPr>
          <w:b/>
        </w:rPr>
        <w:t>Monetary alto</w:t>
      </w:r>
      <w:r>
        <w:t xml:space="preserve"> (£4.850 vs £980). Es poco numeroso (15 %) pero aporta </w:t>
      </w:r>
      <w:r>
        <w:rPr>
          <w:b/>
        </w:rPr>
        <w:t>~48 % del ingreso</w:t>
      </w:r>
      <w:r>
        <w:t xml:space="preserve">: la palanca correcta no es "vender a menor precio" sino </w:t>
      </w:r>
      <w:r>
        <w:rPr>
          <w:b/>
        </w:rPr>
        <w:t>retener y aumentar el valor</w:t>
      </w:r>
      <w:r>
        <w:t xml:space="preserve"> (fidelización + up-sell). El descuento agresivo, adecuado para reactivar a otros segmentos, aquí </w:t>
      </w:r>
      <w:r>
        <w:rPr>
          <w:b/>
        </w:rPr>
        <w:t>destruiría margen</w:t>
      </w:r>
      <w:r>
        <w:t xml:space="preserve"> sin necesidad.</w:t>
      </w:r>
    </w:p>
    <w:p>
      <w:pPr>
        <w:spacing w:before="40" w:after="40"/>
        <w:pBdr>
          <w:bottom w:val="single" w:sz="6" w:space="1" w:color="D9D9D9"/>
        </w:pBdr>
      </w:pPr>
    </w:p>
    <w:p>
      <w:pPr>
        <w:keepNext/>
        <w:spacing w:before="240" w:after="60"/>
        <w:pBdr>
          <w:bottom w:val="single" w:sz="6" w:space="2" w:color="E4002B"/>
        </w:pBdr>
      </w:pPr>
      <w:r>
        <w:rPr>
          <w:b/>
          <w:color w:val="E4002B"/>
          <w:sz w:val="30"/>
        </w:rPr>
        <w:t>Ejemplos de acciones por arquetipo (banco de referencia)</w:t>
      </w:r>
    </w:p>
    <w:tbl>
      <w:tblPr>
        <w:tblStyle w:val="TableGrid"/>
        <w:tblW w:type="auto" w:w="0"/>
        <w:tblLayout w:type="autofi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2436"/>
        <w:gridCol w:w="2436"/>
        <w:gridCol w:w="2436"/>
        <w:gridCol w:w="2436"/>
      </w:tblGrid>
      <w:tr>
        <w:tc>
          <w:tcPr>
            <w:tcW w:type="dxa" w:w="2436"/>
            <w:tcMar>
              <w:top w:w="60" w:type="dxa"/>
              <w:bottom w:w="60" w:type="dxa"/>
              <w:start w:w="110" w:type="dxa"/>
              <w:end w:w="110" w:type="dxa"/>
            </w:tcMar>
            <w:vAlign w:val="center"/>
            <w:shd w:val="clear" w:color="auto" w:fill="E4002B"/>
          </w:tcPr>
          <w:p>
            <w:pPr>
              <w:spacing w:after="0"/>
            </w:pPr>
            <w:r/>
            <w:r>
              <w:rPr>
                <w:b/>
                <w:color w:val="FFFFFF"/>
                <w:sz w:val="19"/>
              </w:rPr>
              <w:t>Segmento</w:t>
            </w:r>
          </w:p>
        </w:tc>
        <w:tc>
          <w:tcPr>
            <w:tcW w:type="dxa" w:w="2436"/>
            <w:tcMar>
              <w:top w:w="60" w:type="dxa"/>
              <w:bottom w:w="60" w:type="dxa"/>
              <w:start w:w="110" w:type="dxa"/>
              <w:end w:w="110" w:type="dxa"/>
            </w:tcMar>
            <w:vAlign w:val="center"/>
            <w:shd w:val="clear" w:color="auto" w:fill="E4002B"/>
          </w:tcPr>
          <w:p>
            <w:pPr>
              <w:spacing w:after="0"/>
            </w:pPr>
            <w:r/>
            <w:r>
              <w:rPr>
                <w:b/>
                <w:color w:val="FFFFFF"/>
                <w:sz w:val="19"/>
              </w:rPr>
              <w:t>Acción 1</w:t>
            </w:r>
          </w:p>
        </w:tc>
        <w:tc>
          <w:tcPr>
            <w:tcW w:type="dxa" w:w="2436"/>
            <w:tcMar>
              <w:top w:w="60" w:type="dxa"/>
              <w:bottom w:w="60" w:type="dxa"/>
              <w:start w:w="110" w:type="dxa"/>
              <w:end w:w="110" w:type="dxa"/>
            </w:tcMar>
            <w:vAlign w:val="center"/>
            <w:shd w:val="clear" w:color="auto" w:fill="E4002B"/>
          </w:tcPr>
          <w:p>
            <w:pPr>
              <w:spacing w:after="0"/>
            </w:pPr>
            <w:r/>
            <w:r>
              <w:rPr>
                <w:b/>
                <w:color w:val="FFFFFF"/>
                <w:sz w:val="19"/>
              </w:rPr>
              <w:t>Acción 2</w:t>
            </w:r>
          </w:p>
        </w:tc>
        <w:tc>
          <w:tcPr>
            <w:tcW w:type="dxa" w:w="2436"/>
            <w:tcMar>
              <w:top w:w="60" w:type="dxa"/>
              <w:bottom w:w="60" w:type="dxa"/>
              <w:start w:w="110" w:type="dxa"/>
              <w:end w:w="110" w:type="dxa"/>
            </w:tcMar>
            <w:vAlign w:val="center"/>
            <w:shd w:val="clear" w:color="auto" w:fill="E4002B"/>
          </w:tcPr>
          <w:p>
            <w:pPr>
              <w:spacing w:after="0"/>
            </w:pPr>
            <w:r/>
            <w:r>
              <w:rPr>
                <w:b/>
                <w:color w:val="FFFFFF"/>
                <w:sz w:val="19"/>
              </w:rPr>
              <w:t>Acción 3</w:t>
            </w:r>
          </w:p>
        </w:tc>
      </w:tr>
      <w:tr>
        <w:tc>
          <w:tcPr>
            <w:tcW w:type="dxa" w:w="2436"/>
            <w:tcMar>
              <w:top w:w="60" w:type="dxa"/>
              <w:bottom w:w="60" w:type="dxa"/>
              <w:start w:w="110" w:type="dxa"/>
              <w:end w:w="110" w:type="dxa"/>
            </w:tcMar>
            <w:vAlign w:val="center"/>
          </w:tcPr>
          <w:p>
            <w:pPr>
              <w:spacing w:after="0"/>
            </w:pPr>
            <w:r>
              <w:rPr>
                <w:sz w:val="19"/>
              </w:rPr>
            </w:r>
            <w:r>
              <w:rPr>
                <w:b/>
                <w:sz w:val="19"/>
              </w:rPr>
              <w:t>Campeones / VIP</w:t>
            </w:r>
          </w:p>
        </w:tc>
        <w:tc>
          <w:tcPr>
            <w:tcW w:type="dxa" w:w="2436"/>
            <w:tcMar>
              <w:top w:w="60" w:type="dxa"/>
              <w:bottom w:w="60" w:type="dxa"/>
              <w:start w:w="110" w:type="dxa"/>
              <w:end w:w="110" w:type="dxa"/>
            </w:tcMar>
            <w:vAlign w:val="center"/>
          </w:tcPr>
          <w:p>
            <w:pPr>
              <w:spacing w:after="0"/>
            </w:pPr>
            <w:r>
              <w:rPr>
                <w:sz w:val="19"/>
              </w:rPr>
            </w:r>
            <w:r>
              <w:rPr>
                <w:sz w:val="19"/>
              </w:rPr>
              <w:t>Programa de lealtad por niveles</w:t>
            </w:r>
          </w:p>
        </w:tc>
        <w:tc>
          <w:tcPr>
            <w:tcW w:type="dxa" w:w="2436"/>
            <w:tcMar>
              <w:top w:w="60" w:type="dxa"/>
              <w:bottom w:w="60" w:type="dxa"/>
              <w:start w:w="110" w:type="dxa"/>
              <w:end w:w="110" w:type="dxa"/>
            </w:tcMar>
            <w:vAlign w:val="center"/>
          </w:tcPr>
          <w:p>
            <w:pPr>
              <w:spacing w:after="0"/>
            </w:pPr>
            <w:r>
              <w:rPr>
                <w:sz w:val="19"/>
              </w:rPr>
            </w:r>
            <w:r>
              <w:rPr>
                <w:sz w:val="19"/>
              </w:rPr>
              <w:t>Up-sell / cross-sell personalizado</w:t>
            </w:r>
          </w:p>
        </w:tc>
        <w:tc>
          <w:tcPr>
            <w:tcW w:type="dxa" w:w="2436"/>
            <w:tcMar>
              <w:top w:w="60" w:type="dxa"/>
              <w:bottom w:w="60" w:type="dxa"/>
              <w:start w:w="110" w:type="dxa"/>
              <w:end w:w="110" w:type="dxa"/>
            </w:tcMar>
            <w:vAlign w:val="center"/>
          </w:tcPr>
          <w:p>
            <w:pPr>
              <w:spacing w:after="0"/>
            </w:pPr>
            <w:r>
              <w:rPr>
                <w:sz w:val="19"/>
              </w:rPr>
            </w:r>
            <w:r>
              <w:rPr>
                <w:sz w:val="19"/>
              </w:rPr>
              <w:t>Acceso anticipado / soporte prioritario</w:t>
            </w:r>
          </w:p>
        </w:tc>
      </w:tr>
      <w:tr>
        <w:tc>
          <w:tcPr>
            <w:tcW w:type="dxa" w:w="2436"/>
            <w:tcMar>
              <w:top w:w="60" w:type="dxa"/>
              <w:bottom w:w="60" w:type="dxa"/>
              <w:start w:w="110" w:type="dxa"/>
              <w:end w:w="110" w:type="dxa"/>
            </w:tcMar>
            <w:vAlign w:val="center"/>
            <w:shd w:val="clear" w:color="auto" w:fill="FCEDEE"/>
          </w:tcPr>
          <w:p>
            <w:pPr>
              <w:spacing w:after="0"/>
            </w:pPr>
            <w:r>
              <w:rPr>
                <w:sz w:val="19"/>
              </w:rPr>
            </w:r>
            <w:r>
              <w:rPr>
                <w:b/>
                <w:sz w:val="19"/>
              </w:rPr>
              <w:t>En riesgo de fuga</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Campaña win-back con oferta de retorno</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Encuesta de abandono (por qué dejó de comprar)</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Recordatorio de productos que solía comprar</w:t>
            </w:r>
          </w:p>
        </w:tc>
      </w:tr>
      <w:tr>
        <w:tc>
          <w:tcPr>
            <w:tcW w:type="dxa" w:w="2436"/>
            <w:tcMar>
              <w:top w:w="60" w:type="dxa"/>
              <w:bottom w:w="60" w:type="dxa"/>
              <w:start w:w="110" w:type="dxa"/>
              <w:end w:w="110" w:type="dxa"/>
            </w:tcMar>
            <w:vAlign w:val="center"/>
          </w:tcPr>
          <w:p>
            <w:pPr>
              <w:spacing w:after="0"/>
            </w:pPr>
            <w:r>
              <w:rPr>
                <w:sz w:val="19"/>
              </w:rPr>
            </w:r>
            <w:r>
              <w:rPr>
                <w:b/>
                <w:sz w:val="19"/>
              </w:rPr>
              <w:t>Nuevos</w:t>
            </w:r>
          </w:p>
        </w:tc>
        <w:tc>
          <w:tcPr>
            <w:tcW w:type="dxa" w:w="2436"/>
            <w:tcMar>
              <w:top w:w="60" w:type="dxa"/>
              <w:bottom w:w="60" w:type="dxa"/>
              <w:start w:w="110" w:type="dxa"/>
              <w:end w:w="110" w:type="dxa"/>
            </w:tcMar>
            <w:vAlign w:val="center"/>
          </w:tcPr>
          <w:p>
            <w:pPr>
              <w:spacing w:after="0"/>
            </w:pPr>
            <w:r>
              <w:rPr>
                <w:sz w:val="19"/>
              </w:rPr>
            </w:r>
            <w:r>
              <w:rPr>
                <w:sz w:val="19"/>
              </w:rPr>
              <w:t>Serie de bienvenida (onboarding)</w:t>
            </w:r>
          </w:p>
        </w:tc>
        <w:tc>
          <w:tcPr>
            <w:tcW w:type="dxa" w:w="2436"/>
            <w:tcMar>
              <w:top w:w="60" w:type="dxa"/>
              <w:bottom w:w="60" w:type="dxa"/>
              <w:start w:w="110" w:type="dxa"/>
              <w:end w:w="110" w:type="dxa"/>
            </w:tcMar>
            <w:vAlign w:val="center"/>
          </w:tcPr>
          <w:p>
            <w:pPr>
              <w:spacing w:after="0"/>
            </w:pPr>
            <w:r>
              <w:rPr>
                <w:sz w:val="19"/>
              </w:rPr>
            </w:r>
            <w:r>
              <w:rPr>
                <w:sz w:val="19"/>
              </w:rPr>
              <w:t xml:space="preserve">Incentivo a la </w:t>
            </w:r>
            <w:r>
              <w:rPr>
                <w:b/>
                <w:sz w:val="19"/>
              </w:rPr>
              <w:t>2.ª compra</w:t>
            </w:r>
            <w:r>
              <w:rPr>
                <w:sz w:val="19"/>
              </w:rPr>
              <w:t xml:space="preserve"> (descuento único)</w:t>
            </w:r>
          </w:p>
        </w:tc>
        <w:tc>
          <w:tcPr>
            <w:tcW w:type="dxa" w:w="2436"/>
            <w:tcMar>
              <w:top w:w="60" w:type="dxa"/>
              <w:bottom w:w="60" w:type="dxa"/>
              <w:start w:w="110" w:type="dxa"/>
              <w:end w:w="110" w:type="dxa"/>
            </w:tcMar>
            <w:vAlign w:val="center"/>
          </w:tcPr>
          <w:p>
            <w:pPr>
              <w:spacing w:after="0"/>
            </w:pPr>
            <w:r>
              <w:rPr>
                <w:sz w:val="19"/>
              </w:rPr>
            </w:r>
            <w:r>
              <w:rPr>
                <w:sz w:val="19"/>
              </w:rPr>
              <w:t>Educación sobre el catálogo / recomendaciones iniciales</w:t>
            </w:r>
          </w:p>
        </w:tc>
      </w:tr>
      <w:tr>
        <w:tc>
          <w:tcPr>
            <w:tcW w:type="dxa" w:w="2436"/>
            <w:tcMar>
              <w:top w:w="60" w:type="dxa"/>
              <w:bottom w:w="60" w:type="dxa"/>
              <w:start w:w="110" w:type="dxa"/>
              <w:end w:w="110" w:type="dxa"/>
            </w:tcMar>
            <w:vAlign w:val="center"/>
            <w:shd w:val="clear" w:color="auto" w:fill="FCEDEE"/>
          </w:tcPr>
          <w:p>
            <w:pPr>
              <w:spacing w:after="0"/>
            </w:pPr>
            <w:r>
              <w:rPr>
                <w:sz w:val="19"/>
              </w:rPr>
            </w:r>
            <w:r>
              <w:rPr>
                <w:b/>
                <w:sz w:val="19"/>
              </w:rPr>
              <w:t>En hibernación / perdidos</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Email masivo de reactivación de bajo costo</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Oferta de última oportunidad</w:t>
            </w:r>
          </w:p>
        </w:tc>
        <w:tc>
          <w:tcPr>
            <w:tcW w:type="dxa" w:w="2436"/>
            <w:tcMar>
              <w:top w:w="60" w:type="dxa"/>
              <w:bottom w:w="60" w:type="dxa"/>
              <w:start w:w="110" w:type="dxa"/>
              <w:end w:w="110" w:type="dxa"/>
            </w:tcMar>
            <w:vAlign w:val="center"/>
            <w:shd w:val="clear" w:color="auto" w:fill="FCEDEE"/>
          </w:tcPr>
          <w:p>
            <w:pPr>
              <w:spacing w:after="0"/>
            </w:pPr>
            <w:r>
              <w:rPr>
                <w:sz w:val="19"/>
              </w:rPr>
            </w:r>
            <w:r>
              <w:rPr>
                <w:b/>
                <w:sz w:val="19"/>
              </w:rPr>
              <w:t>Descartar</w:t>
            </w:r>
            <w:r>
              <w:rPr>
                <w:sz w:val="19"/>
              </w:rPr>
              <w:t xml:space="preserve"> de campañas caras si no responde</w:t>
            </w:r>
          </w:p>
        </w:tc>
      </w:tr>
    </w:tbl>
    <w:p>
      <w:pPr>
        <w:spacing w:after="40"/>
      </w:pPr>
    </w:p>
    <w:p>
      <w:pPr>
        <w:spacing w:before="80" w:after="160" w:line="288" w:lineRule="auto"/>
        <w:ind w:left="85" w:right="85"/>
        <w:shd w:val="clear" w:color="auto" w:fill="F4F4F4"/>
        <w:pBdr>
          <w:left w:val="single" w:sz="24" w:space="10" w:color="E4002B"/>
        </w:pBdr>
      </w:pPr>
      <w:r>
        <w:rPr>
          <w:color w:val="2D2D2D"/>
        </w:rPr>
        <w:t xml:space="preserve">Las acciones deben ser </w:t>
      </w:r>
      <w:r>
        <w:rPr>
          <w:b/>
          <w:color w:val="2D2D2D"/>
        </w:rPr>
        <w:t>concretas y medibles</w:t>
      </w:r>
      <w:r>
        <w:rPr>
          <w:color w:val="2D2D2D"/>
        </w:rPr>
        <w:t xml:space="preserve"> (canal + oferta + métrica de éxito), no genéricas ("hacer marketing"). Se recomienda 2–3 por ficha para mantenerla accionable.</w:t>
      </w:r>
    </w:p>
    <w:p>
      <w:pPr>
        <w:spacing w:before="40" w:after="40"/>
        <w:pBdr>
          <w:bottom w:val="single" w:sz="6" w:space="1" w:color="D9D9D9"/>
        </w:pBdr>
      </w:pPr>
    </w:p>
    <w:p>
      <w:pPr>
        <w:keepNext/>
        <w:spacing w:before="240" w:after="60"/>
        <w:pBdr>
          <w:bottom w:val="single" w:sz="6" w:space="2" w:color="E4002B"/>
        </w:pBdr>
      </w:pPr>
      <w:r>
        <w:rPr>
          <w:b/>
          <w:color w:val="E4002B"/>
          <w:sz w:val="30"/>
        </w:rPr>
        <w:t>Supuestos y decisiones (del segmento a la acción)</w:t>
      </w:r>
    </w:p>
    <w:p>
      <w:pPr>
        <w:jc w:val="both"/>
      </w:pPr>
      <w:r>
        <w:t xml:space="preserve">Nombrar y accionar un segmento descansa en los supuestos del clustering que lo produjo. El clustering es </w:t>
      </w:r>
      <w:r>
        <w:rPr>
          <w:b/>
        </w:rPr>
        <w:t>no supervisado</w:t>
      </w:r>
      <w:r>
        <w:t xml:space="preserve"> y </w:t>
      </w:r>
      <w:r>
        <w:rPr>
          <w:b/>
        </w:rPr>
        <w:t>exploratorio</w:t>
      </w:r>
      <w:r>
        <w:t xml:space="preserve">: no existe un «segmento verdadero», así que </w:t>
      </w:r>
      <w:r>
        <w:rPr>
          <w:b/>
        </w:rPr>
        <w:t>la validez de una ficha es su accionabilidad</w:t>
      </w:r>
      <w:r>
        <w:t xml:space="preserve">, no una métrica alta. El desarrollo completo está en la guía de supuestos de la sesión; la contraparte de cálculo (RFM, estandarización, silueta, DBSCAN) —con las fórmulas nativas de distancia, inercia y silueta— está en </w:t>
      </w:r>
      <w:r>
        <w:rPr>
          <w:rFonts w:ascii="Consolas" w:hAnsi="Consolas"/>
          <w:color w:val="9B1B30"/>
          <w:sz w:val="19"/>
        </w:rPr>
        <w:t>plantillas/rfm_perfilamiento.docx</w:t>
      </w:r>
      <w:r>
        <w:t xml:space="preserve"> y </w:t>
      </w:r>
      <w:r>
        <w:rPr>
          <w:rFonts w:ascii="Consolas" w:hAnsi="Consolas"/>
          <w:color w:val="9B1B30"/>
          <w:sz w:val="19"/>
        </w:rPr>
        <w:t>plantillas/guia_eps_dbscan.docx</w:t>
      </w:r>
      <w:r>
        <w:t>.</w:t>
      </w:r>
    </w:p>
    <w:tbl>
      <w:tblPr>
        <w:tblStyle w:val="TableGrid"/>
        <w:tblW w:type="auto" w:w="0"/>
        <w:tblLayout w:type="autofi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2436"/>
        <w:gridCol w:w="2436"/>
        <w:gridCol w:w="2436"/>
        <w:gridCol w:w="2436"/>
      </w:tblGrid>
      <w:tr>
        <w:tc>
          <w:tcPr>
            <w:tcW w:type="dxa" w:w="2436"/>
            <w:tcMar>
              <w:top w:w="60" w:type="dxa"/>
              <w:bottom w:w="60" w:type="dxa"/>
              <w:start w:w="110" w:type="dxa"/>
              <w:end w:w="110" w:type="dxa"/>
            </w:tcMar>
            <w:vAlign w:val="center"/>
            <w:shd w:val="clear" w:color="auto" w:fill="E4002B"/>
          </w:tcPr>
          <w:p>
            <w:pPr>
              <w:spacing w:after="0"/>
            </w:pPr>
            <w:r/>
            <w:r>
              <w:rPr>
                <w:b/>
                <w:color w:val="FFFFFF"/>
                <w:sz w:val="19"/>
              </w:rPr>
              <w:t>Punto</w:t>
            </w:r>
          </w:p>
        </w:tc>
        <w:tc>
          <w:tcPr>
            <w:tcW w:type="dxa" w:w="2436"/>
            <w:tcMar>
              <w:top w:w="60" w:type="dxa"/>
              <w:bottom w:w="60" w:type="dxa"/>
              <w:start w:w="110" w:type="dxa"/>
              <w:end w:w="110" w:type="dxa"/>
            </w:tcMar>
            <w:vAlign w:val="center"/>
            <w:shd w:val="clear" w:color="auto" w:fill="E4002B"/>
          </w:tcPr>
          <w:p>
            <w:pPr>
              <w:spacing w:after="0"/>
            </w:pPr>
            <w:r/>
            <w:r>
              <w:rPr>
                <w:b/>
                <w:color w:val="FFFFFF"/>
                <w:sz w:val="19"/>
              </w:rPr>
              <w:t>Cómo se identifica</w:t>
            </w:r>
          </w:p>
        </w:tc>
        <w:tc>
          <w:tcPr>
            <w:tcW w:type="dxa" w:w="2436"/>
            <w:tcMar>
              <w:top w:w="60" w:type="dxa"/>
              <w:bottom w:w="60" w:type="dxa"/>
              <w:start w:w="110" w:type="dxa"/>
              <w:end w:w="110" w:type="dxa"/>
            </w:tcMar>
            <w:vAlign w:val="center"/>
            <w:shd w:val="clear" w:color="auto" w:fill="E4002B"/>
          </w:tcPr>
          <w:p>
            <w:pPr>
              <w:spacing w:after="0"/>
            </w:pPr>
            <w:r/>
            <w:r>
              <w:rPr>
                <w:b/>
                <w:color w:val="FFFFFF"/>
                <w:sz w:val="19"/>
              </w:rPr>
              <w:t>Cómo se decide / actúa</w:t>
            </w:r>
          </w:p>
        </w:tc>
        <w:tc>
          <w:tcPr>
            <w:tcW w:type="dxa" w:w="2436"/>
            <w:tcMar>
              <w:top w:w="60" w:type="dxa"/>
              <w:bottom w:w="60" w:type="dxa"/>
              <w:start w:w="110" w:type="dxa"/>
              <w:end w:w="110" w:type="dxa"/>
            </w:tcMar>
            <w:vAlign w:val="center"/>
            <w:shd w:val="clear" w:color="auto" w:fill="E4002B"/>
          </w:tcPr>
          <w:p>
            <w:pPr>
              <w:spacing w:after="0"/>
            </w:pPr>
            <w:r/>
            <w:r>
              <w:rPr>
                <w:b/>
                <w:color w:val="FFFFFF"/>
                <w:sz w:val="19"/>
              </w:rPr>
              <w:t>Fuente (SUPUESTOS_S07.md)</w:t>
            </w:r>
          </w:p>
        </w:tc>
      </w:tr>
      <w:tr>
        <w:tc>
          <w:tcPr>
            <w:tcW w:type="dxa" w:w="2436"/>
            <w:tcMar>
              <w:top w:w="60" w:type="dxa"/>
              <w:bottom w:w="60" w:type="dxa"/>
              <w:start w:w="110" w:type="dxa"/>
              <w:end w:w="110" w:type="dxa"/>
            </w:tcMar>
            <w:vAlign w:val="center"/>
          </w:tcPr>
          <w:p>
            <w:pPr>
              <w:spacing w:after="0"/>
            </w:pPr>
            <w:r>
              <w:rPr>
                <w:sz w:val="19"/>
              </w:rPr>
            </w:r>
            <w:r>
              <w:rPr>
                <w:b/>
                <w:sz w:val="19"/>
              </w:rPr>
              <w:t>Clustering exploratorio — no hay «respuesta correcta»</w:t>
            </w:r>
          </w:p>
        </w:tc>
        <w:tc>
          <w:tcPr>
            <w:tcW w:type="dxa" w:w="2436"/>
            <w:tcMar>
              <w:top w:w="60" w:type="dxa"/>
              <w:bottom w:w="60" w:type="dxa"/>
              <w:start w:w="110" w:type="dxa"/>
              <w:end w:w="110" w:type="dxa"/>
            </w:tcMar>
            <w:vAlign w:val="center"/>
          </w:tcPr>
          <w:p>
            <w:pPr>
              <w:spacing w:after="0"/>
            </w:pPr>
            <w:r>
              <w:rPr>
                <w:sz w:val="19"/>
              </w:rPr>
            </w:r>
            <w:r>
              <w:rPr>
                <w:sz w:val="19"/>
              </w:rPr>
              <w:t xml:space="preserve">La partición cambia con la escala, el enlace, k o </w:t>
            </w:r>
            <w:r>
              <w:rPr>
                <w:rFonts w:ascii="Consolas" w:hAnsi="Consolas"/>
                <w:color w:val="9B1B30"/>
                <w:sz w:val="19"/>
              </w:rPr>
              <w:t>eps</w:t>
            </w:r>
            <w:r>
              <w:rPr>
                <w:sz w:val="19"/>
              </w:rPr>
              <w:t>; una métrica alta no garantiza segmentos útiles</w:t>
            </w:r>
          </w:p>
        </w:tc>
        <w:tc>
          <w:tcPr>
            <w:tcW w:type="dxa" w:w="2436"/>
            <w:tcMar>
              <w:top w:w="60" w:type="dxa"/>
              <w:bottom w:w="60" w:type="dxa"/>
              <w:start w:w="110" w:type="dxa"/>
              <w:end w:w="110" w:type="dxa"/>
            </w:tcMar>
            <w:vAlign w:val="center"/>
          </w:tcPr>
          <w:p>
            <w:pPr>
              <w:spacing w:after="0"/>
            </w:pPr>
            <w:r>
              <w:rPr>
                <w:sz w:val="19"/>
              </w:rPr>
            </w:r>
            <w:r>
              <w:rPr>
                <w:b/>
                <w:sz w:val="19"/>
              </w:rPr>
              <w:t>Validar por accionabilidad</w:t>
            </w:r>
            <w:r>
              <w:rPr>
                <w:sz w:val="19"/>
              </w:rPr>
              <w:t>: cada nombre respaldado por la tabla de perfilamiento, no por intuición; documentar el método y el k elegido</w:t>
            </w:r>
          </w:p>
        </w:tc>
        <w:tc>
          <w:tcPr>
            <w:tcW w:type="dxa" w:w="2436"/>
            <w:tcMar>
              <w:top w:w="60" w:type="dxa"/>
              <w:bottom w:w="60" w:type="dxa"/>
              <w:start w:w="110" w:type="dxa"/>
              <w:end w:w="110" w:type="dxa"/>
            </w:tcMar>
            <w:vAlign w:val="center"/>
          </w:tcPr>
          <w:p>
            <w:pPr>
              <w:spacing w:after="0"/>
            </w:pPr>
            <w:r>
              <w:rPr>
                <w:sz w:val="19"/>
              </w:rPr>
            </w:r>
            <w:r>
              <w:rPr>
                <w:sz w:val="19"/>
              </w:rPr>
              <w:t>Parte 6.2</w:t>
            </w:r>
          </w:p>
        </w:tc>
      </w:tr>
      <w:tr>
        <w:tc>
          <w:tcPr>
            <w:tcW w:type="dxa" w:w="2436"/>
            <w:tcMar>
              <w:top w:w="60" w:type="dxa"/>
              <w:bottom w:w="60" w:type="dxa"/>
              <w:start w:w="110" w:type="dxa"/>
              <w:end w:w="110" w:type="dxa"/>
            </w:tcMar>
            <w:vAlign w:val="center"/>
            <w:shd w:val="clear" w:color="auto" w:fill="FCEDEE"/>
          </w:tcPr>
          <w:p>
            <w:pPr>
              <w:spacing w:after="0"/>
            </w:pPr>
            <w:r>
              <w:rPr>
                <w:sz w:val="19"/>
              </w:rPr>
            </w:r>
            <w:r>
              <w:rPr>
                <w:b/>
                <w:sz w:val="19"/>
              </w:rPr>
              <w:t>Unidades de negocio, no z-scores</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El z-score sirve para clusterizar (distancia estandarizada), pero no se lee en la ficha de la sesión</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 xml:space="preserve">Reportar R en días, F en nº de pedidos, M en £; usar la </w:t>
            </w:r>
            <w:r>
              <w:rPr>
                <w:b/>
                <w:sz w:val="19"/>
              </w:rPr>
              <w:t>mediana</w:t>
            </w:r>
            <w:r>
              <w:rPr>
                <w:sz w:val="19"/>
              </w:rPr>
              <w:t xml:space="preserve"> cuando </w:t>
            </w:r>
            <w:r>
              <w:rPr>
                <w:i/>
                <w:sz w:val="19"/>
              </w:rPr>
              <w:t>Monetary</w:t>
            </w:r>
            <w:r>
              <w:rPr>
                <w:sz w:val="19"/>
              </w:rPr>
              <w:t xml:space="preserve"> tiene cola larga</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Parte 1.1</w:t>
            </w:r>
          </w:p>
        </w:tc>
      </w:tr>
      <w:tr>
        <w:tc>
          <w:tcPr>
            <w:tcW w:type="dxa" w:w="2436"/>
            <w:tcMar>
              <w:top w:w="60" w:type="dxa"/>
              <w:bottom w:w="60" w:type="dxa"/>
              <w:start w:w="110" w:type="dxa"/>
              <w:end w:w="110" w:type="dxa"/>
            </w:tcMar>
            <w:vAlign w:val="center"/>
          </w:tcPr>
          <w:p>
            <w:pPr>
              <w:spacing w:after="0"/>
            </w:pPr>
            <w:r>
              <w:rPr>
                <w:sz w:val="19"/>
              </w:rPr>
            </w:r>
            <w:r>
              <w:rPr>
                <w:b/>
                <w:sz w:val="19"/>
              </w:rPr>
              <w:t>Prioridad = tamaño × % de ingreso</w:t>
            </w:r>
          </w:p>
        </w:tc>
        <w:tc>
          <w:tcPr>
            <w:tcW w:type="dxa" w:w="2436"/>
            <w:tcMar>
              <w:top w:w="60" w:type="dxa"/>
              <w:bottom w:w="60" w:type="dxa"/>
              <w:start w:w="110" w:type="dxa"/>
              <w:end w:w="110" w:type="dxa"/>
            </w:tcMar>
            <w:vAlign w:val="center"/>
          </w:tcPr>
          <w:p>
            <w:pPr>
              <w:spacing w:after="0"/>
            </w:pPr>
            <w:r>
              <w:rPr>
                <w:sz w:val="19"/>
              </w:rPr>
            </w:r>
            <w:r>
              <w:rPr>
                <w:sz w:val="19"/>
              </w:rPr>
              <w:t>Un segmento pequeño en nº puede concentrar casi todo el ingreso (Campeones)</w:t>
            </w:r>
          </w:p>
        </w:tc>
        <w:tc>
          <w:tcPr>
            <w:tcW w:type="dxa" w:w="2436"/>
            <w:tcMar>
              <w:top w:w="60" w:type="dxa"/>
              <w:bottom w:w="60" w:type="dxa"/>
              <w:start w:w="110" w:type="dxa"/>
              <w:end w:w="110" w:type="dxa"/>
            </w:tcMar>
            <w:vAlign w:val="center"/>
          </w:tcPr>
          <w:p>
            <w:pPr>
              <w:spacing w:after="0"/>
            </w:pPr>
            <w:r>
              <w:rPr>
                <w:sz w:val="19"/>
              </w:rPr>
            </w:r>
            <w:r>
              <w:rPr>
                <w:sz w:val="19"/>
              </w:rPr>
              <w:t xml:space="preserve">La prioridad pondera tamaño </w:t>
            </w:r>
            <w:r>
              <w:rPr>
                <w:b/>
                <w:sz w:val="19"/>
              </w:rPr>
              <w:t>y</w:t>
            </w:r>
            <w:r>
              <w:rPr>
                <w:sz w:val="19"/>
              </w:rPr>
              <w:t xml:space="preserve"> valor; no diseñar campañas caras sobre grupos frágiles</w:t>
            </w:r>
          </w:p>
        </w:tc>
        <w:tc>
          <w:tcPr>
            <w:tcW w:type="dxa" w:w="2436"/>
            <w:tcMar>
              <w:top w:w="60" w:type="dxa"/>
              <w:bottom w:w="60" w:type="dxa"/>
              <w:start w:w="110" w:type="dxa"/>
              <w:end w:w="110" w:type="dxa"/>
            </w:tcMar>
            <w:vAlign w:val="center"/>
          </w:tcPr>
          <w:p>
            <w:pPr>
              <w:spacing w:after="0"/>
            </w:pPr>
            <w:r>
              <w:rPr>
                <w:sz w:val="19"/>
              </w:rPr>
            </w:r>
            <w:r>
              <w:rPr>
                <w:sz w:val="19"/>
              </w:rPr>
              <w:t>Parte 6.2</w:t>
            </w:r>
          </w:p>
        </w:tc>
      </w:tr>
      <w:tr>
        <w:tc>
          <w:tcPr>
            <w:tcW w:type="dxa" w:w="2436"/>
            <w:tcMar>
              <w:top w:w="60" w:type="dxa"/>
              <w:bottom w:w="60" w:type="dxa"/>
              <w:start w:w="110" w:type="dxa"/>
              <w:end w:w="110" w:type="dxa"/>
            </w:tcMar>
            <w:vAlign w:val="center"/>
            <w:shd w:val="clear" w:color="auto" w:fill="FCEDEE"/>
          </w:tcPr>
          <w:p>
            <w:pPr>
              <w:spacing w:after="0"/>
            </w:pPr>
            <w:r>
              <w:rPr>
                <w:sz w:val="19"/>
              </w:rPr>
            </w:r>
            <w:r>
              <w:rPr>
                <w:b/>
                <w:sz w:val="19"/>
              </w:rPr>
              <w:t>El ruido −1 (DBSCAN) no es un segmento</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Etiqueta −1 = puntos fuera de toda región densa</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 xml:space="preserve">Tratarlos como </w:t>
            </w:r>
            <w:r>
              <w:rPr>
                <w:b/>
                <w:sz w:val="19"/>
              </w:rPr>
              <w:t>candidatos a revisar / atípicos</w:t>
            </w:r>
            <w:r>
              <w:rPr>
                <w:sz w:val="19"/>
              </w:rPr>
              <w:t>, no como segmento comercial</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Partes 4.1 y 6.2</w:t>
            </w:r>
          </w:p>
        </w:tc>
      </w:tr>
      <w:tr>
        <w:tc>
          <w:tcPr>
            <w:tcW w:type="dxa" w:w="2436"/>
            <w:tcMar>
              <w:top w:w="60" w:type="dxa"/>
              <w:bottom w:w="60" w:type="dxa"/>
              <w:start w:w="110" w:type="dxa"/>
              <w:end w:w="110" w:type="dxa"/>
            </w:tcMar>
            <w:vAlign w:val="center"/>
          </w:tcPr>
          <w:p>
            <w:pPr>
              <w:spacing w:after="0"/>
            </w:pPr>
            <w:r>
              <w:rPr>
                <w:sz w:val="19"/>
              </w:rPr>
            </w:r>
            <w:r>
              <w:rPr>
                <w:b/>
                <w:sz w:val="19"/>
              </w:rPr>
              <w:t>La bandera de anomalía es una hipótesis</w:t>
            </w:r>
          </w:p>
        </w:tc>
        <w:tc>
          <w:tcPr>
            <w:tcW w:type="dxa" w:w="2436"/>
            <w:tcMar>
              <w:top w:w="60" w:type="dxa"/>
              <w:bottom w:w="60" w:type="dxa"/>
              <w:start w:w="110" w:type="dxa"/>
              <w:end w:w="110" w:type="dxa"/>
            </w:tcMar>
            <w:vAlign w:val="center"/>
          </w:tcPr>
          <w:p>
            <w:pPr>
              <w:spacing w:after="0"/>
            </w:pPr>
            <w:r>
              <w:rPr>
                <w:sz w:val="19"/>
              </w:rPr>
            </w:r>
            <w:r>
              <w:rPr>
                <w:sz w:val="19"/>
              </w:rPr>
              <w:t>Un score alto marca «raro», no «fraude»</w:t>
            </w:r>
          </w:p>
        </w:tc>
        <w:tc>
          <w:tcPr>
            <w:tcW w:type="dxa" w:w="2436"/>
            <w:tcMar>
              <w:top w:w="60" w:type="dxa"/>
              <w:bottom w:w="60" w:type="dxa"/>
              <w:start w:w="110" w:type="dxa"/>
              <w:end w:w="110" w:type="dxa"/>
            </w:tcMar>
            <w:vAlign w:val="center"/>
          </w:tcPr>
          <w:p>
            <w:pPr>
              <w:spacing w:after="0"/>
            </w:pPr>
            <w:r>
              <w:rPr>
                <w:sz w:val="19"/>
              </w:rPr>
            </w:r>
            <w:r>
              <w:rPr>
                <w:sz w:val="19"/>
              </w:rPr>
              <w:t xml:space="preserve">Marca para </w:t>
            </w:r>
            <w:r>
              <w:rPr>
                <w:b/>
                <w:sz w:val="19"/>
              </w:rPr>
              <w:t>revisión humana</w:t>
            </w:r>
            <w:r>
              <w:rPr>
                <w:sz w:val="19"/>
              </w:rPr>
              <w:t xml:space="preserve"> y como </w:t>
            </w:r>
            <w:r>
              <w:rPr>
                <w:i/>
                <w:sz w:val="19"/>
              </w:rPr>
              <w:t>feature</w:t>
            </w:r>
            <w:r>
              <w:rPr>
                <w:sz w:val="19"/>
              </w:rPr>
              <w:t xml:space="preserve"> del modelo supervisado de S09-S10, sin sentenciar</w:t>
            </w:r>
          </w:p>
        </w:tc>
        <w:tc>
          <w:tcPr>
            <w:tcW w:type="dxa" w:w="2436"/>
            <w:tcMar>
              <w:top w:w="60" w:type="dxa"/>
              <w:bottom w:w="60" w:type="dxa"/>
              <w:start w:w="110" w:type="dxa"/>
              <w:end w:w="110" w:type="dxa"/>
            </w:tcMar>
            <w:vAlign w:val="center"/>
          </w:tcPr>
          <w:p>
            <w:pPr>
              <w:spacing w:after="0"/>
            </w:pPr>
            <w:r>
              <w:rPr>
                <w:sz w:val="19"/>
              </w:rPr>
            </w:r>
            <w:r>
              <w:rPr>
                <w:sz w:val="19"/>
              </w:rPr>
              <w:t>Partes 5.4 y 6.2</w:t>
            </w:r>
          </w:p>
        </w:tc>
      </w:tr>
    </w:tbl>
    <w:p>
      <w:pPr>
        <w:spacing w:after="40"/>
      </w:pPr>
    </w:p>
    <w:p>
      <w:pPr>
        <w:spacing w:before="80" w:after="160" w:line="288" w:lineRule="auto"/>
        <w:ind w:left="85" w:right="85"/>
        <w:shd w:val="clear" w:color="auto" w:fill="F4F4F4"/>
        <w:pBdr>
          <w:left w:val="single" w:sz="24" w:space="10" w:color="E4002B"/>
        </w:pBdr>
      </w:pPr>
      <w:r>
        <w:rPr>
          <w:b/>
          <w:color w:val="2D2D2D"/>
        </w:rPr>
        <w:t>La regla de oro.</w:t>
      </w:r>
      <w:r>
        <w:rPr>
          <w:color w:val="2D2D2D"/>
        </w:rPr>
        <w:t xml:space="preserve"> Cada afirmación de una ficha —el nombre, la palanca, la prioridad— debe poder rastrearse a una cifra de la tabla de perfilamiento; un segmento atractivo en apariencia pero sin respaldo numérico es una decisión frágil. El clustering describe y asocia, </w:t>
      </w:r>
      <w:r>
        <w:rPr>
          <w:b/>
          <w:color w:val="2D2D2D"/>
        </w:rPr>
        <w:t>no</w:t>
      </w:r>
      <w:r>
        <w:rPr>
          <w:color w:val="2D2D2D"/>
        </w:rPr>
        <w:t xml:space="preserve"> prueba causa (eso es S12). Desarrollo completo en la guía de supuestos de la sesión, Parte 6.2.</w:t>
      </w:r>
    </w:p>
    <w:p>
      <w:pPr>
        <w:spacing w:before="40" w:after="40"/>
        <w:pBdr>
          <w:bottom w:val="single" w:sz="6" w:space="1" w:color="D9D9D9"/>
        </w:pBdr>
      </w:pPr>
    </w:p>
    <w:p>
      <w:pPr>
        <w:keepNext/>
        <w:spacing w:before="240" w:after="60"/>
        <w:pBdr>
          <w:bottom w:val="single" w:sz="6" w:space="2" w:color="E4002B"/>
        </w:pBdr>
      </w:pPr>
      <w:r>
        <w:rPr>
          <w:b/>
          <w:color w:val="E4002B"/>
          <w:sz w:val="30"/>
        </w:rPr>
        <w:t>Control de calidad de las fichas</w:t>
      </w:r>
    </w:p>
    <w:p>
      <w:pPr>
        <w:pStyle w:val="ListBullet"/>
        <w:spacing w:after="40"/>
      </w:pPr>
      <w:r>
        <w:t xml:space="preserve">[ ] Hay </w:t>
      </w:r>
      <w:r>
        <w:rPr>
          <w:b/>
        </w:rPr>
        <w:t>una ficha por segmento</w:t>
      </w:r>
      <w:r>
        <w:t xml:space="preserve"> (incluido, si aplica, una nota sobre el ruido −1 de DBSCAN como "candidatos a revisar", no como segmento comercial).</w:t>
      </w:r>
    </w:p>
    <w:p>
      <w:pPr>
        <w:pStyle w:val="ListBullet"/>
        <w:spacing w:after="40"/>
      </w:pPr>
      <w:r>
        <w:t xml:space="preserve">[ ] El </w:t>
      </w:r>
      <w:r>
        <w:rPr>
          <w:b/>
        </w:rPr>
        <w:t>nombre</w:t>
      </w:r>
      <w:r>
        <w:t xml:space="preserve"> de cada segmento está respaldado por la tabla de perfilamiento (</w:t>
      </w:r>
      <w:r>
        <w:rPr>
          <w:rFonts w:ascii="Consolas" w:hAnsi="Consolas"/>
          <w:color w:val="9B1B30"/>
          <w:sz w:val="19"/>
        </w:rPr>
        <w:t>plantillas/rfm_perfilamiento.docx</w:t>
      </w:r>
      <w:r>
        <w:t>).</w:t>
      </w:r>
    </w:p>
    <w:p>
      <w:pPr>
        <w:pStyle w:val="ListBullet"/>
        <w:spacing w:after="40"/>
      </w:pPr>
      <w:r>
        <w:t xml:space="preserve">[ ] El perfil se muestra en </w:t>
      </w:r>
      <w:r>
        <w:rPr>
          <w:b/>
        </w:rPr>
        <w:t>unidades de negocio</w:t>
      </w:r>
      <w:r>
        <w:t xml:space="preserve"> (días, pedidos, £), no en z-scores.</w:t>
      </w:r>
    </w:p>
    <w:p>
      <w:pPr>
        <w:pStyle w:val="ListBullet"/>
        <w:spacing w:after="40"/>
      </w:pPr>
      <w:r>
        <w:t xml:space="preserve">[ ] La </w:t>
      </w:r>
      <w:r>
        <w:rPr>
          <w:b/>
        </w:rPr>
        <w:t>prioridad</w:t>
      </w:r>
      <w:r>
        <w:t xml:space="preserve"> considera tamaño </w:t>
      </w:r>
      <w:r>
        <w:rPr>
          <w:b/>
        </w:rPr>
        <w:t>y</w:t>
      </w:r>
      <w:r>
        <w:t xml:space="preserve"> % de ingreso (no solo el nº de clientes).</w:t>
      </w:r>
    </w:p>
    <w:p>
      <w:pPr>
        <w:pStyle w:val="ListBullet"/>
        <w:spacing w:after="40"/>
      </w:pPr>
      <w:r>
        <w:t xml:space="preserve">[ ] Cada ficha tiene </w:t>
      </w:r>
      <w:r>
        <w:rPr>
          <w:b/>
        </w:rPr>
        <w:t>2–3 acciones</w:t>
      </w:r>
      <w:r>
        <w:t xml:space="preserve"> concretas, coherentes con el patrón RFM, y una </w:t>
      </w:r>
      <w:r>
        <w:rPr>
          <w:b/>
        </w:rPr>
        <w:t>métrica de éxito</w:t>
      </w:r>
      <w:r>
        <w:t>.</w:t>
      </w:r>
    </w:p>
    <w:p>
      <w:pPr>
        <w:pStyle w:val="ListBullet"/>
        <w:spacing w:after="40"/>
      </w:pPr>
      <w:r>
        <w:t>[ ] No se aplica la misma acción a todos (descuento a los VIP destruye margen; onboarding a los perdidos no aplica).</w:t>
      </w:r>
    </w:p>
    <w:p>
      <w:pPr>
        <w:spacing w:before="40" w:after="40"/>
        <w:pBdr>
          <w:bottom w:val="single" w:sz="6" w:space="1" w:color="D9D9D9"/>
        </w:pBdr>
      </w:pPr>
    </w:p>
    <w:p>
      <w:pPr>
        <w:spacing w:before="80" w:after="80" w:line="288" w:lineRule="auto"/>
        <w:ind w:left="85" w:right="85"/>
        <w:shd w:val="clear" w:color="auto" w:fill="F4F4F4"/>
        <w:pBdr>
          <w:left w:val="single" w:sz="24" w:space="10" w:color="E4002B"/>
        </w:pBdr>
      </w:pPr>
      <w:r>
        <w:rPr>
          <w:b/>
          <w:color w:val="2D2D2D"/>
        </w:rPr>
        <w:t>Uso en la sesión.</w:t>
      </w:r>
      <w:r>
        <w:rPr>
          <w:color w:val="2D2D2D"/>
        </w:rPr>
        <w:t xml:space="preserve"> Estas fichas se construyen a partir de la tabla de perfilamiento de </w:t>
      </w:r>
      <w:r>
        <w:rPr>
          <w:rFonts w:ascii="Consolas" w:hAnsi="Consolas"/>
          <w:color w:val="2D2D2D"/>
          <w:sz w:val="19"/>
        </w:rPr>
        <w:t>plantillas/rfm_perfilamiento.docx</w:t>
      </w:r>
      <w:r>
        <w:rPr>
          <w:color w:val="2D2D2D"/>
        </w:rPr>
        <w:t xml:space="preserve">, con los segmentos que produce el cuaderno </w:t>
      </w:r>
      <w:r>
        <w:rPr>
          <w:rFonts w:ascii="Consolas" w:hAnsi="Consolas"/>
          <w:color w:val="2D2D2D"/>
          <w:sz w:val="19"/>
        </w:rPr>
        <w:t>notebook/S07_clustering_anomalias.ipynb</w:t>
      </w:r>
      <w:r>
        <w:rPr>
          <w:color w:val="2D2D2D"/>
        </w:rPr>
        <w:t xml:space="preserve"> sobre </w:t>
      </w:r>
      <w:r>
        <w:rPr>
          <w:rFonts w:ascii="Consolas" w:hAnsi="Consolas"/>
          <w:color w:val="2D2D2D"/>
          <w:sz w:val="19"/>
        </w:rPr>
        <w:t>online_retail_II_muestra.csv</w:t>
      </w:r>
      <w:r>
        <w:rPr>
          <w:color w:val="2D2D2D"/>
        </w:rPr>
        <w:t xml:space="preserve">, y constituyen el núcleo del entregable </w:t>
      </w:r>
      <w:r>
        <w:rPr>
          <w:rFonts w:ascii="Consolas" w:hAnsi="Consolas"/>
          <w:color w:val="2D2D2D"/>
          <w:sz w:val="19"/>
        </w:rPr>
        <w:t>evaluacion/entregable.docx</w:t>
      </w:r>
      <w:r>
        <w:rPr>
          <w:color w:val="2D2D2D"/>
        </w:rPr>
        <w:t xml:space="preserve"> (perfilar los segmentos en «fichas de segmento» con acciones de marketing). Los tamaños, medias </w:t>
      </w:r>
      <w:r>
        <w:rPr>
          <w:b/>
          <w:color w:val="2D2D2D"/>
        </w:rPr>
        <w:t>Y</w:t>
      </w:r>
      <w:r>
        <w:rPr>
          <w:color w:val="2D2D2D"/>
        </w:rPr>
        <w:t xml:space="preserve"> medianas de R/F/M y el % de ingreso exacto por segmento existen en </w:t>
      </w:r>
      <w:r>
        <w:rPr>
          <w:rFonts w:ascii="Consolas" w:hAnsi="Consolas"/>
          <w:color w:val="2D2D2D"/>
          <w:sz w:val="19"/>
        </w:rPr>
        <w:t>resultados/S07_resultados.xlsx</w:t>
      </w:r>
      <w:r>
        <w:rPr>
          <w:color w:val="2D2D2D"/>
        </w:rPr>
        <w:t xml:space="preserve"> (hoja </w:t>
      </w:r>
      <w:r>
        <w:rPr>
          <w:rFonts w:ascii="Consolas" w:hAnsi="Consolas"/>
          <w:color w:val="2D2D2D"/>
          <w:sz w:val="19"/>
        </w:rPr>
        <w:t>perfiles_cluster</w:t>
      </w:r>
      <w:r>
        <w:rPr>
          <w:color w:val="2D2D2D"/>
        </w:rPr>
        <w:t>, certificada 24/08/2026; convención del curso).</w:t>
      </w:r>
    </w:p>
    <w:p>
      <w:pPr>
        <w:spacing w:before="0" w:after="160" w:line="288" w:lineRule="auto"/>
        <w:ind w:left="85" w:right="85"/>
        <w:shd w:val="clear" w:color="auto" w:fill="F4F4F4"/>
        <w:pBdr>
          <w:left w:val="single" w:sz="24" w:space="10" w:color="E4002B"/>
        </w:pBdr>
      </w:pPr>
      <w:r>
        <w:rPr>
          <w:color w:val="2D2D2D"/>
        </w:rPr>
        <w:t xml:space="preserve">Derivado de la guía de interpretación de resultados (Sección 4 perfilar los segmentos y traducirlos en acción; arquetipos Campeones/En riesgo/Nuevos/En hibernación), el glosario de la sesión (Sección 6 perfilamiento de segmentos, Sección 7 RFM) e la guía de supuestos de la sesión (Parte 6.2 clustering exploratorio y accionabilidad). Fuentes: Hughes (1994), </w:t>
      </w:r>
      <w:r>
        <w:rPr>
          <w:i/>
          <w:color w:val="2D2D2D"/>
        </w:rPr>
        <w:t>Strategic Database Marketing</w:t>
      </w:r>
      <w:r>
        <w:rPr>
          <w:color w:val="2D2D2D"/>
        </w:rPr>
        <w:t xml:space="preserve">; Fader, Hardie &amp; Lee (2005), </w:t>
      </w:r>
      <w:r>
        <w:rPr>
          <w:i/>
          <w:color w:val="2D2D2D"/>
        </w:rPr>
        <w:t>RFM and CLV</w:t>
      </w:r>
      <w:r>
        <w:rPr>
          <w:color w:val="2D2D2D"/>
        </w:rPr>
        <w:t>, JMR 42(4):415-430; ISLR Sección 12.4 (statlearning.com).</w:t>
      </w:r>
    </w:p>
    <w:sectPr w:rsidR="00FC693F" w:rsidRPr="0006063C" w:rsidSect="00034616">
      <w:headerReference w:type="default" r:id="rId9"/>
      <w:footerReference w:type="default" r:id="rId10"/>
      <w:pgSz w:w="12240" w:h="15840"/>
      <w:pgMar w:top="1134"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2" w:color="D9D9D9"/>
      </w:pBdr>
    </w:pPr>
    <w:r>
      <w:rPr>
        <w:color w:val="6E6E6E"/>
        <w:sz w:val="16"/>
      </w:rPr>
      <w:t xml:space="preserve">Herramientas para la Ciencia de Datos, UPC, Facultad de Negocios     |     </w:t>
    </w:r>
    <w:r>
      <w:rPr>
        <w:color w:val="6E6E6E"/>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E4002B"/>
      </w:pBdr>
    </w:pPr>
    <w:r>
      <w:rPr>
        <w:color w:val="6E6E6E"/>
        <w:sz w:val="16"/>
      </w:rPr>
      <w:t>Plantilla de «fichas de segmento» con acciones de marketing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