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Guía de preparación de datos transaccionales en formato one-hot por ticket</w:t>
      </w:r>
    </w:p>
    <w:p>
      <w:pPr>
        <w:spacing w:before="80" w:after="160" w:line="288" w:lineRule="auto"/>
        <w:ind w:left="85" w:right="85"/>
        <w:shd w:val="clear" w:color="auto" w:fill="F4F4F4"/>
        <w:pBdr>
          <w:left w:val="single" w:sz="24" w:space="10" w:color="E4002B"/>
        </w:pBdr>
      </w:pPr>
      <w:r>
        <w:rPr>
          <w:color w:val="2D2D2D"/>
        </w:rPr>
        <w:t xml:space="preserve">Guía de una página de la Sesión S08 — Herramientas para la Ciencia de Datos (UPC). El paso de ingeniería de datos que habilita todo el análisis de canasta: pasar de una tabla de </w:t>
      </w:r>
      <w:r>
        <w:rPr>
          <w:b/>
          <w:color w:val="2D2D2D"/>
        </w:rPr>
        <w:t>líneas de ticket</w:t>
      </w:r>
      <w:r>
        <w:rPr>
          <w:color w:val="2D2D2D"/>
        </w:rPr>
        <w:t xml:space="preserve"> (</w:t>
      </w:r>
      <w:r>
        <w:rPr>
          <w:rFonts w:ascii="Consolas" w:hAnsi="Consolas"/>
          <w:color w:val="2D2D2D"/>
          <w:sz w:val="19"/>
        </w:rPr>
        <w:t>factura, producto</w:t>
      </w:r>
      <w:r>
        <w:rPr>
          <w:color w:val="2D2D2D"/>
        </w:rPr>
        <w:t xml:space="preserve">) a una </w:t>
      </w:r>
      <w:r>
        <w:rPr>
          <w:b/>
          <w:color w:val="2D2D2D"/>
        </w:rPr>
        <w:t>matriz booleana</w:t>
      </w:r>
      <w:r>
        <w:rPr>
          <w:color w:val="2D2D2D"/>
        </w:rPr>
        <w:t xml:space="preserve"> </w:t>
      </w:r>
      <w:r>
        <w:rPr>
          <w:rFonts w:ascii="Consolas" w:hAnsi="Consolas"/>
          <w:color w:val="2D2D2D"/>
          <w:sz w:val="19"/>
        </w:rPr>
        <w:t>ticket × ítem</w:t>
      </w:r>
      <w:r>
        <w:rPr>
          <w:color w:val="2D2D2D"/>
        </w:rPr>
        <w:t xml:space="preserve"> con </w:t>
      </w:r>
      <w:r>
        <w:rPr>
          <w:rFonts w:ascii="Consolas" w:hAnsi="Consolas"/>
          <w:color w:val="2D2D2D"/>
          <w:sz w:val="19"/>
        </w:rPr>
        <w:t>TransactionEncoder</w:t>
      </w:r>
      <w:r>
        <w:rPr>
          <w:color w:val="2D2D2D"/>
        </w:rPr>
        <w:t xml:space="preserve">, y se manejan devoluciones y duplicados. Acompaña al cuaderno </w:t>
      </w:r>
      <w:r>
        <w:rPr>
          <w:rFonts w:ascii="Consolas" w:hAnsi="Consolas"/>
          <w:color w:val="2D2D2D"/>
          <w:sz w:val="19"/>
        </w:rPr>
        <w:t>notebook/S08_reglas_asociacion.ipynb</w:t>
      </w:r>
      <w:r>
        <w:rPr>
          <w:color w:val="2D2D2D"/>
        </w:rPr>
        <w:t xml:space="preserve"> (que aplica Apriori/FP-Growth sobre esta matriz) y sustenta la fase de preparación del entregable </w:t>
      </w:r>
      <w:r>
        <w:rPr>
          <w:rFonts w:ascii="Consolas" w:hAnsi="Consolas"/>
          <w:color w:val="2D2D2D"/>
          <w:sz w:val="19"/>
        </w:rPr>
        <w:t>evaluacion/entregable.docx</w:t>
      </w:r>
      <w:r>
        <w:rPr>
          <w:color w:val="2D2D2D"/>
        </w:rPr>
        <w:t xml:space="preserve"> (minar reglas sobre un dataset de retail). Español impersonal. Fechas DD/MM/YYYY, UTF-8.</w:t>
      </w:r>
    </w:p>
    <w:p>
      <w:pPr>
        <w:keepNext/>
        <w:spacing w:before="240" w:after="60"/>
        <w:pBdr>
          <w:bottom w:val="single" w:sz="6" w:space="2" w:color="E4002B"/>
        </w:pBdr>
      </w:pPr>
      <w:r>
        <w:rPr>
          <w:b/>
          <w:color w:val="E4002B"/>
          <w:sz w:val="30"/>
        </w:rPr>
        <w:t>El problema</w:t>
      </w:r>
    </w:p>
    <w:p>
      <w:pPr>
        <w:jc w:val="both"/>
      </w:pPr>
      <w:r>
        <w:t xml:space="preserve">Apriori y FP-Growth en mlxtend </w:t>
      </w:r>
      <w:r>
        <w:rPr>
          <w:b/>
        </w:rPr>
        <w:t>no</w:t>
      </w:r>
      <w:r>
        <w:t xml:space="preserve"> consumen la tabla de ventas tal cual: exigen una </w:t>
      </w:r>
      <w:r>
        <w:rPr>
          <w:b/>
        </w:rPr>
        <w:t>matriz booleana one-hot</w:t>
      </w:r>
      <w:r>
        <w:t xml:space="preserve">, con </w:t>
      </w:r>
      <w:r>
        <w:rPr>
          <w:b/>
        </w:rPr>
        <w:t>una fila por transacción</w:t>
      </w:r>
      <w:r>
        <w:t xml:space="preserve"> (ticket) y </w:t>
      </w:r>
      <w:r>
        <w:rPr>
          <w:b/>
        </w:rPr>
        <w:t>una columna por ítem</w:t>
      </w:r>
      <w:r>
        <w:t xml:space="preserve"> posible, con </w:t>
      </w:r>
      <w:r>
        <w:rPr>
          <w:rFonts w:ascii="Consolas" w:hAnsi="Consolas"/>
          <w:color w:val="9B1B30"/>
          <w:sz w:val="19"/>
        </w:rPr>
        <w:t>True</w:t>
      </w:r>
      <w:r>
        <w:t>/</w:t>
      </w:r>
      <w:r>
        <w:rPr>
          <w:rFonts w:ascii="Consolas" w:hAnsi="Consolas"/>
          <w:color w:val="9B1B30"/>
          <w:sz w:val="19"/>
        </w:rPr>
        <w:t>False</w:t>
      </w:r>
      <w:r>
        <w:t xml:space="preserve"> según el ítem esté o no en esa canasta. Los datos de punto de venta llegan casi siempre en formato </w:t>
      </w:r>
      <w:r>
        <w:rPr>
          <w:b/>
        </w:rPr>
        <w:t>"largo"</w:t>
      </w:r>
      <w:r>
        <w:t xml:space="preserve"> (una fila por </w:t>
      </w:r>
      <w:r>
        <w:rPr>
          <w:b/>
        </w:rPr>
        <w:t>línea</w:t>
      </w:r>
      <w:r>
        <w:t xml:space="preserve"> de ticket: </w:t>
      </w:r>
      <w:r>
        <w:rPr>
          <w:rFonts w:ascii="Consolas" w:hAnsi="Consolas"/>
          <w:color w:val="9B1B30"/>
          <w:sz w:val="19"/>
        </w:rPr>
        <w:t>factura, producto, cantidad, precio…</w:t>
      </w:r>
      <w:r>
        <w:t xml:space="preserve">), así que hay que </w:t>
      </w:r>
      <w:r>
        <w:rPr>
          <w:b/>
        </w:rPr>
        <w:t>pivotarlos</w:t>
      </w:r>
      <w:r>
        <w:t xml:space="preserve"> a formato </w:t>
      </w:r>
      <w:r>
        <w:rPr>
          <w:b/>
        </w:rPr>
        <w:t>"ancho"</w:t>
      </w:r>
      <w:r>
        <w:t xml:space="preserve"> al agrupar por ticket. El resultado es una matriz </w:t>
      </w:r>
      <w:r>
        <w:rPr>
          <w:b/>
        </w:rPr>
        <w:t>muy dispersa</w:t>
      </w:r>
      <w:r>
        <w:t xml:space="preserve"> (la mayoría de celdas son </w:t>
      </w:r>
      <w:r>
        <w:rPr>
          <w:rFonts w:ascii="Consolas" w:hAnsi="Consolas"/>
          <w:color w:val="9B1B30"/>
          <w:sz w:val="19"/>
        </w:rPr>
        <w:t>False</w:t>
      </w:r>
      <w:r>
        <w:t>): cada canasta contiene unos pocos de los cientos o miles de ítems del catálogo.</w:t>
      </w:r>
    </w:p>
    <w:p>
      <w:pPr>
        <w:spacing w:before="80" w:after="160" w:line="288" w:lineRule="auto"/>
        <w:ind w:left="85" w:right="85"/>
        <w:shd w:val="clear" w:color="auto" w:fill="F4F4F4"/>
        <w:pBdr>
          <w:left w:val="single" w:sz="24" w:space="10" w:color="E4002B"/>
        </w:pBdr>
      </w:pPr>
      <w:r>
        <w:rPr>
          <w:b/>
          <w:color w:val="2D2D2D"/>
        </w:rPr>
        <w:t>Por qué importa.</w:t>
      </w:r>
      <w:r>
        <w:rPr>
          <w:color w:val="2D2D2D"/>
        </w:rPr>
        <w:t xml:space="preserve"> Es el </w:t>
      </w:r>
      <w:r>
        <w:rPr>
          <w:b/>
          <w:color w:val="2D2D2D"/>
        </w:rPr>
        <w:t>error de preparación más frecuente</w:t>
      </w:r>
      <w:r>
        <w:rPr>
          <w:color w:val="2D2D2D"/>
        </w:rPr>
        <w:t xml:space="preserve"> de la sesión. Tres fallos silenciosos invalidan todo el análisis posterior: (1) agrupar </w:t>
      </w:r>
      <w:r>
        <w:rPr>
          <w:b/>
          <w:color w:val="2D2D2D"/>
        </w:rPr>
        <w:t>por cliente</w:t>
      </w:r>
      <w:r>
        <w:rPr>
          <w:color w:val="2D2D2D"/>
        </w:rPr>
        <w:t xml:space="preserve"> en vez de </w:t>
      </w:r>
      <w:r>
        <w:rPr>
          <w:b/>
          <w:color w:val="2D2D2D"/>
        </w:rPr>
        <w:t>por ticket</w:t>
      </w:r>
      <w:r>
        <w:rPr>
          <w:color w:val="2D2D2D"/>
        </w:rPr>
        <w:t xml:space="preserve"> (mezcla canastas de compras distintas e infla el soporte); (2) usar </w:t>
      </w:r>
      <w:r>
        <w:rPr>
          <w:b/>
          <w:color w:val="2D2D2D"/>
        </w:rPr>
        <w:t>cantidades</w:t>
      </w:r>
      <w:r>
        <w:rPr>
          <w:color w:val="2D2D2D"/>
        </w:rPr>
        <w:t xml:space="preserve"> en vez de </w:t>
      </w:r>
      <w:r>
        <w:rPr>
          <w:b/>
          <w:color w:val="2D2D2D"/>
        </w:rPr>
        <w:t>presencia/ausencia</w:t>
      </w:r>
      <w:r>
        <w:rPr>
          <w:color w:val="2D2D2D"/>
        </w:rPr>
        <w:t xml:space="preserve"> (mlxtend espera booleanos; valores &gt; 1 rompen el conteo de soporte); (3) no </w:t>
      </w:r>
      <w:r>
        <w:rPr>
          <w:b/>
          <w:color w:val="2D2D2D"/>
        </w:rPr>
        <w:t>de-duplicar</w:t>
      </w:r>
      <w:r>
        <w:rPr>
          <w:color w:val="2D2D2D"/>
        </w:rPr>
        <w:t xml:space="preserve"> el mismo ítem repetido dentro del ticket. Una fila = </w:t>
      </w:r>
      <w:r>
        <w:rPr>
          <w:b/>
          <w:color w:val="2D2D2D"/>
        </w:rPr>
        <w:t>una transacción</w:t>
      </w:r>
      <w:r>
        <w:rPr>
          <w:color w:val="2D2D2D"/>
        </w:rPr>
        <w:t>.</w:t>
      </w:r>
    </w:p>
    <w:p>
      <w:pPr>
        <w:spacing w:before="40" w:after="40"/>
        <w:pBdr>
          <w:bottom w:val="single" w:sz="6" w:space="1" w:color="D9D9D9"/>
        </w:pBdr>
      </w:pPr>
    </w:p>
    <w:p>
      <w:pPr>
        <w:keepNext/>
        <w:spacing w:before="240" w:after="60"/>
        <w:pBdr>
          <w:bottom w:val="single" w:sz="6" w:space="2" w:color="E4002B"/>
        </w:pBdr>
      </w:pPr>
      <w:r>
        <w:rPr>
          <w:b/>
          <w:color w:val="E4002B"/>
          <w:sz w:val="30"/>
        </w:rPr>
        <w:t>El pivoteo, en un diagrama</w:t>
      </w:r>
    </w:p>
    <w:p>
      <w:pPr>
        <w:jc w:val="both"/>
      </w:pPr>
      <w:r>
        <w:t xml:space="preserve">De la tabla </w:t>
      </w:r>
      <w:r>
        <w:rPr>
          <w:b/>
        </w:rPr>
        <w:t>larga</w:t>
      </w:r>
      <w:r>
        <w:t xml:space="preserve"> de líneas (izquierda) a la matriz </w:t>
      </w:r>
      <w:r>
        <w:rPr>
          <w:b/>
        </w:rPr>
        <w:t>ancha</w:t>
      </w:r>
      <w:r>
        <w:t xml:space="preserve"> booleana </w:t>
      </w:r>
      <w:r>
        <w:rPr>
          <w:rFonts w:ascii="Consolas" w:hAnsi="Consolas"/>
          <w:color w:val="9B1B30"/>
          <w:sz w:val="19"/>
        </w:rPr>
        <w:t>ticket × ítem</w:t>
      </w:r>
      <w:r>
        <w:t xml:space="preserve"> (derecha). Se agrupa por </w:t>
      </w:r>
      <w:r>
        <w:rPr>
          <w:rFonts w:ascii="Consolas" w:hAnsi="Consolas"/>
          <w:color w:val="9B1B30"/>
          <w:sz w:val="19"/>
        </w:rPr>
        <w:t>Invoice</w:t>
      </w:r>
      <w:r>
        <w:t xml:space="preserve">; para cada ticket, cada ítem presente pasa a </w:t>
      </w:r>
      <w:r>
        <w:rPr>
          <w:rFonts w:ascii="Consolas" w:hAnsi="Consolas"/>
          <w:color w:val="9B1B30"/>
          <w:sz w:val="19"/>
        </w:rPr>
        <w:t>True</w:t>
      </w:r>
      <w:r>
        <w:t xml:space="preserve"> en su columna, el resto queda </w:t>
      </w:r>
      <w:r>
        <w:rPr>
          <w:rFonts w:ascii="Consolas" w:hAnsi="Consolas"/>
          <w:color w:val="9B1B30"/>
          <w:sz w:val="19"/>
        </w:rPr>
        <w:t>False</w:t>
      </w:r>
      <w:r>
        <w:t>:</w:t>
      </w:r>
    </w:p>
    <w:p>
      <w:pPr>
        <w:spacing w:before="80" w:after="120"/>
        <w:ind w:left="170"/>
        <w:shd w:val="clear" w:color="auto" w:fill="F4F4F4"/>
        <w:pBdr>
          <w:left w:val="single" w:sz="12" w:space="6" w:color="6E6E6E"/>
        </w:pBdr>
      </w:pPr>
      <w:r>
        <w:rPr>
          <w:rFonts w:ascii="Consolas" w:hAnsi="Consolas"/>
          <w:color w:val="2D2D2D"/>
          <w:sz w:val="18"/>
        </w:rPr>
        <w:t xml:space="preserve"> FORMATO LARGO (líneas de ticket) FORMATO ANCHO one-hot (ticket × ítem)</w:t>
        <w:br/>
        <w:t xml:space="preserve"> una fila = una LÍNEA una fila = una TRANSACCIÓN (ticket)</w:t>
        <w:br/>
        <w:t xml:space="preserve"> ┌──────────┬───────────────────┐ ┌────────┬───────┬────────┬────────┐</w:t>
        <w:br/>
        <w:t xml:space="preserve"> │ Invoice │ Description │ │Invoice │ MUG │ TEACUP │ ROSES │</w:t>
        <w:br/>
        <w:t xml:space="preserve"> ├──────────┼───────────────────┤ ├────────┼───────┼────────┼────────┤</w:t>
        <w:br/>
        <w:t xml:space="preserve"> │ 536365 │ WHITE MUG │ groupby │ 536365 │ True │ True │ False │</w:t>
        <w:br/>
        <w:t xml:space="preserve"> │ 536365 │ GREEN TEACUP │ (Invoice) │ 536366 │ False │ True │ True │</w:t>
        <w:br/>
        <w:t xml:space="preserve"> │ 536365 │ WHITE MUG ◄─dup │ ───────────► └────────┴───────┴────────┴────────┘</w:t>
        <w:br/>
        <w:t xml:space="preserve"> │ 536366 │ GREEN TEACUP │ pivote a bool</w:t>
        <w:br/>
        <w:t xml:space="preserve"> │ 536366 │ ROSES TEACUP │ (presencia, ▲ ▲ ▲ ▲ └──────────┴───────────────────┘ no cantidad) │ └── una COLUMNA por ítem del catálogo</w:t>
        <w:br/>
        <w:t xml:space="preserve"> ▲ ▲ └────── una FILA por ticket (Invoice)</w:t>
        <w:br/>
        <w:t xml:space="preserve"> │ └── el ítem repetido (WHITE MUG x2) se cuenta UNA sola vez → True</w:t>
        <w:br/>
        <w:t xml:space="preserve"> └── varias líneas comparten el mismo Invoice → se colapsan en UNA fila</w:t>
      </w:r>
    </w:p>
    <w:p>
      <w:pPr>
        <w:jc w:val="both"/>
      </w:pPr>
      <w:r>
        <w:rPr>
          <w:b/>
        </w:rPr>
        <w:t>Lectura del diagrama:</w:t>
      </w:r>
      <w:r>
        <w:t xml:space="preserve"> las dos líneas de </w:t>
      </w:r>
      <w:r>
        <w:rPr>
          <w:rFonts w:ascii="Consolas" w:hAnsi="Consolas"/>
          <w:color w:val="9B1B30"/>
          <w:sz w:val="19"/>
        </w:rPr>
        <w:t>WHITE MUG</w:t>
      </w:r>
      <w:r>
        <w:t xml:space="preserve"> del ticket </w:t>
      </w:r>
      <w:r>
        <w:rPr>
          <w:rFonts w:ascii="Consolas" w:hAnsi="Consolas"/>
          <w:color w:val="9B1B30"/>
          <w:sz w:val="19"/>
        </w:rPr>
        <w:t>536365</w:t>
      </w:r>
      <w:r>
        <w:t xml:space="preserve"> se colapsan en un único </w:t>
      </w:r>
      <w:r>
        <w:rPr>
          <w:rFonts w:ascii="Consolas" w:hAnsi="Consolas"/>
          <w:color w:val="9B1B30"/>
          <w:sz w:val="19"/>
        </w:rPr>
        <w:t>True</w:t>
      </w:r>
      <w:r>
        <w:t xml:space="preserve"> (presencia, no cantidad = 2). El ticket </w:t>
      </w:r>
      <w:r>
        <w:rPr>
          <w:rFonts w:ascii="Consolas" w:hAnsi="Consolas"/>
          <w:color w:val="9B1B30"/>
          <w:sz w:val="19"/>
        </w:rPr>
        <w:t>536366</w:t>
      </w:r>
      <w:r>
        <w:t xml:space="preserve"> no lleva </w:t>
      </w:r>
      <w:r>
        <w:rPr>
          <w:rFonts w:ascii="Consolas" w:hAnsi="Consolas"/>
          <w:color w:val="9B1B30"/>
          <w:sz w:val="19"/>
        </w:rPr>
        <w:t>WHITE MUG</w:t>
      </w:r>
      <w:r>
        <w:t xml:space="preserve"> → </w:t>
      </w:r>
      <w:r>
        <w:rPr>
          <w:rFonts w:ascii="Consolas" w:hAnsi="Consolas"/>
          <w:color w:val="9B1B30"/>
          <w:sz w:val="19"/>
        </w:rPr>
        <w:t>False</w:t>
      </w:r>
      <w:r>
        <w:t xml:space="preserve">. Cada columna es un ítem del catálogo; casi todas valen </w:t>
      </w:r>
      <w:r>
        <w:rPr>
          <w:rFonts w:ascii="Consolas" w:hAnsi="Consolas"/>
          <w:color w:val="9B1B30"/>
          <w:sz w:val="19"/>
        </w:rPr>
        <w:t>False</w:t>
      </w:r>
      <w:r>
        <w:t xml:space="preserve"> en casi todas las filas (matriz </w:t>
      </w:r>
      <w:r>
        <w:rPr>
          <w:b/>
        </w:rPr>
        <w:t>dispersa</w:t>
      </w:r>
      <w:r>
        <w:t>).</w:t>
      </w:r>
    </w:p>
    <w:p>
      <w:pPr>
        <w:spacing w:before="40" w:after="40"/>
        <w:pBdr>
          <w:bottom w:val="single" w:sz="6" w:space="1" w:color="D9D9D9"/>
        </w:pBdr>
      </w:pPr>
    </w:p>
    <w:p>
      <w:pPr>
        <w:keepNext/>
        <w:spacing w:before="240" w:after="60"/>
        <w:pBdr>
          <w:bottom w:val="single" w:sz="6" w:space="2" w:color="E4002B"/>
        </w:pBdr>
      </w:pPr>
      <w:r>
        <w:rPr>
          <w:b/>
          <w:color w:val="E4002B"/>
          <w:sz w:val="30"/>
        </w:rPr>
        <w:t>Procedimiento paso a paso</w:t>
      </w:r>
    </w:p>
    <w:p>
      <w:pPr>
        <w:jc w:val="both"/>
      </w:pPr>
      <w:r>
        <w:rPr>
          <w:b/>
        </w:rPr>
        <w:t>Punto de partida:</w:t>
      </w:r>
      <w:r>
        <w:t xml:space="preserve"> un </w:t>
      </w:r>
      <w:r>
        <w:rPr>
          <w:rFonts w:ascii="Consolas" w:hAnsi="Consolas"/>
          <w:color w:val="9B1B30"/>
          <w:sz w:val="19"/>
        </w:rPr>
        <w:t>DataFrame</w:t>
      </w:r>
      <w:r>
        <w:t xml:space="preserve"> largo con, al menos, una columna de </w:t>
      </w:r>
      <w:r>
        <w:rPr>
          <w:b/>
        </w:rPr>
        <w:t>id de transacción</w:t>
      </w:r>
      <w:r>
        <w:t xml:space="preserve"> (</w:t>
      </w:r>
      <w:r>
        <w:rPr>
          <w:rFonts w:ascii="Consolas" w:hAnsi="Consolas"/>
          <w:color w:val="9B1B30"/>
          <w:sz w:val="19"/>
        </w:rPr>
        <w:t>Invoice</w:t>
      </w:r>
      <w:r>
        <w:t xml:space="preserve">) y una de </w:t>
      </w:r>
      <w:r>
        <w:rPr>
          <w:b/>
        </w:rPr>
        <w:t>ítem</w:t>
      </w:r>
      <w:r>
        <w:t xml:space="preserve"> (</w:t>
      </w:r>
      <w:r>
        <w:rPr>
          <w:rFonts w:ascii="Consolas" w:hAnsi="Consolas"/>
          <w:color w:val="9B1B30"/>
          <w:sz w:val="19"/>
        </w:rPr>
        <w:t>Description</w:t>
      </w:r>
      <w:r>
        <w:t xml:space="preserve"> o </w:t>
      </w:r>
      <w:r>
        <w:rPr>
          <w:rFonts w:ascii="Consolas" w:hAnsi="Consolas"/>
          <w:color w:val="9B1B30"/>
          <w:sz w:val="19"/>
        </w:rPr>
        <w:t>StockCode</w:t>
      </w:r>
      <w:r>
        <w:t>).</w:t>
      </w:r>
    </w:p>
    <w:p>
      <w:pPr>
        <w:jc w:val="both"/>
      </w:pPr>
      <w:r>
        <w:rPr>
          <w:b/>
        </w:rPr>
        <w:t>1 — Limpiar antes de pivotar</w:t>
      </w:r>
      <w:r>
        <w:t xml:space="preserve"> (ver "Devoluciones y duplicados"): quitar cancelaciones, cantidades/precios no positivos, ítems nulos y códigos que no son producto.</w:t>
      </w:r>
    </w:p>
    <w:p>
      <w:pPr>
        <w:jc w:val="both"/>
      </w:pPr>
      <w:r>
        <w:rPr>
          <w:b/>
        </w:rPr>
        <w:t>2 — Agrupar en listas por ticket.</w:t>
      </w:r>
      <w:r>
        <w:t xml:space="preserve"> Una transacción = la </w:t>
      </w:r>
      <w:r>
        <w:rPr>
          <w:b/>
        </w:rPr>
        <w:t>lista de ítems distintos</w:t>
      </w:r>
      <w:r>
        <w:t xml:space="preserve"> de un </w:t>
      </w:r>
      <w:r>
        <w:rPr>
          <w:rFonts w:ascii="Consolas" w:hAnsi="Consolas"/>
          <w:color w:val="9B1B30"/>
          <w:sz w:val="19"/>
        </w:rPr>
        <w:t>Invoice</w:t>
      </w:r>
      <w:r>
        <w:t xml:space="preserve">. El </w:t>
      </w:r>
      <w:r>
        <w:rPr>
          <w:rFonts w:ascii="Consolas" w:hAnsi="Consolas"/>
          <w:color w:val="9B1B30"/>
          <w:sz w:val="19"/>
        </w:rPr>
        <w:t>set</w:t>
      </w:r>
      <w:r>
        <w:t xml:space="preserve"> de-duplica dentro del ticket:</w:t>
      </w:r>
    </w:p>
    <w:p>
      <w:pPr>
        <w:spacing w:before="80" w:after="120"/>
        <w:ind w:left="170"/>
        <w:shd w:val="clear" w:color="auto" w:fill="F4F4F4"/>
        <w:pBdr>
          <w:left w:val="single" w:sz="12" w:space="6" w:color="6E6E6E"/>
        </w:pBdr>
      </w:pPr>
      <w:r>
        <w:rPr>
          <w:rFonts w:ascii="Consolas" w:hAnsi="Consolas"/>
          <w:color w:val="2D2D2D"/>
          <w:sz w:val="18"/>
        </w:rPr>
        <w:t>transacciones = (</w:t>
        <w:br/>
        <w:t xml:space="preserve"> df.groupby("Invoice")["Description"].apply(lambda s: list(set(s))) # ítems ÚNICOS por ticket (de-duplica).tolist</w:t>
        <w:br/>
        <w:t>)</w:t>
        <w:br/>
        <w:t># transacciones = [["WHITE MUG", "GREEN TEACUP"], ["GREEN TEACUP", "ROSES TEACUP"],...]</w:t>
      </w:r>
    </w:p>
    <w:p>
      <w:pPr>
        <w:jc w:val="both"/>
      </w:pPr>
      <w:r>
        <w:rPr>
          <w:b/>
        </w:rPr>
        <w:t>3 — Codificar a one-hot booleano con `TransactionEncoder`</w:t>
      </w:r>
      <w:r>
        <w:t xml:space="preserve"> (mlxtend):</w:t>
      </w:r>
    </w:p>
    <w:p>
      <w:pPr>
        <w:spacing w:before="80" w:after="120"/>
        <w:ind w:left="170"/>
        <w:shd w:val="clear" w:color="auto" w:fill="F4F4F4"/>
        <w:pBdr>
          <w:left w:val="single" w:sz="12" w:space="6" w:color="6E6E6E"/>
        </w:pBdr>
      </w:pPr>
      <w:r>
        <w:rPr>
          <w:rFonts w:ascii="Consolas" w:hAnsi="Consolas"/>
          <w:color w:val="2D2D2D"/>
          <w:sz w:val="18"/>
        </w:rPr>
        <w:t>from mlxtend.preprocessing import TransactionEncoder</w:t>
        <w:br/>
        <w:t>import pandas as pd</w:t>
        <w:br/>
        <w:br/>
        <w:t>te = TransactionEncoder</w:t>
        <w:br/>
        <w:t>onehot = te.fit(transacciones).transform(transacciones) # matriz numpy de bool</w:t>
        <w:br/>
        <w:t>df_oh = pd.DataFrame(onehot, columns=te.columns_) # columnas = nombres de ítem</w:t>
      </w:r>
    </w:p>
    <w:p>
      <w:pPr>
        <w:keepNext/>
        <w:spacing w:before="140" w:after="20"/>
      </w:pPr>
      <w:r>
        <w:rPr>
          <w:b/>
          <w:color w:val="9B1B30"/>
          <w:sz w:val="19"/>
          <w:spacing w:val="16"/>
        </w:rPr>
        <w:t>4 — VERIFICAR LA MATRIZ ANTES DE MINAR:</w:t>
      </w:r>
    </w:p>
    <w:p>
      <w:pPr>
        <w:spacing w:before="80" w:after="120"/>
        <w:ind w:left="170"/>
        <w:shd w:val="clear" w:color="auto" w:fill="F4F4F4"/>
        <w:pBdr>
          <w:left w:val="single" w:sz="12" w:space="6" w:color="6E6E6E"/>
        </w:pBdr>
      </w:pPr>
      <w:r>
        <w:rPr>
          <w:rFonts w:ascii="Consolas" w:hAnsi="Consolas"/>
          <w:color w:val="2D2D2D"/>
          <w:sz w:val="18"/>
        </w:rPr>
        <w:t>assert df_oh.dtypes.iloc[0] == bool # dtype bool, NO int</w:t>
        <w:br/>
        <w:t>print(df_oh.shape) # (nº de tickets, nº de ítems del catálogo)</w:t>
        <w:br/>
        <w:t>assert len(df_oh) == df["Invoice"].nunique # una fila por transacción</w:t>
      </w:r>
    </w:p>
    <w:p>
      <w:pPr>
        <w:jc w:val="both"/>
      </w:pPr>
      <w:r>
        <w:rPr>
          <w:b/>
        </w:rPr>
        <w:t>5 — Minar.</w:t>
      </w:r>
      <w:r>
        <w:t xml:space="preserve"> </w:t>
      </w:r>
      <w:r>
        <w:rPr>
          <w:rFonts w:ascii="Consolas" w:hAnsi="Consolas"/>
          <w:color w:val="9B1B30"/>
          <w:sz w:val="19"/>
        </w:rPr>
        <w:t>df_oh</w:t>
      </w:r>
      <w:r>
        <w:t xml:space="preserve"> es la entrada directa de </w:t>
      </w:r>
      <w:r>
        <w:rPr>
          <w:rFonts w:ascii="Consolas" w:hAnsi="Consolas"/>
          <w:color w:val="9B1B30"/>
          <w:sz w:val="19"/>
        </w:rPr>
        <w:t>apriori(df_oh, min_support=…, use_colnames=True)</w:t>
      </w:r>
      <w:r>
        <w:t xml:space="preserve"> y de </w:t>
      </w:r>
      <w:r>
        <w:rPr>
          <w:rFonts w:ascii="Consolas" w:hAnsi="Consolas"/>
          <w:color w:val="9B1B30"/>
          <w:sz w:val="19"/>
        </w:rPr>
        <w:t>fpgrowth(...)</w:t>
      </w:r>
      <w:r>
        <w:t xml:space="preserve"> — ver </w:t>
      </w:r>
      <w:r>
        <w:rPr>
          <w:rFonts w:ascii="Consolas" w:hAnsi="Consolas"/>
          <w:color w:val="9B1B30"/>
          <w:sz w:val="19"/>
        </w:rPr>
        <w:t>notebook/S08_reglas_asociacion.ipynb</w:t>
      </w:r>
      <w:r>
        <w:t>.</w:t>
      </w:r>
    </w:p>
    <w:p>
      <w:pPr>
        <w:keepNext/>
        <w:spacing w:before="140" w:after="20"/>
      </w:pPr>
      <w:r>
        <w:rPr>
          <w:b/>
          <w:color w:val="9B1B30"/>
          <w:sz w:val="19"/>
          <w:spacing w:val="16"/>
        </w:rPr>
        <w:t>REGISTRO DE LA PREPARACIÓN (A COMPLETAR):</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873"/>
        <w:gridCol w:w="4873"/>
      </w:tblGrid>
      <w:tr>
        <w:tc>
          <w:tcPr>
            <w:tcW w:type="dxa" w:w="4873"/>
            <w:tcMar>
              <w:top w:w="60" w:type="dxa"/>
              <w:bottom w:w="60" w:type="dxa"/>
              <w:start w:w="110" w:type="dxa"/>
              <w:end w:w="110" w:type="dxa"/>
            </w:tcMar>
            <w:vAlign w:val="center"/>
            <w:shd w:val="clear" w:color="auto" w:fill="E4002B"/>
          </w:tcPr>
          <w:p>
            <w:pPr>
              <w:spacing w:after="0"/>
            </w:pPr>
            <w:r/>
            <w:r>
              <w:rPr>
                <w:b/>
                <w:color w:val="FFFFFF"/>
                <w:sz w:val="19"/>
              </w:rPr>
              <w:t>Campo</w:t>
            </w:r>
          </w:p>
        </w:tc>
        <w:tc>
          <w:tcPr>
            <w:tcW w:type="dxa" w:w="4873"/>
            <w:tcMar>
              <w:top w:w="60" w:type="dxa"/>
              <w:bottom w:w="60" w:type="dxa"/>
              <w:start w:w="110" w:type="dxa"/>
              <w:end w:w="110" w:type="dxa"/>
            </w:tcMar>
            <w:vAlign w:val="center"/>
            <w:shd w:val="clear" w:color="auto" w:fill="E4002B"/>
          </w:tcPr>
          <w:p>
            <w:pPr>
              <w:spacing w:after="0"/>
            </w:pPr>
            <w:r/>
            <w:r>
              <w:rPr>
                <w:b/>
                <w:color w:val="FFFFFF"/>
                <w:sz w:val="19"/>
              </w:rPr>
              <w:t>Valor</w:t>
            </w:r>
          </w:p>
        </w:tc>
      </w:tr>
      <w:tr>
        <w:tc>
          <w:tcPr>
            <w:tcW w:type="dxa" w:w="4873"/>
            <w:tcMar>
              <w:top w:w="60" w:type="dxa"/>
              <w:bottom w:w="60" w:type="dxa"/>
              <w:start w:w="110" w:type="dxa"/>
              <w:end w:w="110" w:type="dxa"/>
            </w:tcMar>
            <w:vAlign w:val="center"/>
          </w:tcPr>
          <w:p>
            <w:pPr>
              <w:spacing w:after="0"/>
            </w:pPr>
            <w:r>
              <w:rPr>
                <w:sz w:val="19"/>
              </w:rPr>
            </w:r>
            <w:r>
              <w:rPr>
                <w:sz w:val="19"/>
              </w:rPr>
              <w:t>Columna usada como id de transacción</w:t>
            </w:r>
          </w:p>
        </w:tc>
        <w:tc>
          <w:tcPr>
            <w:tcW w:type="dxa" w:w="4873"/>
            <w:tcMar>
              <w:top w:w="60" w:type="dxa"/>
              <w:bottom w:w="60" w:type="dxa"/>
              <w:start w:w="110" w:type="dxa"/>
              <w:end w:w="110" w:type="dxa"/>
            </w:tcMar>
            <w:vAlign w:val="center"/>
          </w:tcPr>
          <w:p>
            <w:pPr>
              <w:spacing w:after="0"/>
            </w:pPr>
            <w:r>
              <w:rPr>
                <w:sz w:val="19"/>
              </w:rPr>
            </w:r>
            <w:r>
              <w:rPr>
                <w:rFonts w:ascii="Consolas" w:hAnsi="Consolas"/>
                <w:color w:val="9B1B30"/>
                <w:sz w:val="19"/>
              </w:rPr>
              <w:t>Invoice</w:t>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Columna usada como ítem</w:t>
            </w:r>
          </w:p>
        </w:tc>
        <w:tc>
          <w:tcPr>
            <w:tcW w:type="dxa" w:w="4873"/>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Description</w:t>
            </w:r>
            <w:r>
              <w:rPr>
                <w:sz w:val="19"/>
              </w:rPr>
              <w:t xml:space="preserve"> / </w:t>
            </w:r>
            <w:r>
              <w:rPr>
                <w:rFonts w:ascii="Consolas" w:hAnsi="Consolas"/>
                <w:color w:val="9B1B30"/>
                <w:sz w:val="19"/>
              </w:rPr>
              <w:t>StockCode</w:t>
            </w:r>
          </w:p>
        </w:tc>
      </w:tr>
      <w:tr>
        <w:tc>
          <w:tcPr>
            <w:tcW w:type="dxa" w:w="4873"/>
            <w:tcMar>
              <w:top w:w="60" w:type="dxa"/>
              <w:bottom w:w="60" w:type="dxa"/>
              <w:start w:w="110" w:type="dxa"/>
              <w:end w:w="110" w:type="dxa"/>
            </w:tcMar>
            <w:vAlign w:val="center"/>
          </w:tcPr>
          <w:p>
            <w:pPr>
              <w:spacing w:after="0"/>
            </w:pPr>
            <w:r>
              <w:rPr>
                <w:sz w:val="19"/>
              </w:rPr>
            </w:r>
            <w:r>
              <w:rPr>
                <w:sz w:val="19"/>
              </w:rPr>
              <w:t>Nº de líneas (filas) del formato largo</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Nº de tickets (filas del one-hot)</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Nº de ítems del catálogo (columnas del one-hot)</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w:t>
            </w:r>
            <w:r>
              <w:rPr>
                <w:rFonts w:ascii="Consolas" w:hAnsi="Consolas"/>
                <w:color w:val="9B1B30"/>
                <w:sz w:val="19"/>
              </w:rPr>
              <w:t>dtype</w:t>
            </w:r>
            <w:r>
              <w:rPr>
                <w:sz w:val="19"/>
              </w:rPr>
              <w:t xml:space="preserve"> de la matriz es </w:t>
            </w:r>
            <w:r>
              <w:rPr>
                <w:rFonts w:ascii="Consolas" w:hAnsi="Consolas"/>
                <w:color w:val="9B1B30"/>
                <w:sz w:val="19"/>
              </w:rPr>
              <w:t>bool</w:t>
            </w:r>
            <w:r>
              <w:rPr>
                <w:sz w:val="19"/>
              </w:rPr>
              <w:t>?</w:t>
            </w:r>
          </w:p>
        </w:tc>
        <w:tc>
          <w:tcPr>
            <w:tcW w:type="dxa" w:w="4873"/>
            <w:tcMar>
              <w:top w:w="60" w:type="dxa"/>
              <w:bottom w:w="60" w:type="dxa"/>
              <w:start w:w="110" w:type="dxa"/>
              <w:end w:w="110" w:type="dxa"/>
            </w:tcMar>
            <w:vAlign w:val="center"/>
            <w:shd w:val="clear" w:color="auto" w:fill="FCEDEE"/>
          </w:tcPr>
          <w:p>
            <w:pPr>
              <w:spacing w:after="0"/>
            </w:pPr>
            <w:r>
              <w:rPr>
                <w:sz w:val="19"/>
              </w:rPr>
            </w:r>
            <w:r>
              <w:rPr>
                <w:sz w:val="19"/>
              </w:rPr>
              <w:t>Sí / No</w:t>
            </w:r>
          </w:p>
        </w:tc>
      </w:tr>
    </w:tbl>
    <w:p>
      <w:pPr>
        <w:spacing w:after="40"/>
      </w:pPr>
    </w:p>
    <w:p>
      <w:pPr>
        <w:spacing w:before="40" w:after="40"/>
        <w:pBdr>
          <w:bottom w:val="single" w:sz="6" w:space="1" w:color="D9D9D9"/>
        </w:pBdr>
      </w:pPr>
    </w:p>
    <w:p>
      <w:pPr>
        <w:keepNext/>
        <w:spacing w:before="240" w:after="60"/>
        <w:pBdr>
          <w:bottom w:val="single" w:sz="6" w:space="2" w:color="E4002B"/>
        </w:pBdr>
      </w:pPr>
      <w:r>
        <w:rPr>
          <w:b/>
          <w:color w:val="E4002B"/>
          <w:sz w:val="30"/>
        </w:rPr>
        <w:t>Devoluciones y duplicados (limpieza obligatoria)</w:t>
      </w:r>
    </w:p>
    <w:p>
      <w:pPr>
        <w:jc w:val="both"/>
      </w:pPr>
      <w:r>
        <w:t xml:space="preserve">En datos reales de retail (p. ej. </w:t>
      </w:r>
      <w:r>
        <w:rPr>
          <w:b/>
        </w:rPr>
        <w:t>Online Retail II</w:t>
      </w:r>
      <w:r>
        <w:t>) hay que decidir explícitamente: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Caso</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se detecta</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Decisión recomendada</w:t>
            </w:r>
          </w:p>
        </w:tc>
      </w:tr>
      <w:tr>
        <w:tc>
          <w:tcPr>
            <w:tcW w:type="dxa" w:w="3249"/>
            <w:tcMar>
              <w:top w:w="60" w:type="dxa"/>
              <w:bottom w:w="60" w:type="dxa"/>
              <w:start w:w="110" w:type="dxa"/>
              <w:end w:w="110" w:type="dxa"/>
            </w:tcMar>
            <w:vAlign w:val="center"/>
          </w:tcPr>
          <w:p>
            <w:pPr>
              <w:spacing w:after="0"/>
            </w:pPr>
            <w:r>
              <w:rPr>
                <w:sz w:val="19"/>
              </w:rPr>
            </w:r>
            <w:r>
              <w:rPr>
                <w:b/>
                <w:sz w:val="19"/>
              </w:rPr>
              <w:t>Cancelaciones / devoluciones</w:t>
            </w:r>
          </w:p>
        </w:tc>
        <w:tc>
          <w:tcPr>
            <w:tcW w:type="dxa" w:w="3249"/>
            <w:tcMar>
              <w:top w:w="60" w:type="dxa"/>
              <w:bottom w:w="60" w:type="dxa"/>
              <w:start w:w="110" w:type="dxa"/>
              <w:end w:w="110" w:type="dxa"/>
            </w:tcMar>
            <w:vAlign w:val="center"/>
          </w:tcPr>
          <w:p>
            <w:pPr>
              <w:spacing w:after="0"/>
            </w:pPr>
            <w:r>
              <w:rPr>
                <w:sz w:val="19"/>
              </w:rPr>
            </w:r>
            <w:r>
              <w:rPr>
                <w:rFonts w:ascii="Consolas" w:hAnsi="Consolas"/>
                <w:color w:val="9B1B30"/>
                <w:sz w:val="19"/>
              </w:rPr>
              <w:t>Invoice</w:t>
            </w:r>
            <w:r>
              <w:rPr>
                <w:sz w:val="19"/>
              </w:rPr>
              <w:t xml:space="preserve"> que empieza por </w:t>
            </w:r>
            <w:r>
              <w:rPr>
                <w:rFonts w:ascii="Consolas" w:hAnsi="Consolas"/>
                <w:color w:val="9B1B30"/>
                <w:sz w:val="19"/>
              </w:rPr>
              <w:t>C</w:t>
            </w:r>
            <w:r>
              <w:rPr>
                <w:sz w:val="19"/>
              </w:rPr>
              <w:t xml:space="preserve">, o </w:t>
            </w:r>
            <w:r>
              <w:rPr>
                <w:rFonts w:ascii="Consolas" w:hAnsi="Consolas"/>
                <w:color w:val="9B1B30"/>
                <w:sz w:val="19"/>
              </w:rPr>
              <w:t>Quantity &lt; 0</w:t>
            </w:r>
          </w:p>
        </w:tc>
        <w:tc>
          <w:tcPr>
            <w:tcW w:type="dxa" w:w="3249"/>
            <w:tcMar>
              <w:top w:w="60" w:type="dxa"/>
              <w:bottom w:w="60" w:type="dxa"/>
              <w:start w:w="110" w:type="dxa"/>
              <w:end w:w="110" w:type="dxa"/>
            </w:tcMar>
            <w:vAlign w:val="center"/>
          </w:tcPr>
          <w:p>
            <w:pPr>
              <w:spacing w:after="0"/>
            </w:pPr>
            <w:r>
              <w:rPr>
                <w:sz w:val="19"/>
              </w:rPr>
            </w:r>
            <w:r>
              <w:rPr>
                <w:b/>
                <w:sz w:val="19"/>
              </w:rPr>
              <w:t>Excluir</w:t>
            </w:r>
            <w:r>
              <w:rPr>
                <w:sz w:val="19"/>
              </w:rPr>
              <w:t xml:space="preserve">: no son canastas de compra. </w:t>
            </w:r>
            <w:r>
              <w:rPr>
                <w:rFonts w:ascii="Consolas" w:hAnsi="Consolas"/>
                <w:color w:val="9B1B30"/>
                <w:sz w:val="19"/>
              </w:rPr>
              <w:t>df = df[~df["Invoice"].astype(str).str.startswith("C")]</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Cantidad o precio no positivos</w:t>
            </w:r>
          </w:p>
        </w:tc>
        <w:tc>
          <w:tcPr>
            <w:tcW w:type="dxa" w:w="32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Quantity &lt;= 0</w:t>
            </w:r>
            <w:r>
              <w:rPr>
                <w:sz w:val="19"/>
              </w:rPr>
              <w:t xml:space="preserve"> o </w:t>
            </w:r>
            <w:r>
              <w:rPr>
                <w:rFonts w:ascii="Consolas" w:hAnsi="Consolas"/>
                <w:color w:val="9B1B30"/>
                <w:sz w:val="19"/>
              </w:rPr>
              <w:t>Price &lt;= 0</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Filtrar: </w:t>
            </w:r>
            <w:r>
              <w:rPr>
                <w:rFonts w:ascii="Consolas" w:hAnsi="Consolas"/>
                <w:color w:val="9B1B30"/>
                <w:sz w:val="19"/>
              </w:rPr>
              <w:t>df = df[(df["Quantity"] &gt; 0) &amp; (df["Price"] &gt; 0)]</w:t>
            </w:r>
          </w:p>
        </w:tc>
      </w:tr>
      <w:tr>
        <w:tc>
          <w:tcPr>
            <w:tcW w:type="dxa" w:w="3249"/>
            <w:tcMar>
              <w:top w:w="60" w:type="dxa"/>
              <w:bottom w:w="60" w:type="dxa"/>
              <w:start w:w="110" w:type="dxa"/>
              <w:end w:w="110" w:type="dxa"/>
            </w:tcMar>
            <w:vAlign w:val="center"/>
          </w:tcPr>
          <w:p>
            <w:pPr>
              <w:spacing w:after="0"/>
            </w:pPr>
            <w:r>
              <w:rPr>
                <w:sz w:val="19"/>
              </w:rPr>
            </w:r>
            <w:r>
              <w:rPr>
                <w:b/>
                <w:sz w:val="19"/>
              </w:rPr>
              <w:t>Ítem repetido dentro del ticket</w:t>
            </w:r>
          </w:p>
        </w:tc>
        <w:tc>
          <w:tcPr>
            <w:tcW w:type="dxa" w:w="3249"/>
            <w:tcMar>
              <w:top w:w="60" w:type="dxa"/>
              <w:bottom w:w="60" w:type="dxa"/>
              <w:start w:w="110" w:type="dxa"/>
              <w:end w:w="110" w:type="dxa"/>
            </w:tcMar>
            <w:vAlign w:val="center"/>
          </w:tcPr>
          <w:p>
            <w:pPr>
              <w:spacing w:after="0"/>
            </w:pPr>
            <w:r>
              <w:rPr>
                <w:sz w:val="19"/>
              </w:rPr>
            </w:r>
            <w:r>
              <w:rPr>
                <w:sz w:val="19"/>
              </w:rPr>
              <w:t xml:space="preserve">mismo </w:t>
            </w:r>
            <w:r>
              <w:rPr>
                <w:rFonts w:ascii="Consolas" w:hAnsi="Consolas"/>
                <w:color w:val="9B1B30"/>
                <w:sz w:val="19"/>
              </w:rPr>
              <w:t>Description</w:t>
            </w:r>
            <w:r>
              <w:rPr>
                <w:sz w:val="19"/>
              </w:rPr>
              <w:t xml:space="preserve"> en varias líneas del mismo </w:t>
            </w:r>
            <w:r>
              <w:rPr>
                <w:rFonts w:ascii="Consolas" w:hAnsi="Consolas"/>
                <w:color w:val="9B1B30"/>
                <w:sz w:val="19"/>
              </w:rPr>
              <w:t>Invoice</w:t>
            </w:r>
          </w:p>
        </w:tc>
        <w:tc>
          <w:tcPr>
            <w:tcW w:type="dxa" w:w="3249"/>
            <w:tcMar>
              <w:top w:w="60" w:type="dxa"/>
              <w:bottom w:w="60" w:type="dxa"/>
              <w:start w:w="110" w:type="dxa"/>
              <w:end w:w="110" w:type="dxa"/>
            </w:tcMar>
            <w:vAlign w:val="center"/>
          </w:tcPr>
          <w:p>
            <w:pPr>
              <w:spacing w:after="0"/>
            </w:pPr>
            <w:r>
              <w:rPr>
                <w:sz w:val="19"/>
              </w:rPr>
            </w:r>
            <w:r>
              <w:rPr>
                <w:b/>
                <w:sz w:val="19"/>
              </w:rPr>
              <w:t>De-duplicar</w:t>
            </w:r>
            <w:r>
              <w:rPr>
                <w:sz w:val="19"/>
              </w:rPr>
              <w:t xml:space="preserve">: el </w:t>
            </w:r>
            <w:r>
              <w:rPr>
                <w:rFonts w:ascii="Consolas" w:hAnsi="Consolas"/>
                <w:color w:val="9B1B30"/>
                <w:sz w:val="19"/>
              </w:rPr>
              <w:t>set</w:t>
            </w:r>
            <w:r>
              <w:rPr>
                <w:sz w:val="19"/>
              </w:rPr>
              <w:t xml:space="preserve"> del paso 2 lo resuelve (presencia, no cantidad)</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Descripciones nulas</w:t>
            </w:r>
          </w:p>
        </w:tc>
        <w:tc>
          <w:tcPr>
            <w:tcW w:type="dxa" w:w="32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Description</w:t>
            </w:r>
            <w:r>
              <w:rPr>
                <w:sz w:val="19"/>
              </w:rPr>
              <w:t xml:space="preserve"> es </w:t>
            </w:r>
            <w:r>
              <w:rPr>
                <w:rFonts w:ascii="Consolas" w:hAnsi="Consolas"/>
                <w:color w:val="9B1B30"/>
                <w:sz w:val="19"/>
              </w:rPr>
              <w:t>NaN</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Eliminar esas líneas antes de agrupar</w:t>
            </w:r>
          </w:p>
        </w:tc>
      </w:tr>
      <w:tr>
        <w:tc>
          <w:tcPr>
            <w:tcW w:type="dxa" w:w="3249"/>
            <w:tcMar>
              <w:top w:w="60" w:type="dxa"/>
              <w:bottom w:w="60" w:type="dxa"/>
              <w:start w:w="110" w:type="dxa"/>
              <w:end w:w="110" w:type="dxa"/>
            </w:tcMar>
            <w:vAlign w:val="center"/>
          </w:tcPr>
          <w:p>
            <w:pPr>
              <w:spacing w:after="0"/>
            </w:pPr>
            <w:r>
              <w:rPr>
                <w:sz w:val="19"/>
              </w:rPr>
            </w:r>
            <w:r>
              <w:rPr>
                <w:b/>
                <w:sz w:val="19"/>
              </w:rPr>
              <w:t>Códigos que no son producto</w:t>
            </w:r>
          </w:p>
        </w:tc>
        <w:tc>
          <w:tcPr>
            <w:tcW w:type="dxa" w:w="3249"/>
            <w:tcMar>
              <w:top w:w="60" w:type="dxa"/>
              <w:bottom w:w="60" w:type="dxa"/>
              <w:start w:w="110" w:type="dxa"/>
              <w:end w:w="110" w:type="dxa"/>
            </w:tcMar>
            <w:vAlign w:val="center"/>
          </w:tcPr>
          <w:p>
            <w:pPr>
              <w:spacing w:after="0"/>
            </w:pPr>
            <w:r>
              <w:rPr>
                <w:sz w:val="19"/>
              </w:rPr>
            </w:r>
            <w:r>
              <w:rPr>
                <w:rFonts w:ascii="Consolas" w:hAnsi="Consolas"/>
                <w:color w:val="9B1B30"/>
                <w:sz w:val="19"/>
              </w:rPr>
              <w:t>StockCode</w:t>
            </w:r>
            <w:r>
              <w:rPr>
                <w:sz w:val="19"/>
              </w:rPr>
              <w:t xml:space="preserve"> como </w:t>
            </w:r>
            <w:r>
              <w:rPr>
                <w:rFonts w:ascii="Consolas" w:hAnsi="Consolas"/>
                <w:color w:val="9B1B30"/>
                <w:sz w:val="19"/>
              </w:rPr>
              <w:t>POST</w:t>
            </w:r>
            <w:r>
              <w:rPr>
                <w:sz w:val="19"/>
              </w:rPr>
              <w:t xml:space="preserve">, </w:t>
            </w:r>
            <w:r>
              <w:rPr>
                <w:rFonts w:ascii="Consolas" w:hAnsi="Consolas"/>
                <w:color w:val="9B1B30"/>
                <w:sz w:val="19"/>
              </w:rPr>
              <w:t>DOT</w:t>
            </w:r>
            <w:r>
              <w:rPr>
                <w:sz w:val="19"/>
              </w:rPr>
              <w:t xml:space="preserve">, </w:t>
            </w:r>
            <w:r>
              <w:rPr>
                <w:rFonts w:ascii="Consolas" w:hAnsi="Consolas"/>
                <w:color w:val="9B1B30"/>
                <w:sz w:val="19"/>
              </w:rPr>
              <w:t>M</w:t>
            </w:r>
            <w:r>
              <w:rPr>
                <w:sz w:val="19"/>
              </w:rPr>
              <w:t xml:space="preserve">, </w:t>
            </w:r>
            <w:r>
              <w:rPr>
                <w:rFonts w:ascii="Consolas" w:hAnsi="Consolas"/>
                <w:color w:val="9B1B30"/>
                <w:sz w:val="19"/>
              </w:rPr>
              <w:t>BANK CHARGES</w:t>
            </w:r>
            <w:r>
              <w:rPr>
                <w:sz w:val="19"/>
              </w:rPr>
              <w:t xml:space="preserve">, </w:t>
            </w:r>
            <w:r>
              <w:rPr>
                <w:rFonts w:ascii="Consolas" w:hAnsi="Consolas"/>
                <w:color w:val="9B1B30"/>
                <w:sz w:val="19"/>
              </w:rPr>
              <w:t>AMAZONFEE</w:t>
            </w:r>
          </w:p>
        </w:tc>
        <w:tc>
          <w:tcPr>
            <w:tcW w:type="dxa" w:w="3249"/>
            <w:tcMar>
              <w:top w:w="60" w:type="dxa"/>
              <w:bottom w:w="60" w:type="dxa"/>
              <w:start w:w="110" w:type="dxa"/>
              <w:end w:w="110" w:type="dxa"/>
            </w:tcMar>
            <w:vAlign w:val="center"/>
          </w:tcPr>
          <w:p>
            <w:pPr>
              <w:spacing w:after="0"/>
            </w:pPr>
            <w:r>
              <w:rPr>
                <w:sz w:val="19"/>
              </w:rPr>
            </w:r>
            <w:r>
              <w:rPr>
                <w:sz w:val="19"/>
              </w:rPr>
              <w:t>Excluir: portes y ajustes no son ítems de canasta</w:t>
            </w:r>
          </w:p>
        </w:tc>
      </w:tr>
    </w:tbl>
    <w:p>
      <w:pPr>
        <w:spacing w:after="40"/>
      </w:pPr>
    </w:p>
    <w:p>
      <w:pPr>
        <w:spacing w:before="80" w:after="160" w:line="288" w:lineRule="auto"/>
        <w:ind w:left="85" w:right="85"/>
        <w:shd w:val="clear" w:color="auto" w:fill="F4F4F4"/>
        <w:pBdr>
          <w:left w:val="single" w:sz="24" w:space="10" w:color="E4002B"/>
        </w:pBdr>
      </w:pPr>
      <w:r>
        <w:rPr>
          <w:b/>
          <w:color w:val="2D2D2D"/>
        </w:rPr>
        <w:t>Por qué las devoluciones se excluyen (no se restan).</w:t>
      </w:r>
      <w:r>
        <w:rPr>
          <w:color w:val="2D2D2D"/>
        </w:rPr>
        <w:t xml:space="preserve"> El análisis de canasta modela </w:t>
      </w:r>
      <w:r>
        <w:rPr>
          <w:b/>
          <w:color w:val="2D2D2D"/>
        </w:rPr>
        <w:t>qué se compra junto</w:t>
      </w:r>
      <w:r>
        <w:rPr>
          <w:color w:val="2D2D2D"/>
        </w:rPr>
        <w:t xml:space="preserve">; una devolución no es una canasta de compra. Mezclarla (o intentar "netear" cantidades) contamina el soporte. Si el negocio quisiera estudiar devoluciones, sería un análisis </w:t>
      </w:r>
      <w:r>
        <w:rPr>
          <w:b/>
          <w:color w:val="2D2D2D"/>
        </w:rPr>
        <w:t>aparte</w:t>
      </w:r>
      <w:r>
        <w:rPr>
          <w:color w:val="2D2D2D"/>
        </w:rPr>
        <w:t>, con su propia matriz. Documentar la decisión y cuántas líneas se descartaron por cada motivo.</w:t>
      </w:r>
    </w:p>
    <w:p>
      <w:pPr>
        <w:spacing w:before="40" w:after="40"/>
        <w:pBdr>
          <w:bottom w:val="single" w:sz="6" w:space="1" w:color="D9D9D9"/>
        </w:pBdr>
      </w:pPr>
    </w:p>
    <w:p>
      <w:pPr>
        <w:keepNext/>
        <w:spacing w:before="240" w:after="60"/>
        <w:pBdr>
          <w:bottom w:val="single" w:sz="6" w:space="2" w:color="E4002B"/>
        </w:pBdr>
      </w:pPr>
      <w:r>
        <w:rPr>
          <w:b/>
          <w:color w:val="E4002B"/>
          <w:sz w:val="30"/>
        </w:rPr>
        <w:t>Nota de memoria: `bool`, no `int`; denso vs. disperso</w:t>
      </w:r>
    </w:p>
    <w:p>
      <w:pPr>
        <w:jc w:val="both"/>
      </w:pPr>
      <w:r>
        <w:t xml:space="preserve">La matriz one-hot crece como </w:t>
      </w:r>
      <w:r>
        <w:rPr>
          <w:rFonts w:ascii="Consolas" w:hAnsi="Consolas"/>
          <w:color w:val="9B1B30"/>
          <w:sz w:val="19"/>
        </w:rPr>
        <w:t>nº de tickets × nº de ítems</w:t>
      </w:r>
      <w:r>
        <w:t xml:space="preserve"> y es </w:t>
      </w:r>
      <w:r>
        <w:rPr>
          <w:b/>
        </w:rPr>
        <w:t>casi toda `False`</w:t>
      </w:r>
      <w:r>
        <w:t>:</w:t>
      </w:r>
    </w:p>
    <w:p>
      <w:pPr>
        <w:pStyle w:val="ListBullet"/>
        <w:spacing w:after="40"/>
      </w:pPr>
      <w:r>
        <w:rPr>
          <w:b/>
        </w:rPr>
        <w:t>Mantener `dtype = bool`, nunca `int`.</w:t>
      </w:r>
      <w:r>
        <w:t xml:space="preserve"> </w:t>
      </w:r>
      <w:r>
        <w:rPr>
          <w:rFonts w:ascii="Consolas" w:hAnsi="Consolas"/>
          <w:color w:val="9B1B30"/>
          <w:sz w:val="19"/>
        </w:rPr>
        <w:t>TransactionEncoder</w:t>
      </w:r>
      <w:r>
        <w:t xml:space="preserve"> ya devuelve booleanos; conservarlos. Un booleano ocupa </w:t>
      </w:r>
      <w:r>
        <w:rPr>
          <w:b/>
        </w:rPr>
        <w:t>8×</w:t>
      </w:r>
      <w:r>
        <w:t xml:space="preserve"> menos que un </w:t>
      </w:r>
      <w:r>
        <w:rPr>
          <w:rFonts w:ascii="Consolas" w:hAnsi="Consolas"/>
          <w:color w:val="9B1B30"/>
          <w:sz w:val="19"/>
        </w:rPr>
        <w:t>int64</w:t>
      </w:r>
      <w:r>
        <w:t xml:space="preserve"> y, además, valores enteros &gt; 1 </w:t>
      </w:r>
      <w:r>
        <w:rPr>
          <w:b/>
        </w:rPr>
        <w:t>rompen</w:t>
      </w:r>
      <w:r>
        <w:t xml:space="preserve"> el conteo de soporte de mlxtend (que asume presencia/ausencia).</w:t>
      </w:r>
    </w:p>
    <w:p>
      <w:pPr>
        <w:pStyle w:val="ListBullet"/>
        <w:spacing w:after="40"/>
      </w:pPr>
      <w:r>
        <w:rPr>
          <w:b/>
        </w:rPr>
        <w:t>Coste en denso.</w:t>
      </w:r>
      <w:r>
        <w:t xml:space="preserve"> El benchmark de la réplica </w:t>
      </w:r>
      <w:r>
        <w:rPr>
          <w:b/>
        </w:rPr>
        <w:t>T10I4D100K</w:t>
      </w:r>
      <w:r>
        <w:t xml:space="preserve"> genera una matriz </w:t>
      </w:r>
      <w:r>
        <w:rPr>
          <w:rFonts w:ascii="Consolas" w:hAnsi="Consolas"/>
          <w:color w:val="9B1B30"/>
          <w:sz w:val="19"/>
        </w:rPr>
        <w:t>100 000 × 870</w:t>
      </w:r>
      <w:r>
        <w:t xml:space="preserve"> booleana ≈ </w:t>
      </w:r>
      <w:r>
        <w:rPr>
          <w:b/>
        </w:rPr>
        <w:t>87 MB</w:t>
      </w:r>
      <w:r>
        <w:t xml:space="preserve"> en denso — manejable en el venv, pero conviene vigilarla en Colab.</w:t>
      </w:r>
    </w:p>
    <w:p>
      <w:pPr>
        <w:pStyle w:val="ListBullet"/>
        <w:spacing w:after="40"/>
      </w:pPr>
      <w:r>
        <w:rPr>
          <w:b/>
        </w:rPr>
        <w:t>Opción dispersa (`sparse`).</w:t>
      </w:r>
      <w:r>
        <w:t xml:space="preserve"> Si la memoria aprieta (catálogo grande, muchos tickets), </w:t>
      </w:r>
      <w:r>
        <w:rPr>
          <w:rFonts w:ascii="Consolas" w:hAnsi="Consolas"/>
          <w:color w:val="9B1B30"/>
          <w:sz w:val="19"/>
        </w:rPr>
        <w:t>TransactionEncoder</w:t>
      </w:r>
      <w:r>
        <w:t xml:space="preserve"> admite salida dispersa; se envuelve con el acumulador disperso de pandas y </w:t>
      </w:r>
      <w:r>
        <w:rPr>
          <w:rFonts w:ascii="Consolas" w:hAnsi="Consolas"/>
          <w:color w:val="9B1B30"/>
          <w:sz w:val="19"/>
        </w:rPr>
        <w:t>apriori</w:t>
      </w:r>
      <w:r>
        <w:t xml:space="preserve"> puede ejecutarse con </w:t>
      </w:r>
      <w:r>
        <w:rPr>
          <w:rFonts w:ascii="Consolas" w:hAnsi="Consolas"/>
          <w:color w:val="9B1B30"/>
          <w:sz w:val="19"/>
        </w:rPr>
        <w:t>low_memory=True</w:t>
      </w:r>
      <w:r>
        <w:t>:</w:t>
      </w:r>
    </w:p>
    <w:p>
      <w:pPr>
        <w:spacing w:before="80" w:after="120"/>
        <w:ind w:left="170"/>
        <w:shd w:val="clear" w:color="auto" w:fill="F4F4F4"/>
        <w:pBdr>
          <w:left w:val="single" w:sz="12" w:space="6" w:color="6E6E6E"/>
        </w:pBdr>
      </w:pPr>
      <w:r>
        <w:rPr>
          <w:rFonts w:ascii="Consolas" w:hAnsi="Consolas"/>
          <w:color w:val="2D2D2D"/>
          <w:sz w:val="18"/>
        </w:rPr>
        <w:t>onehot_sp = te.fit(transacciones).transform(transacciones, sparse=True) # scipy sparse</w:t>
        <w:br/>
        <w:t>df_sp = pd.DataFrame.sparse.from_spmatrix(onehot_sp, columns=te.columns_)</w:t>
        <w:br/>
        <w:t># apriori(df_sp, min_support=..., use_colnames=True, low_memory=True)</w:t>
      </w:r>
    </w:p>
    <w:p>
      <w:pPr>
        <w:spacing w:before="80" w:after="160" w:line="288" w:lineRule="auto"/>
        <w:ind w:left="85" w:right="85"/>
        <w:shd w:val="clear" w:color="auto" w:fill="F4F4F4"/>
        <w:pBdr>
          <w:left w:val="single" w:sz="24" w:space="10" w:color="E4002B"/>
        </w:pBdr>
      </w:pPr>
      <w:r>
        <w:rPr>
          <w:b/>
          <w:color w:val="2D2D2D"/>
        </w:rPr>
        <w:t>Anticipa S14.</w:t>
      </w:r>
      <w:r>
        <w:rPr>
          <w:color w:val="2D2D2D"/>
        </w:rPr>
        <w:t xml:space="preserve"> Esta representación </w:t>
      </w:r>
      <w:r>
        <w:rPr>
          <w:b/>
          <w:color w:val="2D2D2D"/>
        </w:rPr>
        <w:t>dispersa</w:t>
      </w:r>
      <w:r>
        <w:rPr>
          <w:color w:val="2D2D2D"/>
        </w:rPr>
        <w:t xml:space="preserve"> de datos transaccionales es exactamente la que reaparece en el manejo de datos dispersos de la </w:t>
      </w:r>
      <w:r>
        <w:rPr>
          <w:b/>
          <w:color w:val="2D2D2D"/>
        </w:rPr>
        <w:t>recomendación (S14)</w:t>
      </w:r>
      <w:r>
        <w:rPr>
          <w:color w:val="2D2D2D"/>
        </w:rPr>
        <w:t>: aprender a construirla y a razonar sobre su tamaño aquí paga después.</w:t>
      </w:r>
    </w:p>
    <w:p>
      <w:pPr>
        <w:spacing w:before="40" w:after="40"/>
        <w:pBdr>
          <w:bottom w:val="single" w:sz="6" w:space="1" w:color="D9D9D9"/>
        </w:pBdr>
      </w:pPr>
    </w:p>
    <w:p>
      <w:pPr>
        <w:keepNext/>
        <w:spacing w:before="240" w:after="60"/>
        <w:pBdr>
          <w:bottom w:val="single" w:sz="6" w:space="2" w:color="E4002B"/>
        </w:pBdr>
      </w:pPr>
      <w:r>
        <w:rPr>
          <w:b/>
          <w:color w:val="E4002B"/>
          <w:sz w:val="30"/>
        </w:rPr>
        <w:t>Supuestos y decisiones (preparación transaccional)</w:t>
      </w:r>
    </w:p>
    <w:p>
      <w:pPr>
        <w:jc w:val="both"/>
      </w:pPr>
      <w:r>
        <w:t xml:space="preserve">La minería de reglas es </w:t>
      </w:r>
      <w:r>
        <w:rPr>
          <w:b/>
        </w:rPr>
        <w:t>no supervisada</w:t>
      </w:r>
      <w:r>
        <w:t xml:space="preserve"> (no modela una </w:t>
      </w:r>
      <w:r>
        <w:rPr>
          <w:rFonts w:ascii="Consolas" w:hAnsi="Consolas"/>
          <w:color w:val="9B1B30"/>
          <w:sz w:val="19"/>
        </w:rPr>
        <w:t>Y</w:t>
      </w:r>
      <w:r>
        <w:t xml:space="preserve"> con término de error, igual que el clustering de S07): no tiene supuestos distribucionales (nada de normalidad de residuos ni homocedasticidad), pero sí una </w:t>
      </w:r>
      <w:r>
        <w:rPr>
          <w:b/>
        </w:rPr>
        <w:t>decisión de representación</w:t>
      </w:r>
      <w:r>
        <w:t xml:space="preserve"> que condiciona todo el resultado —la matriz one-hot binaria por ticket— y un </w:t>
      </w:r>
      <w:r>
        <w:rPr>
          <w:b/>
        </w:rPr>
        <w:t>umbral</w:t>
      </w:r>
      <w:r>
        <w:t xml:space="preserve"> aguas abajo (el soporte mínimo). El </w:t>
      </w:r>
      <w:r>
        <w:rPr>
          <w:b/>
        </w:rPr>
        <w:t>soporte</w:t>
      </w:r>
      <w:r>
        <w:t xml:space="preserve"> de un itemset X es el conteo de tickets que lo contienen sobre el total,</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082338" cy="382385"/>
                  <wp:docPr id="1" name="Picture 1"/>
                  <wp:cNvGraphicFramePr>
                    <a:graphicFrameLocks noChangeAspect="1"/>
                  </wp:cNvGraphicFramePr>
                  <a:graphic>
                    <a:graphicData uri="http://schemas.openxmlformats.org/drawingml/2006/picture">
                      <pic:pic>
                        <pic:nvPicPr>
                          <pic:cNvPr id="0" name="eq_993112101601.png"/>
                          <pic:cNvPicPr/>
                        </pic:nvPicPr>
                        <pic:blipFill>
                          <a:blip r:embed="rId9"/>
                          <a:stretch>
                            <a:fillRect/>
                          </a:stretch>
                        </pic:blipFill>
                        <pic:spPr>
                          <a:xfrm>
                            <a:off x="0" y="0"/>
                            <a:ext cx="2082338" cy="382385"/>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(1)</w:t>
            </w:r>
          </w:p>
        </w:tc>
      </w:tr>
    </w:tbl>
    <w:p>
      <w:pPr>
        <w:spacing w:after="40"/>
      </w:pPr>
    </w:p>
    <w:p>
      <w:pPr>
        <w:jc w:val="both"/>
      </w:pPr>
      <w:r>
        <w:t xml:space="preserve">que sobre esta matriz equivale a la </w:t>
      </w:r>
      <w:r>
        <w:rPr>
          <w:b/>
        </w:rPr>
        <w:t>media de la columna booleana</w:t>
      </w:r>
      <w:r>
        <w:t>; por eso agrupar por cliente en vez de por ticket infla el numerador de (1). El desarrollo completo —qué es cada punto, cómo se identifica con su umbral y cómo se decide— es la guía de supuestos de la sesión.</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1949"/>
        <w:gridCol w:w="1949"/>
        <w:gridCol w:w="1949"/>
        <w:gridCol w:w="1949"/>
        <w:gridCol w:w="1949"/>
      </w:tblGrid>
      <w:tr>
        <w:tc>
          <w:tcPr>
            <w:tcW w:type="dxa" w:w="1949"/>
            <w:tcMar>
              <w:top w:w="60" w:type="dxa"/>
              <w:bottom w:w="60" w:type="dxa"/>
              <w:start w:w="110" w:type="dxa"/>
              <w:end w:w="110" w:type="dxa"/>
            </w:tcMar>
            <w:vAlign w:val="center"/>
            <w:shd w:val="clear" w:color="auto" w:fill="E4002B"/>
          </w:tcPr>
          <w:p>
            <w:pPr>
              <w:spacing w:after="0"/>
            </w:pPr>
            <w:r/>
            <w:r>
              <w:rPr>
                <w:b/>
                <w:color w:val="FFFFFF"/>
                <w:sz w:val="19"/>
              </w:rPr>
              <w:t>Punto</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Cómo se identifica (umbral/señal)</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Cómo se decide / corrige</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Cifra ancla</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Fuente (SUPUESTOS_S08.md)</w:t>
            </w:r>
          </w:p>
        </w:tc>
      </w:tr>
      <w:tr>
        <w:tc>
          <w:tcPr>
            <w:tcW w:type="dxa" w:w="1949"/>
            <w:tcMar>
              <w:top w:w="60" w:type="dxa"/>
              <w:bottom w:w="60" w:type="dxa"/>
              <w:start w:w="110" w:type="dxa"/>
              <w:end w:w="110" w:type="dxa"/>
            </w:tcMar>
            <w:vAlign w:val="center"/>
          </w:tcPr>
          <w:p>
            <w:pPr>
              <w:spacing w:after="0"/>
            </w:pPr>
            <w:r>
              <w:rPr>
                <w:sz w:val="19"/>
              </w:rPr>
            </w:r>
            <w:r>
              <w:rPr>
                <w:b/>
                <w:sz w:val="19"/>
              </w:rPr>
              <w:t>One-hot por ticket, binario</w:t>
            </w:r>
            <w:r>
              <w:rPr>
                <w:sz w:val="19"/>
              </w:rPr>
              <w:t xml:space="preserve"> — la decisión de representación de S08</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dtype</w:t>
            </w:r>
            <w:r>
              <w:rPr>
                <w:sz w:val="19"/>
              </w:rPr>
              <w:t xml:space="preserve"> no </w:t>
            </w:r>
            <w:r>
              <w:rPr>
                <w:rFonts w:ascii="Consolas" w:hAnsi="Consolas"/>
                <w:color w:val="9B1B30"/>
                <w:sz w:val="19"/>
              </w:rPr>
              <w:t>bool</w:t>
            </w:r>
            <w:r>
              <w:rPr>
                <w:sz w:val="19"/>
              </w:rPr>
              <w:t xml:space="preserve"> o celdas &gt; 1; filas = clientes (no tickets); ítem duplicado en el ticket</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TransactionEncoder</w:t>
            </w:r>
            <w:r>
              <w:rPr>
                <w:sz w:val="19"/>
              </w:rPr>
              <w:t xml:space="preserve">; una fila = una transacción; presencia/ausencia; de-duplicar; mantener </w:t>
            </w:r>
            <w:r>
              <w:rPr>
                <w:rFonts w:ascii="Consolas" w:hAnsi="Consolas"/>
                <w:color w:val="9B1B30"/>
                <w:sz w:val="19"/>
              </w:rPr>
              <w:t>bool</w:t>
            </w:r>
            <w:r>
              <w:rPr>
                <w:sz w:val="19"/>
              </w:rPr>
              <w:t xml:space="preserve"> (no </w:t>
            </w:r>
            <w:r>
              <w:rPr>
                <w:rFonts w:ascii="Consolas" w:hAnsi="Consolas"/>
                <w:color w:val="9B1B30"/>
                <w:sz w:val="19"/>
              </w:rPr>
              <w:t>int</w:t>
            </w:r>
            <w:r>
              <w:rPr>
                <w:sz w:val="19"/>
              </w:rPr>
              <w:t>)</w:t>
            </w:r>
          </w:p>
        </w:tc>
        <w:tc>
          <w:tcPr>
            <w:tcW w:type="dxa" w:w="1949"/>
            <w:tcMar>
              <w:top w:w="60" w:type="dxa"/>
              <w:bottom w:w="60" w:type="dxa"/>
              <w:start w:w="110" w:type="dxa"/>
              <w:end w:w="110" w:type="dxa"/>
            </w:tcMar>
            <w:vAlign w:val="center"/>
          </w:tcPr>
          <w:p>
            <w:pPr>
              <w:spacing w:after="0"/>
            </w:pPr>
            <w:r>
              <w:rPr>
                <w:sz w:val="19"/>
              </w:rPr>
            </w:r>
            <w:r>
              <w:rPr>
                <w:sz w:val="19"/>
              </w:rPr>
              <w:t>T10I4D100K: 100 000 × 870 bool ≈ 87 MB</w:t>
            </w:r>
          </w:p>
        </w:tc>
        <w:tc>
          <w:tcPr>
            <w:tcW w:type="dxa" w:w="1949"/>
            <w:tcMar>
              <w:top w:w="60" w:type="dxa"/>
              <w:bottom w:w="60" w:type="dxa"/>
              <w:start w:w="110" w:type="dxa"/>
              <w:end w:w="110" w:type="dxa"/>
            </w:tcMar>
            <w:vAlign w:val="center"/>
          </w:tcPr>
          <w:p>
            <w:pPr>
              <w:spacing w:after="0"/>
            </w:pPr>
            <w:r>
              <w:rPr>
                <w:sz w:val="19"/>
              </w:rPr>
            </w:r>
            <w:r>
              <w:rPr>
                <w:sz w:val="19"/>
              </w:rPr>
              <w:t>Parte 1.1</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Soporte mínimo `minsup`</w:t>
            </w:r>
            <w:r>
              <w:rPr>
                <w:sz w:val="19"/>
              </w:rPr>
              <w:t xml:space="preserve"> (aguas abajo)</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El nº de itemsets </w:t>
            </w:r>
            <w:r>
              <w:rPr>
                <w:b/>
                <w:sz w:val="19"/>
              </w:rPr>
              <w:t>se multiplica</w:t>
            </w:r>
            <w:r>
              <w:rPr>
                <w:sz w:val="19"/>
              </w:rPr>
              <w:t xml:space="preserve"> al bajar el umbral</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Calibrar por volumen/tiempo, no de forma arbitraria; </w:t>
            </w:r>
            <w:r>
              <w:rPr>
                <w:rFonts w:ascii="Consolas" w:hAnsi="Consolas"/>
                <w:color w:val="9B1B30"/>
                <w:sz w:val="19"/>
              </w:rPr>
              <w:t>min_support</w:t>
            </w:r>
            <w:r>
              <w:rPr>
                <w:sz w:val="19"/>
              </w:rPr>
              <w:t xml:space="preserve"> es </w:t>
            </w:r>
            <w:r>
              <w:rPr>
                <w:b/>
                <w:sz w:val="19"/>
              </w:rPr>
              <w:t>fracción</w:t>
            </w:r>
            <w:r>
              <w:rPr>
                <w:sz w:val="19"/>
              </w:rPr>
              <w:t>, no conteo (</w:t>
            </w:r>
            <w:r>
              <w:rPr>
                <w:rFonts w:ascii="Consolas" w:hAnsi="Consolas"/>
                <w:color w:val="9B1B30"/>
                <w:sz w:val="19"/>
              </w:rPr>
              <w:t>s/len(df)</w:t>
            </w:r>
            <w:r>
              <w:rPr>
                <w:sz w:val="19"/>
              </w:rPr>
              <w:t>)</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155/237/385 itemsets a minsup 0,02/0,015/0,01</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Parte 2.1</w:t>
            </w:r>
          </w:p>
        </w:tc>
      </w:tr>
      <w:tr>
        <w:tc>
          <w:tcPr>
            <w:tcW w:type="dxa" w:w="1949"/>
            <w:tcMar>
              <w:top w:w="60" w:type="dxa"/>
              <w:bottom w:w="60" w:type="dxa"/>
              <w:start w:w="110" w:type="dxa"/>
              <w:end w:w="110" w:type="dxa"/>
            </w:tcMar>
            <w:vAlign w:val="center"/>
          </w:tcPr>
          <w:p>
            <w:pPr>
              <w:spacing w:after="0"/>
            </w:pPr>
            <w:r>
              <w:rPr>
                <w:sz w:val="19"/>
              </w:rPr>
            </w:r>
            <w:r>
              <w:rPr>
                <w:b/>
                <w:sz w:val="19"/>
              </w:rPr>
              <w:t>Apriori == FP-Growth exige el one-hot correcto</w:t>
            </w:r>
          </w:p>
        </w:tc>
        <w:tc>
          <w:tcPr>
            <w:tcW w:type="dxa" w:w="1949"/>
            <w:tcMar>
              <w:top w:w="60" w:type="dxa"/>
              <w:bottom w:w="60" w:type="dxa"/>
              <w:start w:w="110" w:type="dxa"/>
              <w:end w:w="110" w:type="dxa"/>
            </w:tcMar>
            <w:vAlign w:val="center"/>
          </w:tcPr>
          <w:p>
            <w:pPr>
              <w:spacing w:after="0"/>
            </w:pPr>
            <w:r>
              <w:rPr>
                <w:sz w:val="19"/>
              </w:rPr>
            </w:r>
            <w:r>
              <w:rPr>
                <w:sz w:val="19"/>
              </w:rPr>
              <w:t xml:space="preserve">Si Apriori y FP-Growth </w:t>
            </w:r>
            <w:r>
              <w:rPr>
                <w:b/>
                <w:sz w:val="19"/>
              </w:rPr>
              <w:t>difieren</w:t>
            </w:r>
            <w:r>
              <w:rPr>
                <w:sz w:val="19"/>
              </w:rPr>
              <w:t xml:space="preserve">, es un </w:t>
            </w:r>
            <w:r>
              <w:rPr>
                <w:b/>
                <w:sz w:val="19"/>
              </w:rPr>
              <w:t>error de preparación</w:t>
            </w:r>
            <w:r>
              <w:rPr>
                <w:sz w:val="19"/>
              </w:rPr>
              <w:t>, no un hallazgo</w:t>
            </w:r>
          </w:p>
        </w:tc>
        <w:tc>
          <w:tcPr>
            <w:tcW w:type="dxa" w:w="1949"/>
            <w:tcMar>
              <w:top w:w="60" w:type="dxa"/>
              <w:bottom w:w="60" w:type="dxa"/>
              <w:start w:w="110" w:type="dxa"/>
              <w:end w:w="110" w:type="dxa"/>
            </w:tcMar>
            <w:vAlign w:val="center"/>
          </w:tcPr>
          <w:p>
            <w:pPr>
              <w:spacing w:after="0"/>
            </w:pPr>
            <w:r>
              <w:rPr>
                <w:sz w:val="19"/>
              </w:rPr>
            </w:r>
            <w:r>
              <w:rPr>
                <w:sz w:val="19"/>
              </w:rPr>
              <w:t>Verificar la identidad (diferencia 0) como verificación de correctitud tras armar la matriz</w:t>
            </w:r>
          </w:p>
        </w:tc>
        <w:tc>
          <w:tcPr>
            <w:tcW w:type="dxa" w:w="1949"/>
            <w:tcMar>
              <w:top w:w="60" w:type="dxa"/>
              <w:bottom w:w="60" w:type="dxa"/>
              <w:start w:w="110" w:type="dxa"/>
              <w:end w:w="110" w:type="dxa"/>
            </w:tcMar>
            <w:vAlign w:val="center"/>
          </w:tcPr>
          <w:p>
            <w:pPr>
              <w:spacing w:after="0"/>
            </w:pPr>
            <w:r>
              <w:rPr>
                <w:sz w:val="19"/>
              </w:rPr>
            </w:r>
            <w:r>
              <w:rPr>
                <w:sz w:val="19"/>
              </w:rPr>
              <w:t>385 == 385, diff 0 (tolerancia 0)</w:t>
            </w:r>
          </w:p>
        </w:tc>
        <w:tc>
          <w:tcPr>
            <w:tcW w:type="dxa" w:w="1949"/>
            <w:tcMar>
              <w:top w:w="60" w:type="dxa"/>
              <w:bottom w:w="60" w:type="dxa"/>
              <w:start w:w="110" w:type="dxa"/>
              <w:end w:w="110" w:type="dxa"/>
            </w:tcMar>
            <w:vAlign w:val="center"/>
          </w:tcPr>
          <w:p>
            <w:pPr>
              <w:spacing w:after="0"/>
            </w:pPr>
            <w:r>
              <w:rPr>
                <w:sz w:val="19"/>
              </w:rPr>
            </w:r>
            <w:r>
              <w:rPr>
                <w:sz w:val="19"/>
              </w:rPr>
              <w:t>Parte 5.2</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Dispersión</w:t>
            </w:r>
            <w:r>
              <w:rPr>
                <w:sz w:val="19"/>
              </w:rPr>
              <w:t xml:space="preserve"> (puente a S14)</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Matriz casi toda </w:t>
            </w:r>
            <w:r>
              <w:rPr>
                <w:rFonts w:ascii="Consolas" w:hAnsi="Consolas"/>
                <w:color w:val="9B1B30"/>
                <w:sz w:val="19"/>
              </w:rPr>
              <w:t>False</w:t>
            </w:r>
            <w:r>
              <w:rPr>
                <w:sz w:val="19"/>
              </w:rPr>
              <w:t>; la memoria crece como tickets × ítems</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Mantener </w:t>
            </w:r>
            <w:r>
              <w:rPr>
                <w:rFonts w:ascii="Consolas" w:hAnsi="Consolas"/>
                <w:color w:val="9B1B30"/>
                <w:sz w:val="19"/>
              </w:rPr>
              <w:t>bool</w:t>
            </w:r>
            <w:r>
              <w:rPr>
                <w:sz w:val="19"/>
              </w:rPr>
              <w:t xml:space="preserve">; salida </w:t>
            </w:r>
            <w:r>
              <w:rPr>
                <w:rFonts w:ascii="Consolas" w:hAnsi="Consolas"/>
                <w:color w:val="9B1B30"/>
                <w:sz w:val="19"/>
              </w:rPr>
              <w:t>sparse</w:t>
            </w:r>
            <w:r>
              <w:rPr>
                <w:sz w:val="19"/>
              </w:rPr>
              <w:t xml:space="preserve"> si aprieta; anticipa el manejo de datos dispersos de la recomendación</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mayoría de celdas </w:t>
            </w:r>
            <w:r>
              <w:rPr>
                <w:rFonts w:ascii="Consolas" w:hAnsi="Consolas"/>
                <w:color w:val="9B1B30"/>
                <w:sz w:val="19"/>
              </w:rPr>
              <w:t>False</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Parte 1.1 — Frontera S14</w:t>
            </w:r>
          </w:p>
        </w:tc>
      </w:tr>
    </w:tbl>
    <w:p>
      <w:pPr>
        <w:spacing w:after="40"/>
      </w:pPr>
    </w:p>
    <w:p>
      <w:pPr>
        <w:spacing w:before="80" w:after="160" w:line="288" w:lineRule="auto"/>
        <w:ind w:left="85" w:right="85"/>
        <w:shd w:val="clear" w:color="auto" w:fill="F4F4F4"/>
        <w:pBdr>
          <w:left w:val="single" w:sz="24" w:space="10" w:color="E4002B"/>
        </w:pBdr>
      </w:pPr>
      <w:r>
        <w:rPr>
          <w:b/>
          <w:color w:val="2D2D2D"/>
        </w:rPr>
        <w:t>La decisión central (one-hot por ticket, binario).</w:t>
      </w:r>
      <w:r>
        <w:rPr>
          <w:color w:val="2D2D2D"/>
        </w:rPr>
        <w:t xml:space="preserve"> Toda la cadena soporte→confianza→lift se define sobre </w:t>
      </w:r>
      <w:r>
        <w:rPr>
          <w:b/>
          <w:color w:val="2D2D2D"/>
        </w:rPr>
        <w:t>conteos de transacciones que contienen un itemset</w:t>
      </w:r>
      <w:r>
        <w:rPr>
          <w:color w:val="2D2D2D"/>
        </w:rPr>
        <w:t xml:space="preserve"> (1), no sobre cantidades: una fila = una transacción, booleanos de presencia/ausencia, y se de-duplica dentro del ticket. Si la matriz se arma mal, todos los números posteriores carecen de validez aunque el algoritmo se ejecute sin error. Es la primera pregunta al auditar cualquier análisis de canasta. Desarrollo completo en la guía de supuestos de la sesión, Parte 1.1.</w:t>
      </w:r>
    </w:p>
    <w:p>
      <w:pPr>
        <w:spacing w:before="40" w:after="40"/>
        <w:pBdr>
          <w:bottom w:val="single" w:sz="6" w:space="1" w:color="D9D9D9"/>
        </w:pBdr>
      </w:pPr>
    </w:p>
    <w:p>
      <w:pPr>
        <w:keepNext/>
        <w:spacing w:before="240" w:after="60"/>
        <w:pBdr>
          <w:bottom w:val="single" w:sz="6" w:space="2" w:color="E4002B"/>
        </w:pBdr>
      </w:pPr>
      <w:r>
        <w:rPr>
          <w:b/>
          <w:color w:val="E4002B"/>
          <w:sz w:val="30"/>
        </w:rPr>
        <w:t>Errores frecuentes (control final)</w:t>
      </w:r>
    </w:p>
    <w:p>
      <w:pPr>
        <w:pStyle w:val="ListBullet"/>
        <w:spacing w:after="40"/>
      </w:pPr>
      <w:r>
        <w:t xml:space="preserve">[ ] Se agrupó </w:t>
      </w:r>
      <w:r>
        <w:rPr>
          <w:b/>
        </w:rPr>
        <w:t>por ticket</w:t>
      </w:r>
      <w:r>
        <w:t xml:space="preserve"> (</w:t>
      </w:r>
      <w:r>
        <w:rPr>
          <w:rFonts w:ascii="Consolas" w:hAnsi="Consolas"/>
          <w:color w:val="9B1B30"/>
          <w:sz w:val="19"/>
        </w:rPr>
        <w:t>Invoice</w:t>
      </w:r>
      <w:r>
        <w:t xml:space="preserve">), </w:t>
      </w:r>
      <w:r>
        <w:rPr>
          <w:b/>
        </w:rPr>
        <w:t>no por cliente</w:t>
      </w:r>
      <w:r>
        <w:t xml:space="preserve">: una fila = una transacción (agrupar por cliente </w:t>
      </w:r>
      <w:r>
        <w:rPr>
          <w:b/>
        </w:rPr>
        <w:t>infla el soporte</w:t>
      </w:r>
      <w:r>
        <w:t>).</w:t>
      </w:r>
    </w:p>
    <w:p>
      <w:pPr>
        <w:pStyle w:val="ListBullet"/>
        <w:spacing w:after="40"/>
      </w:pPr>
      <w:r>
        <w:t xml:space="preserve">[ ] La matriz es de </w:t>
      </w:r>
      <w:r>
        <w:rPr>
          <w:b/>
        </w:rPr>
        <w:t>presencia/ausencia</w:t>
      </w:r>
      <w:r>
        <w:t xml:space="preserve"> (</w:t>
      </w:r>
      <w:r>
        <w:rPr>
          <w:rFonts w:ascii="Consolas" w:hAnsi="Consolas"/>
          <w:color w:val="9B1B30"/>
          <w:sz w:val="19"/>
        </w:rPr>
        <w:t>bool</w:t>
      </w:r>
      <w:r>
        <w:t xml:space="preserve">), </w:t>
      </w:r>
      <w:r>
        <w:rPr>
          <w:b/>
        </w:rPr>
        <w:t>no de cantidades</w:t>
      </w:r>
      <w:r>
        <w:t xml:space="preserve">: se usó </w:t>
      </w:r>
      <w:r>
        <w:rPr>
          <w:rFonts w:ascii="Consolas" w:hAnsi="Consolas"/>
          <w:color w:val="9B1B30"/>
          <w:sz w:val="19"/>
        </w:rPr>
        <w:t>set</w:t>
      </w:r>
      <w:r>
        <w:t>/</w:t>
      </w:r>
      <w:r>
        <w:rPr>
          <w:rFonts w:ascii="Consolas" w:hAnsi="Consolas"/>
          <w:color w:val="9B1B30"/>
          <w:sz w:val="19"/>
        </w:rPr>
        <w:t>TransactionEncoder</w:t>
      </w:r>
      <w:r>
        <w:t xml:space="preserve">, no sumas de </w:t>
      </w:r>
      <w:r>
        <w:rPr>
          <w:rFonts w:ascii="Consolas" w:hAnsi="Consolas"/>
          <w:color w:val="9B1B30"/>
          <w:sz w:val="19"/>
        </w:rPr>
        <w:t>Quantity</w:t>
      </w:r>
      <w:r>
        <w:t>.</w:t>
      </w:r>
    </w:p>
    <w:p>
      <w:pPr>
        <w:pStyle w:val="ListBullet"/>
        <w:spacing w:after="40"/>
      </w:pPr>
      <w:r>
        <w:t xml:space="preserve">[ ] Se </w:t>
      </w:r>
      <w:r>
        <w:rPr>
          <w:b/>
        </w:rPr>
        <w:t>de-duplicó</w:t>
      </w:r>
      <w:r>
        <w:t xml:space="preserve"> el mismo ítem repetido dentro del ticket (una sola vez → </w:t>
      </w:r>
      <w:r>
        <w:rPr>
          <w:rFonts w:ascii="Consolas" w:hAnsi="Consolas"/>
          <w:color w:val="9B1B30"/>
          <w:sz w:val="19"/>
        </w:rPr>
        <w:t>True</w:t>
      </w:r>
      <w:r>
        <w:t>).</w:t>
      </w:r>
    </w:p>
    <w:p>
      <w:pPr>
        <w:pStyle w:val="ListBullet"/>
        <w:spacing w:after="40"/>
      </w:pPr>
      <w:r>
        <w:t xml:space="preserve">[ ] Se </w:t>
      </w:r>
      <w:r>
        <w:rPr>
          <w:b/>
        </w:rPr>
        <w:t>excluyeron</w:t>
      </w:r>
      <w:r>
        <w:t xml:space="preserve"> cancelaciones/devoluciones (</w:t>
      </w:r>
      <w:r>
        <w:rPr>
          <w:rFonts w:ascii="Consolas" w:hAnsi="Consolas"/>
          <w:color w:val="9B1B30"/>
          <w:sz w:val="19"/>
        </w:rPr>
        <w:t>Invoice</w:t>
      </w:r>
      <w:r>
        <w:t xml:space="preserve"> con </w:t>
      </w:r>
      <w:r>
        <w:rPr>
          <w:rFonts w:ascii="Consolas" w:hAnsi="Consolas"/>
          <w:color w:val="9B1B30"/>
          <w:sz w:val="19"/>
        </w:rPr>
        <w:t>C</w:t>
      </w:r>
      <w:r>
        <w:t xml:space="preserve">, </w:t>
      </w:r>
      <w:r>
        <w:rPr>
          <w:rFonts w:ascii="Consolas" w:hAnsi="Consolas"/>
          <w:color w:val="9B1B30"/>
          <w:sz w:val="19"/>
        </w:rPr>
        <w:t>Quantity &lt; 0</w:t>
      </w:r>
      <w:r>
        <w:t xml:space="preserve">) y </w:t>
      </w:r>
      <w:r>
        <w:rPr>
          <w:rFonts w:ascii="Consolas" w:hAnsi="Consolas"/>
          <w:color w:val="9B1B30"/>
          <w:sz w:val="19"/>
        </w:rPr>
        <w:t>Quantity</w:t>
      </w:r>
      <w:r>
        <w:t>/</w:t>
      </w:r>
      <w:r>
        <w:rPr>
          <w:rFonts w:ascii="Consolas" w:hAnsi="Consolas"/>
          <w:color w:val="9B1B30"/>
          <w:sz w:val="19"/>
        </w:rPr>
        <w:t>Price</w:t>
      </w:r>
      <w:r>
        <w:t xml:space="preserve"> ≤ 0.</w:t>
      </w:r>
    </w:p>
    <w:p>
      <w:pPr>
        <w:pStyle w:val="ListBullet"/>
        <w:spacing w:after="40"/>
      </w:pPr>
      <w:r>
        <w:t>[ ] Se limpiaron descripciones nulas y códigos que no son producto (</w:t>
      </w:r>
      <w:r>
        <w:rPr>
          <w:rFonts w:ascii="Consolas" w:hAnsi="Consolas"/>
          <w:color w:val="9B1B30"/>
          <w:sz w:val="19"/>
        </w:rPr>
        <w:t>POST</w:t>
      </w:r>
      <w:r>
        <w:t xml:space="preserve">, </w:t>
      </w:r>
      <w:r>
        <w:rPr>
          <w:rFonts w:ascii="Consolas" w:hAnsi="Consolas"/>
          <w:color w:val="9B1B30"/>
          <w:sz w:val="19"/>
        </w:rPr>
        <w:t>DOT</w:t>
      </w:r>
      <w:r>
        <w:t>, …).</w:t>
      </w:r>
    </w:p>
    <w:p>
      <w:pPr>
        <w:pStyle w:val="ListBullet"/>
        <w:spacing w:after="40"/>
      </w:pPr>
      <w:r>
        <w:t xml:space="preserve">[ ] El </w:t>
      </w:r>
      <w:r>
        <w:rPr>
          <w:rFonts w:ascii="Consolas" w:hAnsi="Consolas"/>
          <w:color w:val="9B1B30"/>
          <w:sz w:val="19"/>
        </w:rPr>
        <w:t>dtype</w:t>
      </w:r>
      <w:r>
        <w:t xml:space="preserve"> de la matriz es </w:t>
      </w:r>
      <w:r>
        <w:rPr>
          <w:b/>
        </w:rPr>
        <w:t>`bool`</w:t>
      </w:r>
      <w:r>
        <w:t xml:space="preserve"> (verificado con un </w:t>
      </w:r>
      <w:r>
        <w:rPr>
          <w:rFonts w:ascii="Consolas" w:hAnsi="Consolas"/>
          <w:color w:val="9B1B30"/>
          <w:sz w:val="19"/>
        </w:rPr>
        <w:t>assert</w:t>
      </w:r>
      <w:r>
        <w:t>).</w:t>
      </w:r>
    </w:p>
    <w:p>
      <w:pPr>
        <w:pStyle w:val="ListBullet"/>
        <w:spacing w:after="40"/>
      </w:pPr>
      <w:r>
        <w:t xml:space="preserve">[ ] </w:t>
      </w:r>
      <w:r>
        <w:rPr>
          <w:rFonts w:ascii="Consolas" w:hAnsi="Consolas"/>
          <w:color w:val="9B1B30"/>
          <w:sz w:val="19"/>
        </w:rPr>
        <w:t>len(df_oh)</w:t>
      </w:r>
      <w:r>
        <w:t xml:space="preserve"> coincide con el </w:t>
      </w:r>
      <w:r>
        <w:rPr>
          <w:b/>
        </w:rPr>
        <w:t>nº de tickets distintos</w:t>
      </w:r>
      <w:r>
        <w:t xml:space="preserve"> (</w:t>
      </w:r>
      <w:r>
        <w:rPr>
          <w:rFonts w:ascii="Consolas" w:hAnsi="Consolas"/>
          <w:color w:val="9B1B30"/>
          <w:sz w:val="19"/>
        </w:rPr>
        <w:t>Invoice</w:t>
      </w:r>
      <w:r>
        <w:t>).</w:t>
      </w:r>
    </w:p>
    <w:p>
      <w:pPr>
        <w:pStyle w:val="ListBullet"/>
        <w:spacing w:after="40"/>
      </w:pPr>
      <w:r>
        <w:t xml:space="preserve">[ ] Se documentó el </w:t>
      </w:r>
      <w:r>
        <w:rPr>
          <w:b/>
        </w:rPr>
        <w:t>shape</w:t>
      </w:r>
      <w:r>
        <w:t xml:space="preserve"> (</w:t>
      </w:r>
      <w:r>
        <w:rPr>
          <w:rFonts w:ascii="Consolas" w:hAnsi="Consolas"/>
          <w:color w:val="9B1B30"/>
          <w:sz w:val="19"/>
        </w:rPr>
        <w:t>tickets × ítems</w:t>
      </w:r>
      <w:r>
        <w:t>) y cuántas líneas se descartaron por cada motivo.</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 guía prepara la matriz one-hot que consume el cuaderno </w:t>
      </w:r>
      <w:r>
        <w:rPr>
          <w:rFonts w:ascii="Consolas" w:hAnsi="Consolas"/>
          <w:color w:val="2D2D2D"/>
          <w:sz w:val="19"/>
        </w:rPr>
        <w:t>notebook/S08_reglas_asociacion.ipynb</w:t>
      </w:r>
      <w:r>
        <w:rPr>
          <w:color w:val="2D2D2D"/>
        </w:rPr>
        <w:t xml:space="preserve"> (</w:t>
      </w:r>
      <w:r>
        <w:rPr>
          <w:rFonts w:ascii="Consolas" w:hAnsi="Consolas"/>
          <w:color w:val="2D2D2D"/>
          <w:sz w:val="19"/>
        </w:rPr>
        <w:t>apriori</w:t>
      </w:r>
      <w:r>
        <w:rPr>
          <w:color w:val="2D2D2D"/>
        </w:rPr>
        <w:t>/</w:t>
      </w:r>
      <w:r>
        <w:rPr>
          <w:rFonts w:ascii="Consolas" w:hAnsi="Consolas"/>
          <w:color w:val="2D2D2D"/>
          <w:sz w:val="19"/>
        </w:rPr>
        <w:t>fpgrowth</w:t>
      </w:r>
      <w:r>
        <w:rPr>
          <w:color w:val="2D2D2D"/>
        </w:rPr>
        <w:t xml:space="preserve"> + </w:t>
      </w:r>
      <w:r>
        <w:rPr>
          <w:rFonts w:ascii="Consolas" w:hAnsi="Consolas"/>
          <w:color w:val="2D2D2D"/>
          <w:sz w:val="19"/>
        </w:rPr>
        <w:t>association_rules</w:t>
      </w:r>
      <w:r>
        <w:rPr>
          <w:color w:val="2D2D2D"/>
        </w:rPr>
        <w:t xml:space="preserve">) y sustenta la fase de preparación del entregable </w:t>
      </w:r>
      <w:r>
        <w:rPr>
          <w:rFonts w:ascii="Consolas" w:hAnsi="Consolas"/>
          <w:color w:val="2D2D2D"/>
          <w:sz w:val="19"/>
        </w:rPr>
        <w:t>evaluacion/entregable.docx</w:t>
      </w:r>
      <w:r>
        <w:rPr>
          <w:color w:val="2D2D2D"/>
        </w:rPr>
        <w:t xml:space="preserve"> (minar reglas sobre un dataset de retail). El shape de la matriz y el nº de tickets/ítems </w:t>
      </w:r>
      <w:r>
        <w:rPr>
          <w:b/>
          <w:color w:val="2D2D2D"/>
        </w:rPr>
        <w:t>no</w:t>
      </w:r>
      <w:r>
        <w:rPr>
          <w:color w:val="2D2D2D"/>
        </w:rPr>
        <w:t xml:space="preserve"> se registran en </w:t>
      </w:r>
      <w:r>
        <w:rPr>
          <w:rFonts w:ascii="Consolas" w:hAnsi="Consolas"/>
          <w:color w:val="2D2D2D"/>
          <w:sz w:val="19"/>
        </w:rPr>
        <w:t>resultados/S08_resultados.xlsx</w:t>
      </w:r>
      <w:r>
        <w:rPr>
          <w:color w:val="2D2D2D"/>
        </w:rPr>
        <w:t xml:space="preserve"> (ese Excel guarda los RESULTADOS de la réplica y del negocio, no la preparación): se </w:t>
      </w:r>
      <w:r>
        <w:rPr>
          <w:b/>
          <w:color w:val="2D2D2D"/>
        </w:rPr>
        <w:t>imprimen por consola</w:t>
      </w:r>
      <w:r>
        <w:rPr>
          <w:color w:val="2D2D2D"/>
        </w:rPr>
        <w:t xml:space="preserve"> al ejecutar el cuaderno (celda 35 </w:t>
      </w:r>
      <w:r>
        <w:rPr>
          <w:rFonts w:ascii="Consolas" w:hAnsi="Consolas"/>
          <w:color w:val="2D2D2D"/>
          <w:sz w:val="19"/>
        </w:rPr>
        <w:t>print("Matriz one-hot:", df.shape,...)</w:t>
      </w:r>
      <w:r>
        <w:rPr>
          <w:color w:val="2D2D2D"/>
        </w:rPr>
        <w:t xml:space="preserve"> para el benchmark; celda 52 </w:t>
      </w:r>
      <w:r>
        <w:rPr>
          <w:rFonts w:ascii="Consolas" w:hAnsi="Consolas"/>
          <w:color w:val="2D2D2D"/>
          <w:sz w:val="19"/>
        </w:rPr>
        <w:t>print("One-hot retail:", oh_retail.shape,...)</w:t>
      </w:r>
      <w:r>
        <w:rPr>
          <w:color w:val="2D2D2D"/>
        </w:rPr>
        <w:t xml:space="preserve"> para el retail).</w:t>
      </w:r>
    </w:p>
    <w:p>
      <w:pPr>
        <w:spacing w:before="0" w:after="160" w:line="288" w:lineRule="auto"/>
        <w:ind w:left="85" w:right="85"/>
        <w:shd w:val="clear" w:color="auto" w:fill="F4F4F4"/>
        <w:pBdr>
          <w:left w:val="single" w:sz="24" w:space="10" w:color="E4002B"/>
        </w:pBdr>
      </w:pPr>
      <w:r>
        <w:rPr>
          <w:color w:val="2D2D2D"/>
        </w:rPr>
        <w:t xml:space="preserve">Derivada de el glosario de la sesión (Sección 10 preparación transaccional one-hot por ticket; Sección 1 transacción/canasta; Sección 2 itemset) y de la guía de interpretación de resultados (Sección 8 errores frecuentes: agrupar por cliente, usar cantidades). Fuentes: documentación de mlxtend </w:t>
      </w:r>
      <w:r>
        <w:rPr>
          <w:rFonts w:ascii="Consolas" w:hAnsi="Consolas"/>
          <w:color w:val="2D2D2D"/>
          <w:sz w:val="19"/>
        </w:rPr>
        <w:t>preprocessing.TransactionEncoder</w:t>
      </w:r>
      <w:r>
        <w:rPr>
          <w:color w:val="2D2D2D"/>
        </w:rPr>
        <w:t xml:space="preserve"> y </w:t>
      </w:r>
      <w:r>
        <w:rPr>
          <w:rFonts w:ascii="Consolas" w:hAnsi="Consolas"/>
          <w:color w:val="2D2D2D"/>
          <w:sz w:val="19"/>
        </w:rPr>
        <w:t>frequent_patterns.apriori</w:t>
      </w:r>
      <w:r>
        <w:rPr>
          <w:color w:val="2D2D2D"/>
        </w:rPr>
        <w:t xml:space="preserve"> (input = one-hot booleano, </w:t>
      </w:r>
      <w:r>
        <w:rPr>
          <w:rFonts w:ascii="Consolas" w:hAnsi="Consolas"/>
          <w:color w:val="2D2D2D"/>
          <w:sz w:val="19"/>
        </w:rPr>
        <w:t>min_support</w:t>
      </w:r>
      <w:r>
        <w:rPr>
          <w:color w:val="2D2D2D"/>
        </w:rPr>
        <w:t xml:space="preserve"> fracción); dataset de negocio </w:t>
      </w:r>
      <w:r>
        <w:rPr>
          <w:b/>
          <w:color w:val="2D2D2D"/>
        </w:rPr>
        <w:t>Online Retail II</w:t>
      </w:r>
      <w:r>
        <w:rPr>
          <w:color w:val="2D2D2D"/>
        </w:rPr>
        <w:t xml:space="preserve"> (UCI id 502).</w:t>
      </w:r>
    </w:p>
    <w:sectPr w:rsidR="00FC693F" w:rsidRPr="0006063C" w:rsidSect="00034616">
      <w:headerReference w:type="default" r:id="rId10"/>
      <w:footerReference w:type="default" r:id="rId11"/>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Guía de preparación de datos transaccionales en formato one-hot por ticket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