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top-N reglas con lectura de negocio y estimación de impacto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S08 — Herramientas para la Ciencia de Datos (UPC). Hoja de registro para seleccionar las </w:t>
      </w:r>
      <w:r>
        <w:rPr>
          <w:b/>
          <w:color w:val="2D2D2D"/>
        </w:rPr>
        <w:t>mejores reglas de asociación</w:t>
      </w:r>
      <w:r>
        <w:rPr>
          <w:color w:val="2D2D2D"/>
        </w:rPr>
        <w:t xml:space="preserve"> de un análisis de canasta de mercado, leerlas en clave de negocio (acción de cross-selling) y </w:t>
      </w:r>
      <w:r>
        <w:rPr>
          <w:b/>
          <w:color w:val="2D2D2D"/>
        </w:rPr>
        <w:t>estimar su impacto</w:t>
      </w:r>
      <w:r>
        <w:rPr>
          <w:color w:val="2D2D2D"/>
        </w:rPr>
        <w:t xml:space="preserve"> esperado. Se completa junto al cuaderno </w:t>
      </w:r>
      <w:r>
        <w:rPr>
          <w:rFonts w:ascii="Consolas" w:hAnsi="Consolas"/>
          <w:color w:val="2D2D2D"/>
          <w:sz w:val="19"/>
        </w:rPr>
        <w:t>notebook/S08_reglas_asociacion.ipynb</w:t>
      </w:r>
      <w:r>
        <w:rPr>
          <w:color w:val="2D2D2D"/>
        </w:rPr>
        <w:t xml:space="preserve"> (que produce la tabla de reglas con </w:t>
      </w:r>
      <w:r>
        <w:rPr>
          <w:rFonts w:ascii="Consolas" w:hAnsi="Consolas"/>
          <w:color w:val="2D2D2D"/>
          <w:sz w:val="19"/>
        </w:rPr>
        <w:t>association_rules</w:t>
      </w:r>
      <w:r>
        <w:rPr>
          <w:color w:val="2D2D2D"/>
        </w:rPr>
        <w:t xml:space="preserve">) y materializa parte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(filtrar las triviales por lift/conviction, seleccionar el top-N con lectura de negocio y estimar el impacto de cross-selling).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Minar itemsets frecuentes produce </w:t>
      </w:r>
      <w:r>
        <w:rPr>
          <w:b/>
        </w:rPr>
        <w:t>cientos o miles de reglas</w:t>
      </w:r>
      <w:r>
        <w:t xml:space="preserve"> </w:t>
      </w:r>
      <w:r>
        <w:rPr>
          <w:rFonts w:ascii="Consolas" w:hAnsi="Consolas"/>
          <w:color w:val="9B1B30"/>
          <w:sz w:val="19"/>
        </w:rPr>
        <w:t>X → Y</w:t>
      </w:r>
      <w:r>
        <w:t xml:space="preserve">; la mayoría son triviales o redundantes. El valor del analista está en </w:t>
      </w:r>
      <w:r>
        <w:rPr>
          <w:b/>
        </w:rPr>
        <w:t>filtrarlas</w:t>
      </w:r>
      <w:r>
        <w:t xml:space="preserve"> hasta un </w:t>
      </w:r>
      <w:r>
        <w:rPr>
          <w:b/>
        </w:rPr>
        <w:t>top-N accionable</w:t>
      </w:r>
      <w:r>
        <w:t xml:space="preserve"> (5-20 reglas) y traducir cada una en una </w:t>
      </w:r>
      <w:r>
        <w:rPr>
          <w:b/>
        </w:rPr>
        <w:t>palanca comercial</w:t>
      </w:r>
      <w:r>
        <w:t xml:space="preserve"> con una </w:t>
      </w:r>
      <w:r>
        <w:rPr>
          <w:b/>
        </w:rPr>
        <w:t>cifra de impacto esperada</w:t>
      </w:r>
      <w:r>
        <w:t xml:space="preserve">. Una regla </w:t>
      </w:r>
      <w:r>
        <w:rPr>
          <w:rFonts w:ascii="Consolas" w:hAnsi="Consolas"/>
          <w:color w:val="9B1B30"/>
          <w:sz w:val="19"/>
        </w:rPr>
        <w:t>X → Y</w:t>
      </w:r>
      <w:r>
        <w:t xml:space="preserve"> con </w:t>
      </w:r>
      <w:r>
        <w:rPr>
          <w:b/>
        </w:rPr>
        <w:t>lift &gt; 1</w:t>
      </w:r>
      <w:r>
        <w:t xml:space="preserve"> y confianza razonable señala una </w:t>
      </w:r>
      <w:r>
        <w:rPr>
          <w:b/>
        </w:rPr>
        <w:t>oportunidad de cross-selling</w:t>
      </w:r>
      <w:r>
        <w:t xml:space="preserve"> (venta cruzada): ofrecer el producto complementario </w:t>
      </w:r>
      <w:r>
        <w:rPr>
          <w:rFonts w:ascii="Consolas" w:hAnsi="Consolas"/>
          <w:color w:val="9B1B30"/>
          <w:sz w:val="19"/>
        </w:rPr>
        <w:t>Y</w:t>
      </w:r>
      <w:r>
        <w:t xml:space="preserve"> a quien lleva </w:t>
      </w:r>
      <w:r>
        <w:rPr>
          <w:rFonts w:ascii="Consolas" w:hAnsi="Consolas"/>
          <w:color w:val="9B1B30"/>
          <w:sz w:val="19"/>
        </w:rPr>
        <w:t>X</w:t>
      </w:r>
      <w:r>
        <w:t xml:space="preserve">. Esta plantilla ordena ese trabajo en tres pasos: (1) descartar las reglas sin señal; (2) registrar el top-N con sus métricas y su lectura de negocio; (3) estimar el impacto en dinero, como </w:t>
      </w:r>
      <w:r>
        <w:rPr>
          <w:b/>
        </w:rPr>
        <w:t>rango con supuestos declarados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oro de la lectura.</w:t>
      </w:r>
      <w:r>
        <w:rPr>
          <w:color w:val="2D2D2D"/>
        </w:rPr>
        <w:t xml:space="preserve"> Nunca se ordenan ni se seleccionan reglas por </w:t>
      </w:r>
      <w:r>
        <w:rPr>
          <w:b/>
          <w:color w:val="2D2D2D"/>
        </w:rPr>
        <w:t>confianza</w:t>
      </w:r>
      <w:r>
        <w:rPr>
          <w:color w:val="2D2D2D"/>
        </w:rPr>
        <w:t xml:space="preserve"> sola: una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 muy popular produce confianza alta aunque no exista asociación real. Se ordena por </w:t>
      </w:r>
      <w:r>
        <w:rPr>
          <w:b/>
          <w:color w:val="2D2D2D"/>
        </w:rPr>
        <w:t>lift</w:t>
      </w:r>
      <w:r>
        <w:rPr>
          <w:color w:val="2D2D2D"/>
        </w:rPr>
        <w:t xml:space="preserve"> (métrica de decisión) y se usa la </w:t>
      </w:r>
      <w:r>
        <w:rPr>
          <w:b/>
          <w:color w:val="2D2D2D"/>
        </w:rPr>
        <w:t>conviction</w:t>
      </w:r>
      <w:r>
        <w:rPr>
          <w:color w:val="2D2D2D"/>
        </w:rPr>
        <w:t xml:space="preserve"> como criterio de desempate. La confianza alta es condición necesaria, pero </w:t>
      </w:r>
      <w:r>
        <w:rPr>
          <w:b/>
          <w:color w:val="2D2D2D"/>
        </w:rPr>
        <w:t>no suficiente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Fundamento matemático: las cinco métricas de una regla</w:t>
      </w:r>
    </w:p>
    <w:p>
      <w:pPr>
        <w:jc w:val="both"/>
      </w:pPr>
      <w:r>
        <w:t xml:space="preserve">Toda la lectura de una regla </w:t>
      </w:r>
      <w:r>
        <w:rPr>
          <w:rFonts w:ascii="Consolas" w:hAnsi="Consolas"/>
          <w:color w:val="9B1B30"/>
          <w:sz w:val="19"/>
        </w:rPr>
        <w:t>X → Y</w:t>
      </w:r>
      <w:r>
        <w:t xml:space="preserve"> (antecedente X, consecuente Y) descansa en cinco números encadenados, del </w:t>
      </w:r>
      <w:r>
        <w:rPr>
          <w:b/>
        </w:rPr>
        <w:t>volumen</w:t>
      </w:r>
      <w:r>
        <w:t xml:space="preserve"> (soporte) a la </w:t>
      </w:r>
      <w:r>
        <w:rPr>
          <w:b/>
        </w:rPr>
        <w:t>implicación</w:t>
      </w:r>
      <w:r>
        <w:t xml:space="preserve"> (conviction). El </w:t>
      </w:r>
      <w:r>
        <w:rPr>
          <w:b/>
        </w:rPr>
        <w:t>soporte</w:t>
      </w:r>
      <w:r>
        <w:t xml:space="preserve"> de un itemset X es la fracción de tickets que lo contienen,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2338" cy="3823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9931121016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338" cy="382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N = nº total de transacciones; para una regla, el soporte del patrón es </w:t>
      </w:r>
      <w:r>
        <w:rPr>
          <w:rFonts w:ascii="Consolas" w:hAnsi="Consolas"/>
          <w:color w:val="9B1B30"/>
          <w:sz w:val="19"/>
        </w:rPr>
        <w:t>sup(X → Y) = sup(X ∪ Y)</w:t>
      </w:r>
      <w:r>
        <w:t xml:space="preserve">. La </w:t>
      </w:r>
      <w:r>
        <w:rPr>
          <w:b/>
        </w:rPr>
        <w:t>confianza</w:t>
      </w:r>
      <w:r>
        <w:t xml:space="preserve"> condiciona ese soporte al antecedente —de las canastas con X, qué fracción también lleva Y—: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97974" cy="4073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67a347d2af7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974" cy="407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pero la confianza (2) sola </w:t>
      </w:r>
      <w:r>
        <w:rPr>
          <w:b/>
        </w:rPr>
        <w:t>induce a error</w:t>
      </w:r>
      <w:r>
        <w:t xml:space="preserve"> (premia a los consecuentes populares). El </w:t>
      </w:r>
      <w:r>
        <w:rPr>
          <w:b/>
        </w:rPr>
        <w:t>lift</w:t>
      </w:r>
      <w:r>
        <w:t xml:space="preserve"> la corrige al dividirla por el soporte del consecuente, para medir cuántas veces supera al azar la co-ocurrencia: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1098" cy="4073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802eba2449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098" cy="407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lift (3) es </w:t>
      </w:r>
      <w:r>
        <w:rPr>
          <w:b/>
        </w:rPr>
        <w:t>la métrica de decisión</w:t>
      </w:r>
      <w:r>
        <w:t xml:space="preserve"> y es </w:t>
      </w:r>
      <w:r>
        <w:rPr>
          <w:b/>
        </w:rPr>
        <w:t>simétrico</w:t>
      </w:r>
      <w:r>
        <w:t xml:space="preserve"> (</w:t>
      </w:r>
      <w:r>
        <w:rPr>
          <w:rFonts w:ascii="Consolas" w:hAnsi="Consolas"/>
          <w:color w:val="9B1B30"/>
          <w:sz w:val="19"/>
        </w:rPr>
        <w:t>lift(A→B) = lift(B→A)</w:t>
      </w:r>
      <w:r>
        <w:t xml:space="preserve">): &gt;1 asociación positiva (cross-sell), =1 independencia (trivial), &lt;1 sustitución. El </w:t>
      </w:r>
      <w:r>
        <w:rPr>
          <w:b/>
        </w:rPr>
        <w:t>leverage</w:t>
      </w:r>
      <w:r>
        <w:t xml:space="preserve"> mide el mismo exceso pero en </w:t>
      </w:r>
      <w:r>
        <w:rPr>
          <w:b/>
        </w:rPr>
        <w:t>diferencia absoluta</w:t>
      </w:r>
      <w:r>
        <w:t xml:space="preserve"> (no razón), útil para no dejarse deslumbrar por un lift alto sobre soportes ínfimos: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8912" cy="2951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4556925f0d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912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leverage (4) en </w:t>
      </w:r>
      <w:r>
        <w:rPr>
          <w:rFonts w:ascii="Consolas" w:hAnsi="Consolas"/>
          <w:color w:val="9B1B30"/>
          <w:sz w:val="19"/>
        </w:rPr>
        <w:t>[-1, 1]</w:t>
      </w:r>
      <w:r>
        <w:t xml:space="preserve"> (rango documentado por mlxtend; el alcanzable para reglas binarias es </w:t>
      </w:r>
      <w:r>
        <w:rPr>
          <w:rFonts w:ascii="Consolas" w:hAnsi="Consolas"/>
          <w:color w:val="9B1B30"/>
          <w:sz w:val="19"/>
        </w:rPr>
        <w:t>[-0,25; 0,25]</w:t>
      </w:r>
      <w:r>
        <w:t xml:space="preserve">) y </w:t>
      </w:r>
      <w:r>
        <w:rPr>
          <w:b/>
        </w:rPr>
        <w:t>0 = independencia</w:t>
      </w:r>
      <w:r>
        <w:t xml:space="preserve">. La </w:t>
      </w:r>
      <w:r>
        <w:rPr>
          <w:b/>
        </w:rPr>
        <w:t>conviction</w:t>
      </w:r>
      <w:r>
        <w:t xml:space="preserve"> compara la frecuencia con que A aparece </w:t>
      </w:r>
      <w:r>
        <w:rPr>
          <w:b/>
        </w:rPr>
        <w:t>sin</w:t>
      </w:r>
      <w:r>
        <w:t xml:space="preserve"> B (violación de la regla) frente a lo esperado bajo independencia: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37312" cy="3948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890aeff44b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312" cy="3948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la conviction (5) es </w:t>
      </w:r>
      <w:r>
        <w:rPr>
          <w:b/>
        </w:rPr>
        <w:t>direccional</w:t>
      </w:r>
      <w:r>
        <w:t xml:space="preserve"> (</w:t>
      </w:r>
      <w:r>
        <w:rPr>
          <w:rFonts w:ascii="Consolas" w:hAnsi="Consolas"/>
          <w:color w:val="9B1B30"/>
          <w:sz w:val="19"/>
        </w:rPr>
        <w:t>conviction(A→B) ≠ conviction(B→A)</w:t>
      </w:r>
      <w:r>
        <w:t>), vale 1 en independencia, &gt;1 cuando la regla es informativa y tiende a infinito cuando la confianza → 1 (regla casi determinista, sin contraejemplos).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 las fórmulas en negocio.</w:t>
      </w:r>
      <w:r>
        <w:rPr>
          <w:color w:val="2D2D2D"/>
        </w:rPr>
        <w:t xml:space="preserve"> (1) es «cuán común es la combinación» (volumen); (2) es «qué tan fiable es sugerir Y a quien lleva X»; (3) es «cuánto supera al azar esa co-ocurrencia» —el número que ordena el top-N—; (4) es «cuánto exceso absoluto de tickets aporta» (filtra los lifts sin volumen); (5) es «cuán raro es que la regla falle» (desempate y automatización). Desarrollo de cada decisión en la guía de supuestos de la sesión, Parte 3.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Cómo se lee cada métrica (recordatorio)</w:t>
      </w:r>
    </w:p>
    <w:p>
      <w:pPr>
        <w:jc w:val="both"/>
      </w:pPr>
      <w:r>
        <w:t xml:space="preserve">Para una regla </w:t>
      </w:r>
      <w:r>
        <w:rPr>
          <w:rFonts w:ascii="Consolas" w:hAnsi="Consolas"/>
          <w:color w:val="9B1B30"/>
          <w:sz w:val="19"/>
        </w:rPr>
        <w:t>X → Y</w:t>
      </w:r>
      <w:r>
        <w:t xml:space="preserve"> (antecedente </w:t>
      </w:r>
      <w:r>
        <w:rPr>
          <w:rFonts w:ascii="Consolas" w:hAnsi="Consolas"/>
          <w:color w:val="9B1B30"/>
          <w:sz w:val="19"/>
        </w:rPr>
        <w:t>X</w:t>
      </w:r>
      <w:r>
        <w:t xml:space="preserve">, consecuente </w:t>
      </w:r>
      <w:r>
        <w:rPr>
          <w:rFonts w:ascii="Consolas" w:hAnsi="Consolas"/>
          <w:color w:val="9B1B30"/>
          <w:sz w:val="19"/>
        </w:rPr>
        <w:t>Y</w:t>
      </w:r>
      <w:r>
        <w:t>), cada número responde a una pregunta distinta: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Rango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support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¿Cuán </w:t>
            </w:r>
            <w:r>
              <w:rPr>
                <w:b/>
                <w:sz w:val="19"/>
              </w:rPr>
              <w:t>común</w:t>
            </w:r>
            <w:r>
              <w:rPr>
                <w:sz w:val="19"/>
              </w:rPr>
              <w:t xml:space="preserve"> es el patrón </w:t>
            </w:r>
            <w:r>
              <w:rPr>
                <w:rFonts w:ascii="Consolas" w:hAnsi="Consolas"/>
                <w:color w:val="9B1B30"/>
                <w:sz w:val="19"/>
              </w:rPr>
              <w:t>X∪Y</w:t>
            </w:r>
            <w:r>
              <w:rPr>
                <w:sz w:val="19"/>
              </w:rPr>
              <w:t>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1]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Volumen: fracción de tickets con todo. Bajo = nicho; alto = masivo.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confidence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Dado </w:t>
            </w:r>
            <w:r>
              <w:rPr>
                <w:rFonts w:ascii="Consolas" w:hAnsi="Consolas"/>
                <w:color w:val="9B1B30"/>
                <w:sz w:val="19"/>
              </w:rPr>
              <w:t>X</w:t>
            </w:r>
            <w:r>
              <w:rPr>
                <w:sz w:val="19"/>
              </w:rPr>
              <w:t xml:space="preserve">, ¿qué fracción también lleva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>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1]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Fiabilidad</w:t>
            </w:r>
            <w:r>
              <w:rPr>
                <w:sz w:val="19"/>
              </w:rPr>
              <w:t xml:space="preserve"> de la sugerencia. Alta ≠ útil por sí sola.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lift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¿Cuánto </w:t>
            </w:r>
            <w:r>
              <w:rPr>
                <w:b/>
                <w:sz w:val="19"/>
              </w:rPr>
              <w:t>supera al azar</w:t>
            </w:r>
            <w:r>
              <w:rPr>
                <w:sz w:val="19"/>
              </w:rPr>
              <w:t xml:space="preserve"> la co-ocurrencia?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∞)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&gt;1</w:t>
            </w:r>
            <w:r>
              <w:rPr>
                <w:sz w:val="19"/>
              </w:rPr>
              <w:t xml:space="preserve"> asociación positiva (cross-sell); </w:t>
            </w:r>
            <w:r>
              <w:rPr>
                <w:b/>
                <w:sz w:val="19"/>
              </w:rPr>
              <w:t>=1</w:t>
            </w:r>
            <w:r>
              <w:rPr>
                <w:sz w:val="19"/>
              </w:rPr>
              <w:t xml:space="preserve"> independencia (trivial); </w:t>
            </w:r>
            <w:r>
              <w:rPr>
                <w:b/>
                <w:sz w:val="19"/>
              </w:rPr>
              <w:t>&lt;1</w:t>
            </w:r>
            <w:r>
              <w:rPr>
                <w:sz w:val="19"/>
              </w:rPr>
              <w:t xml:space="preserve"> sustitución. </w:t>
            </w:r>
            <w:r>
              <w:rPr>
                <w:b/>
                <w:sz w:val="19"/>
              </w:rPr>
              <w:t>La métrica de decisión.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conviction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¿Cuán </w:t>
            </w:r>
            <w:r>
              <w:rPr>
                <w:b/>
                <w:sz w:val="19"/>
              </w:rPr>
              <w:t>implicación real</w:t>
            </w:r>
            <w:r>
              <w:rPr>
                <w:sz w:val="19"/>
              </w:rPr>
              <w:t xml:space="preserve"> es (contraejemplos)?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∞)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&gt;1 informativa; →∞ casi determinista; =1 independencia. </w:t>
            </w:r>
            <w:r>
              <w:rPr>
                <w:b/>
                <w:sz w:val="19"/>
              </w:rPr>
              <w:t>Direccional.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El </w:t>
      </w:r>
      <w:r>
        <w:rPr>
          <w:b/>
          <w:color w:val="2D2D2D"/>
        </w:rPr>
        <w:t>lift es simétrico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lift(X→Y) = lift(Y→X)</w:t>
      </w:r>
      <w:r>
        <w:rPr>
          <w:color w:val="2D2D2D"/>
        </w:rPr>
        <w:t xml:space="preserve">); la </w:t>
      </w:r>
      <w:r>
        <w:rPr>
          <w:b/>
          <w:color w:val="2D2D2D"/>
        </w:rPr>
        <w:t>confianza y la conviction NO</w:t>
      </w:r>
      <w:r>
        <w:rPr>
          <w:color w:val="2D2D2D"/>
        </w:rPr>
        <w:t xml:space="preserve"> lo son. La dirección de la regla importa para decidir la acción: se recomienda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 a quien lleva </w:t>
      </w:r>
      <w:r>
        <w:rPr>
          <w:rFonts w:ascii="Consolas" w:hAnsi="Consolas"/>
          <w:color w:val="2D2D2D"/>
          <w:sz w:val="19"/>
        </w:rPr>
        <w:t>X</w:t>
      </w:r>
      <w:r>
        <w:rPr>
          <w:color w:val="2D2D2D"/>
        </w:rPr>
        <w:t>, no al revés.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1 — Descartar reglas triviales y redundantes (el filtro)</w:t>
      </w:r>
    </w:p>
    <w:p>
      <w:pPr>
        <w:jc w:val="both"/>
      </w:pPr>
      <w:r>
        <w:t xml:space="preserve">Antes de llenar la tabla del top-N, se poda la lista completa de reglas en este </w:t>
      </w:r>
      <w:r>
        <w:rPr>
          <w:b/>
        </w:rPr>
        <w:t>orden</w:t>
      </w:r>
      <w:r>
        <w:t xml:space="preserve"> (del más al menos importante):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Soporte mínimo</w:t>
      </w:r>
      <w:r>
        <w:t xml:space="preserve"> — ya aplicado al minar los itemsets (</w:t>
      </w:r>
      <w:r>
        <w:rPr>
          <w:rFonts w:ascii="Consolas" w:hAnsi="Consolas"/>
          <w:color w:val="9B1B30"/>
          <w:sz w:val="19"/>
        </w:rPr>
        <w:t>min_support</w:t>
      </w:r>
      <w:r>
        <w:t>); elimina patrones irreproducibles.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`lift &gt; 1` (con umbral)</w:t>
      </w:r>
      <w:r>
        <w:t xml:space="preserve"> — </w:t>
      </w:r>
      <w:r>
        <w:rPr>
          <w:b/>
        </w:rPr>
        <w:t>filtro central</w:t>
      </w:r>
      <w:r>
        <w:t xml:space="preserve">: descarta las </w:t>
      </w:r>
      <w:r>
        <w:rPr>
          <w:b/>
        </w:rPr>
        <w:t>triviales</w:t>
      </w:r>
      <w:r>
        <w:t xml:space="preserve"> (lift ≈ 1) y las </w:t>
      </w:r>
      <w:r>
        <w:rPr>
          <w:b/>
        </w:rPr>
        <w:t>sustituciones</w:t>
      </w:r>
      <w:r>
        <w:t xml:space="preserve"> (lift &lt; 1). Umbral práctico: exigir </w:t>
      </w:r>
      <w:r>
        <w:rPr>
          <w:rFonts w:ascii="Consolas" w:hAnsi="Consolas"/>
          <w:color w:val="9B1B30"/>
          <w:sz w:val="19"/>
        </w:rPr>
        <w:t>lift ≥ 1,2</w:t>
      </w:r>
      <w:r>
        <w:t xml:space="preserve"> (o más, según el dominio).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Confianza mínima</w:t>
      </w:r>
      <w:r>
        <w:t xml:space="preserve"> — asegura fiabilidad accionable (p. ej. </w:t>
      </w:r>
      <w:r>
        <w:rPr>
          <w:rFonts w:ascii="Consolas" w:hAnsi="Consolas"/>
          <w:color w:val="9B1B30"/>
          <w:sz w:val="19"/>
        </w:rPr>
        <w:t>≥ 0,3-0,5</w:t>
      </w:r>
      <w:r>
        <w:t xml:space="preserve"> según el negocio).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Conviction</w:t>
      </w:r>
      <w:r>
        <w:t xml:space="preserve"> — desempata: entre reglas de lift parecido, preferir la de </w:t>
      </w:r>
      <w:r>
        <w:rPr>
          <w:b/>
        </w:rPr>
        <w:t>mayor</w:t>
      </w:r>
      <w:r>
        <w:t xml:space="preserve"> conviction (menos contraejemplos).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Redundancia</w:t>
      </w:r>
      <w:r>
        <w:t xml:space="preserve"> — colapsar familias: si </w:t>
      </w:r>
      <w:r>
        <w:rPr>
          <w:rFonts w:ascii="Consolas" w:hAnsi="Consolas"/>
          <w:color w:val="9B1B30"/>
          <w:sz w:val="19"/>
        </w:rPr>
        <w:t>{A} → {C}</w:t>
      </w:r>
      <w:r>
        <w:t xml:space="preserve"> y </w:t>
      </w:r>
      <w:r>
        <w:rPr>
          <w:rFonts w:ascii="Consolas" w:hAnsi="Consolas"/>
          <w:color w:val="9B1B30"/>
          <w:sz w:val="19"/>
        </w:rPr>
        <w:t>{A,B} → {C}</w:t>
      </w:r>
      <w:r>
        <w:t xml:space="preserve"> tienen confianza/lift equivalentes, conservar la </w:t>
      </w:r>
      <w:r>
        <w:rPr>
          <w:b/>
        </w:rPr>
        <w:t>más simple</w:t>
      </w:r>
      <w:r>
        <w:t xml:space="preserve"> (</w:t>
      </w:r>
      <w:r>
        <w:rPr>
          <w:rFonts w:ascii="Consolas" w:hAnsi="Consolas"/>
          <w:color w:val="9B1B30"/>
          <w:sz w:val="19"/>
        </w:rPr>
        <w:t>{A} → {C}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6.  </w:t>
      </w:r>
      <w:r>
        <w:rPr>
          <w:b/>
        </w:rPr>
        <w:t>Sentido de negocio</w:t>
      </w:r>
      <w:r>
        <w:t xml:space="preserve"> — eliminar reglas </w:t>
      </w:r>
      <w:r>
        <w:rPr>
          <w:b/>
        </w:rPr>
        <w:t>obvias por definición</w:t>
      </w:r>
      <w:r>
        <w:t xml:space="preserve"> (</w:t>
      </w:r>
      <w:r>
        <w:rPr>
          <w:rFonts w:ascii="Consolas" w:hAnsi="Consolas"/>
          <w:color w:val="9B1B30"/>
          <w:sz w:val="19"/>
        </w:rPr>
        <w:t>{pan de molde} → {pan}</w:t>
      </w:r>
      <w:r>
        <w:t>) y las que no admiten ninguna acción.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Criterio de descarte por lift (regla dura de la sesión).</w:t>
      </w:r>
      <w:r>
        <w:rPr>
          <w:color w:val="2D2D2D"/>
        </w:rPr>
        <w:t xml:space="preserve"> Toda regla con </w:t>
      </w:r>
      <w:r>
        <w:rPr>
          <w:b/>
          <w:color w:val="2D2D2D"/>
        </w:rPr>
        <w:t>`lift ≤ 1`</w:t>
      </w:r>
      <w:r>
        <w:rPr>
          <w:color w:val="2D2D2D"/>
        </w:rPr>
        <w:t xml:space="preserve"> se </w:t>
      </w:r>
      <w:r>
        <w:rPr>
          <w:b/>
          <w:color w:val="2D2D2D"/>
        </w:rPr>
        <w:t>descarta</w:t>
      </w:r>
      <w:r>
        <w:rPr>
          <w:color w:val="2D2D2D"/>
        </w:rPr>
        <w:t xml:space="preserve"> para cross-selling: </w:t>
      </w:r>
      <w:r>
        <w:rPr>
          <w:rFonts w:ascii="Consolas" w:hAnsi="Consolas"/>
          <w:color w:val="2D2D2D"/>
          <w:sz w:val="19"/>
        </w:rPr>
        <w:t>lift = 1</w:t>
      </w:r>
      <w:r>
        <w:rPr>
          <w:color w:val="2D2D2D"/>
        </w:rPr>
        <w:t xml:space="preserve"> es independencia (la co-ocurrencia es la esperada por azar → </w:t>
      </w:r>
      <w:r>
        <w:rPr>
          <w:b/>
          <w:color w:val="2D2D2D"/>
        </w:rPr>
        <w:t>regla trivial</w:t>
      </w:r>
      <w:r>
        <w:rPr>
          <w:color w:val="2D2D2D"/>
        </w:rPr>
        <w:t xml:space="preserve">, sin información útil) y </w:t>
      </w:r>
      <w:r>
        <w:rPr>
          <w:rFonts w:ascii="Consolas" w:hAnsi="Consolas"/>
          <w:color w:val="2D2D2D"/>
          <w:sz w:val="19"/>
        </w:rPr>
        <w:t>lift &lt; 1</w:t>
      </w:r>
      <w:r>
        <w:rPr>
          <w:color w:val="2D2D2D"/>
        </w:rPr>
        <w:t xml:space="preserve"> es </w:t>
      </w:r>
      <w:r>
        <w:rPr>
          <w:b/>
          <w:color w:val="2D2D2D"/>
        </w:rPr>
        <w:t>sustitución</w:t>
      </w:r>
      <w:r>
        <w:rPr>
          <w:color w:val="2D2D2D"/>
        </w:rPr>
        <w:t xml:space="preserve"> (comprar </w:t>
      </w:r>
      <w:r>
        <w:rPr>
          <w:rFonts w:ascii="Consolas" w:hAnsi="Consolas"/>
          <w:color w:val="2D2D2D"/>
          <w:sz w:val="19"/>
        </w:rPr>
        <w:t>X</w:t>
      </w:r>
      <w:r>
        <w:rPr>
          <w:color w:val="2D2D2D"/>
        </w:rPr>
        <w:t xml:space="preserve"> </w:t>
      </w:r>
      <w:r>
        <w:rPr>
          <w:b/>
          <w:color w:val="2D2D2D"/>
        </w:rPr>
        <w:t>reduce</w:t>
      </w:r>
      <w:r>
        <w:rPr>
          <w:color w:val="2D2D2D"/>
        </w:rPr>
        <w:t xml:space="preserve"> la probabilidad de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: productos rivales). El caso engañoso a vigilar es </w:t>
      </w:r>
      <w:r>
        <w:rPr>
          <w:b/>
          <w:color w:val="2D2D2D"/>
        </w:rPr>
        <w:t>confianza alta con lift ≈ 1</w:t>
      </w:r>
      <w:r>
        <w:rPr>
          <w:color w:val="2D2D2D"/>
        </w:rPr>
        <w:t xml:space="preserve">: p. ej. </w:t>
      </w:r>
      <w:r>
        <w:rPr>
          <w:rFonts w:ascii="Consolas" w:hAnsi="Consolas"/>
          <w:color w:val="2D2D2D"/>
          <w:sz w:val="19"/>
        </w:rPr>
        <w:t>{leche} → {bolsa}</w:t>
      </w:r>
      <w:r>
        <w:rPr>
          <w:color w:val="2D2D2D"/>
        </w:rPr>
        <w:t xml:space="preserve"> con </w:t>
      </w:r>
      <w:r>
        <w:rPr>
          <w:rFonts w:ascii="Consolas" w:hAnsi="Consolas"/>
          <w:color w:val="2D2D2D"/>
          <w:sz w:val="19"/>
        </w:rPr>
        <w:t>confianza = 0,88</w:t>
      </w:r>
      <w:r>
        <w:rPr>
          <w:color w:val="2D2D2D"/>
        </w:rPr>
        <w:t xml:space="preserve"> parece fuerte, pero si </w:t>
      </w:r>
      <w:r>
        <w:rPr>
          <w:rFonts w:ascii="Consolas" w:hAnsi="Consolas"/>
          <w:color w:val="2D2D2D"/>
          <w:sz w:val="19"/>
        </w:rPr>
        <w:t>soporte(bolsa) = 0,90</w:t>
      </w:r>
      <w:r>
        <w:rPr>
          <w:color w:val="2D2D2D"/>
        </w:rPr>
        <w:t xml:space="preserve"> entonces </w:t>
      </w:r>
      <w:r>
        <w:rPr>
          <w:rFonts w:ascii="Consolas" w:hAnsi="Consolas"/>
          <w:color w:val="2D2D2D"/>
          <w:sz w:val="19"/>
        </w:rPr>
        <w:t>lift = 0,88 / 0,90 = 0,98 &lt; 1</w:t>
      </w:r>
      <w:r>
        <w:rPr>
          <w:color w:val="2D2D2D"/>
        </w:rPr>
        <w:t xml:space="preserve"> — la confianza es alta </w:t>
      </w:r>
      <w:r>
        <w:rPr>
          <w:b/>
          <w:color w:val="2D2D2D"/>
        </w:rPr>
        <w:t>solo porque la bolsa es ubicua</w:t>
      </w:r>
      <w:r>
        <w:rPr>
          <w:color w:val="2D2D2D"/>
        </w:rPr>
        <w:t xml:space="preserve">. Se descarta. </w:t>
      </w:r>
      <w:r>
        <w:rPr>
          <w:i/>
          <w:color w:val="2D2D2D"/>
        </w:rPr>
        <w:t>(El lift &lt; 1 no es "regla débil": es información de otro tipo — sustitución — no candidata a cross-sell.)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PARÁMETROS DEL FILTRADO (A COMPLETAR):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min_support</w:t>
            </w:r>
            <w:r>
              <w:rPr>
                <w:sz w:val="19"/>
              </w:rPr>
              <w:t xml:space="preserve"> usado al minar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de </w:t>
            </w:r>
            <w:r>
              <w:rPr>
                <w:rFonts w:ascii="Consolas" w:hAnsi="Consolas"/>
                <w:color w:val="9B1B30"/>
                <w:sz w:val="19"/>
              </w:rPr>
              <w:t>lift</w:t>
            </w:r>
            <w:r>
              <w:rPr>
                <w:sz w:val="19"/>
              </w:rPr>
              <w:t xml:space="preserve"> exigido (p. ej. ≥ 1,2)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de </w:t>
            </w:r>
            <w:r>
              <w:rPr>
                <w:rFonts w:ascii="Consolas" w:hAnsi="Consolas"/>
                <w:color w:val="9B1B30"/>
                <w:sz w:val="19"/>
              </w:rPr>
              <w:t>confidence</w:t>
            </w:r>
            <w:r>
              <w:rPr>
                <w:sz w:val="19"/>
              </w:rPr>
              <w:t xml:space="preserve"> exigido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reglas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del filtro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reglas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del filtro (candidatas al top-N)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2 — Registrar el top-N de reglas (tabla principal)</w:t>
      </w:r>
    </w:p>
    <w:p>
      <w:pPr>
        <w:jc w:val="both"/>
      </w:pPr>
      <w:r>
        <w:t xml:space="preserve">Se toma la lista filtrada, se </w:t>
      </w:r>
      <w:r>
        <w:rPr>
          <w:b/>
        </w:rPr>
        <w:t>ordena por `lift` descendente</w:t>
      </w:r>
      <w:r>
        <w:t xml:space="preserve"> (conviction como criterio secundario) y se registran las mejores. Para cada regla se añade su </w:t>
      </w:r>
      <w:r>
        <w:rPr>
          <w:b/>
        </w:rPr>
        <w:t>lectura de negocio</w:t>
      </w:r>
      <w:r>
        <w:t xml:space="preserve"> (una palanca concreta) y su </w:t>
      </w:r>
      <w:r>
        <w:rPr>
          <w:b/>
        </w:rPr>
        <w:t>estimación de impacto</w:t>
      </w:r>
      <w:r>
        <w:t xml:space="preserve"> (Paso 3).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Antecedente `X`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→ Consecuente `Y`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confianza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lift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conviction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 (palanca de cross-sell)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Impacto estimado (rango)</w:t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Palancas de cross-selling posibles</w:t>
      </w:r>
      <w:r>
        <w:t xml:space="preserve"> (elegir </w:t>
      </w:r>
      <w:r>
        <w:rPr>
          <w:b/>
        </w:rPr>
        <w:t>una</w:t>
      </w:r>
      <w:r>
        <w:t xml:space="preserve"> por regla en la columna "Lectura de negocio"):</w:t>
      </w:r>
    </w:p>
    <w:p>
      <w:pPr>
        <w:pStyle w:val="ListBullet"/>
        <w:spacing w:after="40"/>
      </w:pPr>
      <w:r>
        <w:rPr>
          <w:b/>
        </w:rPr>
        <w:t>Colocación física conjunta</w:t>
      </w:r>
      <w:r>
        <w:t xml:space="preserve"> — poner </w:t>
      </w:r>
      <w:r>
        <w:rPr>
          <w:rFonts w:ascii="Consolas" w:hAnsi="Consolas"/>
          <w:color w:val="9B1B30"/>
          <w:sz w:val="19"/>
        </w:rPr>
        <w:t>X</w:t>
      </w:r>
      <w:r>
        <w:t xml:space="preserve"> e </w:t>
      </w:r>
      <w:r>
        <w:rPr>
          <w:rFonts w:ascii="Consolas" w:hAnsi="Consolas"/>
          <w:color w:val="9B1B30"/>
          <w:sz w:val="19"/>
        </w:rPr>
        <w:t>Y</w:t>
      </w:r>
      <w:r>
        <w:t xml:space="preserve"> cerca en góndola o en la misma página del e-commerce.</w:t>
      </w:r>
    </w:p>
    <w:p>
      <w:pPr>
        <w:pStyle w:val="ListBullet"/>
        <w:spacing w:after="40"/>
      </w:pPr>
      <w:r>
        <w:rPr>
          <w:b/>
        </w:rPr>
        <w:t>Bundle con precio</w:t>
      </w:r>
      <w:r>
        <w:t xml:space="preserve"> — vender </w:t>
      </w:r>
      <w:r>
        <w:rPr>
          <w:rFonts w:ascii="Consolas" w:hAnsi="Consolas"/>
          <w:color w:val="9B1B30"/>
          <w:sz w:val="19"/>
        </w:rPr>
        <w:t>X</w:t>
      </w:r>
      <w:r>
        <w:t xml:space="preserve"> + </w:t>
      </w:r>
      <w:r>
        <w:rPr>
          <w:rFonts w:ascii="Consolas" w:hAnsi="Consolas"/>
          <w:color w:val="9B1B30"/>
          <w:sz w:val="19"/>
        </w:rPr>
        <w:t>Y</w:t>
      </w:r>
      <w:r>
        <w:t xml:space="preserve"> como paquete con un pequeño descuento.</w:t>
      </w:r>
    </w:p>
    <w:p>
      <w:pPr>
        <w:pStyle w:val="ListBullet"/>
        <w:spacing w:after="40"/>
      </w:pPr>
      <w:r>
        <w:rPr>
          <w:b/>
        </w:rPr>
        <w:t>Cupón cruzado</w:t>
      </w:r>
      <w:r>
        <w:t xml:space="preserve"> — al comprar </w:t>
      </w:r>
      <w:r>
        <w:rPr>
          <w:rFonts w:ascii="Consolas" w:hAnsi="Consolas"/>
          <w:color w:val="9B1B30"/>
          <w:sz w:val="19"/>
        </w:rPr>
        <w:t>X</w:t>
      </w:r>
      <w:r>
        <w:t xml:space="preserve">, entregar un cupón para </w:t>
      </w:r>
      <w:r>
        <w:rPr>
          <w:rFonts w:ascii="Consolas" w:hAnsi="Consolas"/>
          <w:color w:val="9B1B30"/>
          <w:sz w:val="19"/>
        </w:rPr>
        <w:t>Y</w:t>
      </w:r>
      <w:r>
        <w:t>.</w:t>
      </w:r>
    </w:p>
    <w:p>
      <w:pPr>
        <w:pStyle w:val="ListBullet"/>
        <w:spacing w:after="40"/>
      </w:pPr>
      <w:r>
        <w:rPr>
          <w:b/>
        </w:rPr>
        <w:t>Recomendación "también te puede interesar"</w:t>
      </w:r>
      <w:r>
        <w:t xml:space="preserve"> — sugerir </w:t>
      </w:r>
      <w:r>
        <w:rPr>
          <w:rFonts w:ascii="Consolas" w:hAnsi="Consolas"/>
          <w:color w:val="9B1B30"/>
          <w:sz w:val="19"/>
        </w:rPr>
        <w:t>Y</w:t>
      </w:r>
      <w:r>
        <w:t xml:space="preserve"> en el carrito de quien lleva </w:t>
      </w:r>
      <w:r>
        <w:rPr>
          <w:rFonts w:ascii="Consolas" w:hAnsi="Consolas"/>
          <w:color w:val="9B1B30"/>
          <w:sz w:val="19"/>
        </w:rPr>
        <w:t>X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3 — Estimar el impacto de negocio de una regla</w:t>
      </w:r>
    </w:p>
    <w:p>
      <w:pPr>
        <w:jc w:val="both"/>
      </w:pPr>
      <w:r>
        <w:t xml:space="preserve">El impacto convierte una regla estadística en una </w:t>
      </w:r>
      <w:r>
        <w:rPr>
          <w:b/>
        </w:rPr>
        <w:t>cifra de dinero esperada</w:t>
      </w:r>
      <w:r>
        <w:t xml:space="preserve">, lo que permite </w:t>
      </w:r>
      <w:r>
        <w:rPr>
          <w:b/>
        </w:rPr>
        <w:t>priorizar</w:t>
      </w:r>
      <w:r>
        <w:t xml:space="preserve"> qué reglas activar. La estimación se reporta como </w:t>
      </w:r>
      <w:r>
        <w:rPr>
          <w:b/>
        </w:rPr>
        <w:t>rango con supuestos declarados</w:t>
      </w:r>
      <w:r>
        <w:t>, nunca como cifra exacta.</w:t>
      </w:r>
    </w:p>
    <w:p>
      <w:pPr>
        <w:jc w:val="both"/>
      </w:pPr>
      <w:r>
        <w:rPr>
          <w:b/>
        </w:rPr>
        <w:t>Fórmula recomendada (exceso sobre el nivel base, derivada de INTERPRETACION Sección 5).</w:t>
      </w:r>
      <w:r>
        <w:t xml:space="preserve"> Solo cuenta las transacciones de </w:t>
      </w:r>
      <w:r>
        <w:rPr>
          <w:rFonts w:ascii="Consolas" w:hAnsi="Consolas"/>
          <w:color w:val="9B1B30"/>
          <w:sz w:val="19"/>
        </w:rPr>
        <w:t>Y</w:t>
      </w:r>
      <w:r>
        <w:t xml:space="preserve"> </w:t>
      </w:r>
      <w:r>
        <w:rPr>
          <w:b/>
        </w:rPr>
        <w:t>por encima</w:t>
      </w:r>
      <w:r>
        <w:t xml:space="preserve"> de las que ocurrirían por azar: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9"/>
              </w:rPr>
              <w:t>\text{trans. increm.}(B)\approx N\cdot\text{sup}(A)\cdot\big(\text{conf}(A\to B)-\text{sup}(B)\big)\cdot\alpha \qquad (6)</w:t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(6)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9901" cy="2951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61464d00fb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901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(7)</w:t>
            </w:r>
          </w:p>
        </w:tc>
      </w:tr>
    </w:tbl>
    <w:p>
      <w:pPr>
        <w:spacing w:after="40"/>
      </w:pPr>
    </w:p>
    <w:p>
      <w:pPr>
        <w:jc w:val="both"/>
      </w:pPr>
      <w:r>
        <w:t>donde: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N</w:t>
      </w:r>
      <w:r>
        <w:t xml:space="preserve"> = nº total de tickets del periodo.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N — sup(X)</w:t>
      </w:r>
      <w:r>
        <w:t xml:space="preserve"> = </w:t>
      </w:r>
      <w:r>
        <w:rPr>
          <w:b/>
        </w:rPr>
        <w:t>nº de tickets que contienen el antecedente</w:t>
      </w:r>
      <w:r>
        <w:t xml:space="preserve"> </w:t>
      </w:r>
      <w:r>
        <w:rPr>
          <w:rFonts w:ascii="Consolas" w:hAnsi="Consolas"/>
          <w:color w:val="9B1B30"/>
          <w:sz w:val="19"/>
        </w:rPr>
        <w:t>X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(conf − sup(Y))</w:t>
      </w:r>
      <w:r>
        <w:t xml:space="preserve"> en (6) = el </w:t>
      </w:r>
      <w:r>
        <w:rPr>
          <w:b/>
        </w:rPr>
        <w:t>exceso</w:t>
      </w:r>
      <w:r>
        <w:t xml:space="preserve"> de propensión sobre el nivel base; es la porción "no trivial" ligada al lift (3). </w:t>
      </w:r>
      <w:r>
        <w:rPr>
          <w:b/>
        </w:rPr>
        <w:t>Si el lift = 1, este exceso es 0 → impacto 0</w:t>
      </w:r>
      <w:r>
        <w:t xml:space="preserve"> (coherente con descartar las triviales).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α</w:t>
      </w:r>
      <w:r>
        <w:t xml:space="preserve"> (tasa de adopción) = </w:t>
      </w:r>
      <w:r>
        <w:rPr>
          <w:b/>
        </w:rPr>
        <w:t>supuesto explícito</w:t>
      </w:r>
      <w:r>
        <w:t xml:space="preserve"> (p. ej. 5-15 %): fracción de clientes que aceptan la sugerencia. No es una certeza.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margen(Y)</w:t>
      </w:r>
      <w:r>
        <w:t xml:space="preserve"> = margen unitario (o ticket promedio) del consecuente.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Versión bruta (más simple, sobrestima).</w:t>
      </w:r>
      <w:r>
        <w:rPr>
          <w:color w:val="2D2D2D"/>
        </w:rPr>
        <w:t xml:space="preserve"> La aproximación </w:t>
      </w:r>
      <w:r>
        <w:rPr>
          <w:rFonts w:ascii="Consolas" w:hAnsi="Consolas"/>
          <w:color w:val="2D2D2D"/>
          <w:sz w:val="19"/>
        </w:rPr>
        <w:t>tickets(X) × confianza × valor(Y)</w:t>
      </w:r>
      <w:r>
        <w:rPr>
          <w:color w:val="2D2D2D"/>
        </w:rPr>
        <w:t xml:space="preserve"> cuenta </w:t>
      </w:r>
      <w:r>
        <w:rPr>
          <w:b/>
          <w:color w:val="2D2D2D"/>
        </w:rPr>
        <w:t>toda</w:t>
      </w:r>
      <w:r>
        <w:rPr>
          <w:color w:val="2D2D2D"/>
        </w:rPr>
        <w:t xml:space="preserve"> la co-ocurrencia, incluida la que sucedería sin la acción; sirve como </w:t>
      </w:r>
      <w:r>
        <w:rPr>
          <w:b/>
          <w:color w:val="2D2D2D"/>
        </w:rPr>
        <w:t>cota superior</w:t>
      </w:r>
      <w:r>
        <w:rPr>
          <w:color w:val="2D2D2D"/>
        </w:rPr>
        <w:t xml:space="preserve"> rápida, pero </w:t>
      </w:r>
      <w:r>
        <w:rPr>
          <w:b/>
          <w:color w:val="2D2D2D"/>
        </w:rPr>
        <w:t>infla</w:t>
      </w:r>
      <w:r>
        <w:rPr>
          <w:color w:val="2D2D2D"/>
        </w:rPr>
        <w:t xml:space="preserve"> el impacto porque no descuenta el nivel base </w:t>
      </w:r>
      <w:r>
        <w:rPr>
          <w:rFonts w:ascii="Consolas" w:hAnsi="Consolas"/>
          <w:color w:val="2D2D2D"/>
          <w:sz w:val="19"/>
        </w:rPr>
        <w:t>soporte(Y)</w:t>
      </w:r>
      <w:r>
        <w:rPr>
          <w:color w:val="2D2D2D"/>
        </w:rPr>
        <w:t xml:space="preserve">. La versión de </w:t>
      </w:r>
      <w:r>
        <w:rPr>
          <w:b/>
          <w:color w:val="2D2D2D"/>
        </w:rPr>
        <w:t>exceso</w:t>
      </w:r>
      <w:r>
        <w:rPr>
          <w:color w:val="2D2D2D"/>
        </w:rPr>
        <w:t xml:space="preserve"> (arriba) es la que se reporta: aísla lo atribuible a la regla.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 causal (obligatoria).</w:t>
      </w:r>
      <w:r>
        <w:rPr>
          <w:color w:val="2D2D2D"/>
        </w:rPr>
        <w:t xml:space="preserve"> El lift mide </w:t>
      </w:r>
      <w:r>
        <w:rPr>
          <w:b/>
          <w:color w:val="2D2D2D"/>
        </w:rPr>
        <w:t>asociación, no causalidad</w:t>
      </w:r>
      <w:r>
        <w:rPr>
          <w:color w:val="2D2D2D"/>
        </w:rPr>
        <w:t xml:space="preserve">. Que </w:t>
      </w:r>
      <w:r>
        <w:rPr>
          <w:rFonts w:ascii="Consolas" w:hAnsi="Consolas"/>
          <w:color w:val="2D2D2D"/>
          <w:sz w:val="19"/>
        </w:rPr>
        <w:t>X</w:t>
      </w:r>
      <w:r>
        <w:rPr>
          <w:color w:val="2D2D2D"/>
        </w:rPr>
        <w:t xml:space="preserve"> e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 co-ocurran no garantiza que promover </w:t>
      </w:r>
      <w:r>
        <w:rPr>
          <w:rFonts w:ascii="Consolas" w:hAnsi="Consolas"/>
          <w:color w:val="2D2D2D"/>
          <w:sz w:val="19"/>
        </w:rPr>
        <w:t>X</w:t>
      </w:r>
      <w:r>
        <w:rPr>
          <w:color w:val="2D2D2D"/>
        </w:rPr>
        <w:t xml:space="preserve"> aumente las ventas de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 (podrían compartir una causa común: fin de semana, campaña estacional). La cifra de impacto es una </w:t>
      </w:r>
      <w:r>
        <w:rPr>
          <w:b/>
          <w:color w:val="2D2D2D"/>
        </w:rPr>
        <w:t>hipótesis a validar con un experimento A/B (S02)</w:t>
      </w:r>
      <w:r>
        <w:rPr>
          <w:color w:val="2D2D2D"/>
        </w:rPr>
        <w:t xml:space="preserve">; la causalidad formal es S12. Se presenta como </w:t>
      </w:r>
      <w:r>
        <w:rPr>
          <w:b/>
          <w:color w:val="2D2D2D"/>
        </w:rPr>
        <w:t>estimación</w:t>
      </w:r>
      <w:r>
        <w:rPr>
          <w:color w:val="2D2D2D"/>
        </w:rPr>
        <w:t>, no como resultado garantizado.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SUPUESTOS DE LA ESTIMACIÓN (A COMPLETAR Y DECLARAR):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usado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</w:t>
            </w:r>
            <w:r>
              <w:rPr>
                <w:sz w:val="19"/>
              </w:rPr>
              <w:t xml:space="preserve"> (nº total de tickets del periodo)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tasa_adopción</w:t>
            </w:r>
            <w:r>
              <w:rPr>
                <w:sz w:val="19"/>
              </w:rPr>
              <w:t xml:space="preserve"> (rango, p. ej. 5-15 %)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margen(Y)</w:t>
            </w:r>
            <w:r>
              <w:rPr>
                <w:sz w:val="19"/>
              </w:rPr>
              <w:t xml:space="preserve"> o ticket promedio del consecuente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Horizonte temporal del impacto (declararlo; p. ej. anual o el periodo completo del dataset)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resuelto — tazas Regency (Online Retail II)</w:t>
      </w:r>
    </w:p>
    <w:p>
      <w:pPr>
        <w:jc w:val="both"/>
      </w:pPr>
      <w:r>
        <w:t xml:space="preserve">Regla top del laboratorio de retail (dos piezas de la </w:t>
      </w:r>
      <w:r>
        <w:rPr>
          <w:b/>
        </w:rPr>
        <w:t>misma colección de tazas de colección</w:t>
      </w:r>
      <w:r>
        <w:t>, muy compradas juntas):</w:t>
      </w:r>
    </w:p>
    <w:p>
      <w:pPr>
        <w:jc w:val="both"/>
      </w:pPr>
      <w:r>
        <w:rPr>
          <w:rFonts w:ascii="Consolas" w:hAnsi="Consolas"/>
          <w:color w:val="9B1B30"/>
          <w:sz w:val="19"/>
        </w:rPr>
        <w:t>X = {PINK REGENCY TEACUP AND SAUCER} → Y = {GREEN REGENCY TEACUP AND SAUCER}</w:t>
      </w:r>
    </w:p>
    <w:p>
      <w:pPr>
        <w:jc w:val="both"/>
      </w:pPr>
      <w:r>
        <w:rPr>
          <w:b/>
        </w:rPr>
        <w:t>Métricas observadas</w:t>
      </w:r>
      <w:r>
        <w:t xml:space="preserve"> (valores reproducibles del análisis; trazables a </w:t>
      </w:r>
      <w:r>
        <w:rPr>
          <w:rFonts w:ascii="Consolas" w:hAnsi="Consolas"/>
          <w:color w:val="9B1B30"/>
          <w:sz w:val="19"/>
        </w:rPr>
        <w:t>resultados/S08_resultados.xlsx</w:t>
      </w:r>
      <w:r>
        <w:t xml:space="preserve">, hoja </w:t>
      </w:r>
      <w:r>
        <w:rPr>
          <w:rFonts w:ascii="Consolas" w:hAnsi="Consolas"/>
          <w:color w:val="9B1B30"/>
          <w:sz w:val="19"/>
        </w:rPr>
        <w:t>top_reglas_retail</w:t>
      </w:r>
      <w: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soporte(X)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soporte(Y)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soporte(X∪Y)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confianza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lift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conviction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0,025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0,0275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0,0225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0,90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33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9,73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Confianza (2): </w:t>
      </w:r>
      <w:r>
        <w:rPr>
          <w:rFonts w:ascii="Consolas" w:hAnsi="Consolas"/>
          <w:color w:val="9B1B30"/>
          <w:sz w:val="19"/>
        </w:rPr>
        <w:t>soporte(X∪Y) / soporte(X) = 0,0225 / 0,025 = 0,90</w:t>
      </w:r>
      <w:r>
        <w:t>.</w:t>
      </w:r>
    </w:p>
    <w:p>
      <w:pPr>
        <w:pStyle w:val="ListBullet"/>
        <w:spacing w:after="40"/>
      </w:pPr>
      <w:r>
        <w:t xml:space="preserve">Lift (3): </w:t>
      </w:r>
      <w:r>
        <w:rPr>
          <w:rFonts w:ascii="Consolas" w:hAnsi="Consolas"/>
          <w:color w:val="9B1B30"/>
          <w:sz w:val="19"/>
        </w:rPr>
        <w:t>confianza / soporte(Y) = 0,90 / 0,0275 = 32,7</w:t>
      </w:r>
      <w:r>
        <w:t xml:space="preserve">, que se </w:t>
      </w:r>
      <w:r>
        <w:rPr>
          <w:b/>
        </w:rPr>
        <w:t>reporta como ≈ 33</w:t>
      </w:r>
      <w:r>
        <w:t xml:space="preserve"> (2 cifras significativas): quien compra la taza rosa tiene </w:t>
      </w:r>
      <w:r>
        <w:rPr>
          <w:b/>
        </w:rPr>
        <w:t>~33 veces</w:t>
      </w:r>
      <w:r>
        <w:t xml:space="preserve"> más probabilidad de llevar la taza verde que un cliente al azar. </w:t>
      </w:r>
      <w:r>
        <w:rPr>
          <w:b/>
        </w:rPr>
        <w:t>Asociación muy intensa, no trivial</w:t>
      </w:r>
      <w:r>
        <w:t xml:space="preserve"> → candidata clara a cross-sell. </w:t>
      </w:r>
      <w:r>
        <w:rPr>
          <w:i/>
        </w:rPr>
        <w:t>(Caveat de poco soporte: el patrón se apoya en solo `soporte(X∪Y) — 800 ≈ 18` canastas de las 800 de la muestra, así que la tercera cifra del lift no es precisión estadística real; por eso el titular se redondea a ≈ 33 y no a 32,73.)</w:t>
      </w:r>
    </w:p>
    <w:p>
      <w:pPr>
        <w:pStyle w:val="ListBullet"/>
        <w:spacing w:after="40"/>
      </w:pPr>
      <w:r>
        <w:t xml:space="preserve">Conviction (5): </w:t>
      </w:r>
      <w:r>
        <w:rPr>
          <w:rFonts w:ascii="Consolas" w:hAnsi="Consolas"/>
          <w:color w:val="9B1B30"/>
          <w:sz w:val="19"/>
        </w:rPr>
        <w:t>(1 − soporte(Y)) / (1 − confianza) = 0,9725 / 0,10 = 9,73</w:t>
      </w:r>
      <w:r>
        <w:t xml:space="preserve"> → romper la regla (llevar la rosa </w:t>
      </w:r>
      <w:r>
        <w:rPr>
          <w:b/>
        </w:rPr>
        <w:t>sin</w:t>
      </w:r>
      <w:r>
        <w:t xml:space="preserve"> la verde) es raro; regla muy informativa.</w:t>
      </w:r>
    </w:p>
    <w:p>
      <w:pPr>
        <w:jc w:val="both"/>
      </w:pPr>
      <w:r>
        <w:rPr>
          <w:b/>
        </w:rPr>
        <w:t>Lectura de negocio:</w:t>
      </w:r>
      <w:r>
        <w:t xml:space="preserve"> </w:t>
      </w:r>
      <w:r>
        <w:rPr>
          <w:b/>
        </w:rPr>
        <w:t>bundle</w:t>
      </w:r>
      <w:r>
        <w:t xml:space="preserve"> "colección Regency" (las dos tazas juntas con un pequeño descuento) o recomendación "también te puede interesar" en el carrito de quien añade la taza rosa.</w:t>
      </w:r>
    </w:p>
    <w:p>
      <w:pPr>
        <w:jc w:val="both"/>
      </w:pPr>
      <w:r>
        <w:rPr>
          <w:b/>
        </w:rPr>
        <w:t>Estimación de impacto</w:t>
      </w:r>
      <w:r>
        <w:t xml:space="preserve"> (ejemplo canónico único, supuestos: </w:t>
      </w:r>
      <w:r>
        <w:rPr>
          <w:rFonts w:ascii="Consolas" w:hAnsi="Consolas"/>
          <w:color w:val="9B1B30"/>
          <w:sz w:val="19"/>
        </w:rPr>
        <w:t>N = 36 969</w:t>
      </w:r>
      <w:r>
        <w:t xml:space="preserve"> facturas del dataset limpio, que </w:t>
      </w:r>
      <w:r>
        <w:rPr>
          <w:b/>
        </w:rPr>
        <w:t>abarca ~2 años (12/2009–12/2011)</w:t>
      </w:r>
      <w:r>
        <w:t xml:space="preserve">; </w:t>
      </w:r>
      <w:r>
        <w:rPr>
          <w:rFonts w:ascii="Consolas" w:hAnsi="Consolas"/>
          <w:color w:val="9B1B30"/>
          <w:sz w:val="19"/>
        </w:rPr>
        <w:t>margen(Y) = £2,50</w:t>
      </w:r>
      <w:r>
        <w:t xml:space="preserve"> — </w:t>
      </w:r>
      <w:r>
        <w:rPr>
          <w:b/>
        </w:rPr>
        <w:t>SUPUESTO ILUSTRATIVO</w:t>
      </w:r>
      <w:r>
        <w:t xml:space="preserve">, no derivado de un dato de costo real (Online Retail II trae precio de venta, no costo); ancla de plausibilidad: el precio unitario </w:t>
      </w:r>
      <w:r>
        <w:rPr>
          <w:b/>
        </w:rPr>
        <w:t>mediano</w:t>
      </w:r>
      <w:r>
        <w:t xml:space="preserve"> real de la taza en el dataset completo es </w:t>
      </w:r>
      <w:r>
        <w:rPr>
          <w:b/>
        </w:rPr>
        <w:t>£2,95</w:t>
      </w:r>
      <w:r>
        <w:t xml:space="preserve"> (verificado en vivo 24/08/2026), así que el margen declarado no puede exceder ese precio; </w:t>
      </w:r>
      <w:r>
        <w:rPr>
          <w:rFonts w:ascii="Consolas" w:hAnsi="Consolas"/>
          <w:color w:val="9B1B30"/>
          <w:sz w:val="19"/>
        </w:rPr>
        <w:t>tasa_adopción</w:t>
      </w:r>
      <w:r>
        <w:t xml:space="preserve"> 5-15 %; </w:t>
      </w:r>
      <w:r>
        <w:rPr>
          <w:b/>
        </w:rPr>
        <w:t>horizonte = el periodo completo del dataset</w:t>
      </w:r>
      <w:r>
        <w:t>):</w:t>
      </w:r>
    </w:p>
    <w:p>
      <w:pPr>
        <w:pStyle w:val="ListBullet"/>
        <w:spacing w:after="40"/>
      </w:pPr>
      <w:r>
        <w:t xml:space="preserve">Tickets con el antecedente: </w:t>
      </w:r>
      <w:r>
        <w:rPr>
          <w:rFonts w:ascii="Consolas" w:hAnsi="Consolas"/>
          <w:color w:val="9B1B30"/>
          <w:sz w:val="19"/>
        </w:rPr>
        <w:t>N — sup(X) = 36 969 × 0,025 ≈ 924</w:t>
      </w:r>
      <w:r>
        <w:t xml:space="preserve"> facturas.</w:t>
      </w:r>
    </w:p>
    <w:p>
      <w:pPr>
        <w:pStyle w:val="ListBullet"/>
        <w:spacing w:after="40"/>
      </w:pPr>
      <w:r>
        <w:t xml:space="preserve">Exceso sobre base: </w:t>
      </w:r>
      <w:r>
        <w:rPr>
          <w:rFonts w:ascii="Consolas" w:hAnsi="Consolas"/>
          <w:color w:val="9B1B30"/>
          <w:sz w:val="19"/>
        </w:rPr>
        <w:t>conf − sup(Y) = 0,90 − 0,0275 = 0,8725</w:t>
      </w:r>
      <w:r>
        <w:t>.</w:t>
      </w:r>
    </w:p>
    <w:p>
      <w:pPr>
        <w:pStyle w:val="ListBullet"/>
        <w:spacing w:after="40"/>
      </w:pPr>
      <w:r>
        <w:t xml:space="preserve">Transacciones incrementales de </w:t>
      </w:r>
      <w:r>
        <w:rPr>
          <w:rFonts w:ascii="Consolas" w:hAnsi="Consolas"/>
          <w:color w:val="9B1B30"/>
          <w:sz w:val="19"/>
        </w:rPr>
        <w:t>Y</w:t>
      </w:r>
      <w:r>
        <w:t xml:space="preserve"> por (6): </w:t>
      </w:r>
      <w:r>
        <w:rPr>
          <w:rFonts w:ascii="Consolas" w:hAnsi="Consolas"/>
          <w:color w:val="9B1B30"/>
          <w:sz w:val="19"/>
        </w:rPr>
        <w:t>924 × 0,8725 × α ≈ 806 × α</w:t>
      </w:r>
      <w:r>
        <w:t xml:space="preserve"> → entre </w:t>
      </w:r>
      <w:r>
        <w:rPr>
          <w:b/>
        </w:rPr>
        <w:t>≈ 40</w:t>
      </w:r>
      <w:r>
        <w:t xml:space="preserve"> (adopción 5 %) y </w:t>
      </w:r>
      <w:r>
        <w:rPr>
          <w:b/>
        </w:rPr>
        <w:t>≈ 121</w:t>
      </w:r>
      <w:r>
        <w:t xml:space="preserve"> (adopción 15 %) facturas extra.</w:t>
      </w:r>
    </w:p>
    <w:p>
      <w:pPr>
        <w:pStyle w:val="ListBullet"/>
        <w:spacing w:after="40"/>
      </w:pPr>
      <w:r>
        <w:t xml:space="preserve">Impacto por (7): </w:t>
      </w:r>
      <w:r>
        <w:rPr>
          <w:rFonts w:ascii="Consolas" w:hAnsi="Consolas"/>
          <w:color w:val="9B1B30"/>
          <w:sz w:val="19"/>
        </w:rPr>
        <w:t>(40 a 121) × £2,50 ≈</w:t>
      </w:r>
      <w:r>
        <w:t xml:space="preserve"> </w:t>
      </w:r>
      <w:r>
        <w:rPr>
          <w:b/>
        </w:rPr>
        <w:t>£100 a £300 en el periodo completo (~2 años)</w:t>
      </w:r>
      <w:r>
        <w:t xml:space="preserve"> bajo adopción 5-15 % — es decir, del orden de </w:t>
      </w:r>
      <w:r>
        <w:rPr>
          <w:b/>
        </w:rPr>
        <w:t>£50-150 anuales</w:t>
      </w:r>
      <w:r>
        <w:t xml:space="preserve"> para </w:t>
      </w:r>
      <w:r>
        <w:rPr>
          <w:b/>
        </w:rPr>
        <w:t>una sola regla</w:t>
      </w:r>
      <w:r>
        <w:t xml:space="preserve">. Cifra certificada en la hoja </w:t>
      </w:r>
      <w:r>
        <w:rPr>
          <w:rFonts w:ascii="Consolas" w:hAnsi="Consolas"/>
          <w:color w:val="9B1B30"/>
          <w:sz w:val="19"/>
        </w:rPr>
        <w:t>impacto_negocio</w:t>
      </w:r>
      <w:r>
        <w:t xml:space="preserve"> del Excel (fila </w:t>
      </w:r>
      <w:r>
        <w:rPr>
          <w:rFonts w:ascii="Consolas" w:hAnsi="Consolas"/>
          <w:color w:val="9B1B30"/>
          <w:sz w:val="19"/>
        </w:rPr>
        <w:t>base_completa_36969_facturas</w:t>
      </w:r>
      <w:r>
        <w:t xml:space="preserve">: </w:t>
      </w:r>
      <w:r>
        <w:rPr>
          <w:b/>
        </w:rPr>
        <w:t>£100,8 a £302,4</w:t>
      </w:r>
      <w:r>
        <w:t xml:space="preserve">; fila </w:t>
      </w:r>
      <w:r>
        <w:rPr>
          <w:rFonts w:ascii="Consolas" w:hAnsi="Consolas"/>
          <w:color w:val="9B1B30"/>
          <w:sz w:val="19"/>
        </w:rPr>
        <w:t>muestra_800_facturas</w:t>
      </w:r>
      <w:r>
        <w:t xml:space="preserve">, para contraste sin extrapolar: </w:t>
      </w:r>
      <w:r>
        <w:rPr>
          <w:b/>
        </w:rPr>
        <w:t>£2,2 a £6,5</w:t>
      </w:r>
      <w:r>
        <w:t>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Salvaguarda muestra→población.</w:t>
      </w:r>
      <w:r>
        <w:rPr>
          <w:color w:val="2D2D2D"/>
        </w:rPr>
        <w:t xml:space="preserve"> El </w:t>
      </w:r>
      <w:r>
        <w:rPr>
          <w:rFonts w:ascii="Consolas" w:hAnsi="Consolas"/>
          <w:color w:val="2D2D2D"/>
          <w:sz w:val="19"/>
        </w:rPr>
        <w:t>sup(X) = 0,025</w:t>
      </w:r>
      <w:r>
        <w:rPr>
          <w:color w:val="2D2D2D"/>
        </w:rPr>
        <w:t xml:space="preserve"> proviene de la </w:t>
      </w:r>
      <w:r>
        <w:rPr>
          <w:b/>
          <w:color w:val="2D2D2D"/>
        </w:rPr>
        <w:t>muestra de 800 facturas</w:t>
      </w:r>
      <w:r>
        <w:rPr>
          <w:color w:val="2D2D2D"/>
        </w:rPr>
        <w:t xml:space="preserve"> (≈ 20 de 800) y aquí se aplica al </w:t>
      </w:r>
      <w:r>
        <w:rPr>
          <w:rFonts w:ascii="Consolas" w:hAnsi="Consolas"/>
          <w:color w:val="2D2D2D"/>
          <w:sz w:val="19"/>
        </w:rPr>
        <w:t>N = 36 969</w:t>
      </w:r>
      <w:r>
        <w:rPr>
          <w:color w:val="2D2D2D"/>
        </w:rPr>
        <w:t xml:space="preserve"> de la base completa como </w:t>
      </w:r>
      <w:r>
        <w:rPr>
          <w:b/>
          <w:color w:val="2D2D2D"/>
        </w:rPr>
        <w:t>supuesto de representatividad</w:t>
      </w:r>
      <w:r>
        <w:rPr>
          <w:color w:val="2D2D2D"/>
        </w:rPr>
        <w:t xml:space="preserve">: el soporte de la muestra tiene incertidumbre, así que la cifra es orientativa y se </w:t>
      </w:r>
      <w:r>
        <w:rPr>
          <w:b/>
          <w:color w:val="2D2D2D"/>
        </w:rPr>
        <w:t>valida con la base completa (o con un A/B)</w:t>
      </w:r>
      <w:r>
        <w:rPr>
          <w:color w:val="2D2D2D"/>
        </w:rPr>
        <w:t xml:space="preserve"> antes de escalar.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Se reporta como </w:t>
      </w:r>
      <w:r>
        <w:rPr>
          <w:b/>
          <w:color w:val="2D2D2D"/>
        </w:rPr>
        <w:t>rango</w:t>
      </w:r>
      <w:r>
        <w:rPr>
          <w:color w:val="2D2D2D"/>
        </w:rPr>
        <w:t xml:space="preserve"> ("entre £100 y £300 en el periodo completo (~2 años) bajo adopción 5-15 %"), acompañado de la advertencia causal: es una </w:t>
      </w:r>
      <w:r>
        <w:rPr>
          <w:b/>
          <w:color w:val="2D2D2D"/>
        </w:rPr>
        <w:t>hipótesis a validar con A/B</w:t>
      </w:r>
      <w:r>
        <w:rPr>
          <w:color w:val="2D2D2D"/>
        </w:rPr>
        <w:t xml:space="preserve">, no una promesa. </w:t>
      </w:r>
      <w:r>
        <w:rPr>
          <w:i/>
          <w:color w:val="2D2D2D"/>
        </w:rPr>
        <w:t>(Contrasta con una regla trivial `{…} → {bolsa}` de lift ≈ 1: su exceso `confianza − soporte(Y) ≈ 0` → impacto ≈ 0; por eso se descarta.)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De una regla a una cartera (encuadre de negocio, obligatorio).</w:t>
      </w:r>
      <w:r>
        <w:rPr>
          <w:color w:val="2D2D2D"/>
        </w:rPr>
        <w:t xml:space="preserve"> ~£50-150 anuales por </w:t>
      </w:r>
      <w:r>
        <w:rPr>
          <w:b/>
          <w:color w:val="2D2D2D"/>
        </w:rPr>
        <w:t>una</w:t>
      </w:r>
      <w:r>
        <w:rPr>
          <w:color w:val="2D2D2D"/>
        </w:rPr>
        <w:t xml:space="preserve"> regla es económicamente trivial y </w:t>
      </w:r>
      <w:r>
        <w:rPr>
          <w:b/>
          <w:color w:val="2D2D2D"/>
        </w:rPr>
        <w:t>no</w:t>
      </w:r>
      <w:r>
        <w:rPr>
          <w:color w:val="2D2D2D"/>
        </w:rPr>
        <w:t xml:space="preserve"> justifica una campaña. La decisión de negocio no es activar una regla aislada, sino desplegar la </w:t>
      </w:r>
      <w:r>
        <w:rPr>
          <w:b/>
          <w:color w:val="2D2D2D"/>
        </w:rPr>
        <w:t>cartera de las top-N reglas</w:t>
      </w:r>
      <w:r>
        <w:rPr>
          <w:color w:val="2D2D2D"/>
        </w:rPr>
        <w:t xml:space="preserve"> (5-20) como </w:t>
      </w:r>
      <w:r>
        <w:rPr>
          <w:b/>
          <w:color w:val="2D2D2D"/>
        </w:rPr>
        <w:t>motor de cross-selling automatizado</w:t>
      </w:r>
      <w:r>
        <w:rPr>
          <w:color w:val="2D2D2D"/>
        </w:rPr>
        <w:t xml:space="preserve"> (recomendador en el carrito, bundles, cupones cruzados): el impacto relevante es el </w:t>
      </w:r>
      <w:r>
        <w:rPr>
          <w:b/>
          <w:color w:val="2D2D2D"/>
        </w:rPr>
        <w:t>agregado de la cartera</w:t>
      </w:r>
      <w:r>
        <w:rPr>
          <w:color w:val="2D2D2D"/>
        </w:rPr>
        <w:t xml:space="preserve"> sobre un horizonte declarado, no la cifra de una fila. Ese agregado se </w:t>
      </w:r>
      <w:r>
        <w:rPr>
          <w:b/>
          <w:color w:val="2D2D2D"/>
        </w:rPr>
        <w:t>reconcilia</w:t>
      </w:r>
      <w:r>
        <w:rPr>
          <w:color w:val="2D2D2D"/>
        </w:rPr>
        <w:t xml:space="preserve"> contra el rango sectorial de referencia —las recomendaciones por afinidad de canasta elevan el </w:t>
      </w:r>
      <w:r>
        <w:rPr>
          <w:b/>
          <w:color w:val="2D2D2D"/>
        </w:rPr>
        <w:t>AOV (ticket promedio) un 15-30 %</w:t>
      </w:r>
      <w:r>
        <w:rPr>
          <w:color w:val="2D2D2D"/>
        </w:rPr>
        <w:t xml:space="preserve"> (las fuentes de actualidad de la sesión)—: se prioriza qué reglas entran a la cartera por </w:t>
      </w:r>
      <w:r>
        <w:rPr>
          <w:b/>
          <w:color w:val="2D2D2D"/>
        </w:rPr>
        <w:t>lift × volumen (soporte)</w:t>
      </w:r>
      <w:r>
        <w:rPr>
          <w:color w:val="2D2D2D"/>
        </w:rPr>
        <w:t xml:space="preserve"> y el total estimado se contrasta con ese 15-30 % de uplift de AOV </w:t>
      </w:r>
      <w:r>
        <w:rPr>
          <w:b/>
          <w:color w:val="2D2D2D"/>
        </w:rPr>
        <w:t>antes</w:t>
      </w:r>
      <w:r>
        <w:rPr>
          <w:color w:val="2D2D2D"/>
        </w:rPr>
        <w:t xml:space="preserve"> de comprometer inversión.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(métricas, filtrado y algoritmos)</w:t>
      </w:r>
    </w:p>
    <w:p>
      <w:pPr>
        <w:jc w:val="both"/>
      </w:pPr>
      <w:r>
        <w:t xml:space="preserve">Seleccionar y accionar reglas no descansa en supuestos distribucionales: la minería de reglas es </w:t>
      </w:r>
      <w:r>
        <w:rPr>
          <w:b/>
        </w:rPr>
        <w:t>no supervisada</w:t>
      </w:r>
      <w:r>
        <w:t xml:space="preserve"> (no modela una </w:t>
      </w:r>
      <w:r>
        <w:rPr>
          <w:rFonts w:ascii="Consolas" w:hAnsi="Consolas"/>
          <w:color w:val="9B1B30"/>
          <w:sz w:val="19"/>
        </w:rPr>
        <w:t>Y</w:t>
      </w:r>
      <w:r>
        <w:t xml:space="preserve"> con término de error, igual que el clustering de S07). Lo que sí exige son una </w:t>
      </w:r>
      <w:r>
        <w:rPr>
          <w:b/>
        </w:rPr>
        <w:t>decisión-umbral</w:t>
      </w:r>
      <w:r>
        <w:t xml:space="preserve"> (el soporte mínimo), </w:t>
      </w:r>
      <w:r>
        <w:rPr>
          <w:b/>
        </w:rPr>
        <w:t>condiciones de lectura</w:t>
      </w:r>
      <w:r>
        <w:t xml:space="preserve"> de las métricas (2)–(5) y </w:t>
      </w:r>
      <w:r>
        <w:rPr>
          <w:b/>
        </w:rPr>
        <w:t>garantías algorítmicas</w:t>
      </w:r>
      <w:r>
        <w:t>. El desarrollo completo —qué es cada punto, cómo se identifica con su umbral y cómo se decide—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(umbral/señal)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(SUPUESTOS_S08.md)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Soporte mínimo `minsup`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nº de itemsets </w:t>
            </w:r>
            <w:r>
              <w:rPr>
                <w:b/>
                <w:sz w:val="19"/>
              </w:rPr>
              <w:t>se multiplica</w:t>
            </w:r>
            <w:r>
              <w:rPr>
                <w:sz w:val="19"/>
              </w:rPr>
              <w:t xml:space="preserve"> al bajar el umbral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Calibrar por volumen/tiempo, no de forma arbitraria; alto = logística, bajo = nicho; es fracción, no conteo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155/237/385 itemsets a minsup 0,02/0,015/0,01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 de la confianza → lift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confianza ≈ soporte(Y)</w:t>
            </w:r>
            <w:r>
              <w:rPr>
                <w:sz w:val="19"/>
              </w:rPr>
              <w:t>: confianza alta con lift ≈ 1 (consecuente ubicuo)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Nunca ordenar por confianza (2) sola; decidir por lift (3) (&gt;1 con margen)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{leche}→{bolsa}: conf 0,88, lift 0,98 &lt; 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3.1–3.2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Reglas espurias / redundantes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Miles de reglas de soporte bajo; lift alto con leverage ≈ 0; antecedente subconjunto con métrica ≥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Filtrar por lift/leverage (4) + soporte; colapsar redundantes; validar con negocio y A/B (S02)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mito «pañales y cerveza»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4.1–4.2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Anti-monotonía (downward closure)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Todo subconjunto de un frecuente es frecuente; infrecuente → superconjuntos infrecuentes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Confiar en la poda de Apriori; si el cuello de candidatos aprieta, pasar a FP-Growth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2ᵐ itemsets posibles → factible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Apriori == FP-Growth (exactos)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Identidad de conjuntos (diferencia 0); FP-Growth más rápido al bajar minsup; conteos distintos = error de preparación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Verificar la identidad como correctitud (tolerancia 0); elegir FP-Growth por eficiencia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385 == 385, diff 0; FP-Growth siempre más rápido, brecha creciente al bajar minsup (relación certificada; el factor exacto es machine-dependent, no se reporta como constante)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5.2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regla de oro.</w:t>
      </w:r>
      <w:r>
        <w:rPr>
          <w:color w:val="2D2D2D"/>
        </w:rPr>
        <w:t xml:space="preserve"> Nunca se ordena por confianza (2): se ordena por lift (3) y se desempata por conviction (5), con leverage (4) para vigilar el volumen. Y toda regla es </w:t>
      </w:r>
      <w:r>
        <w:rPr>
          <w:b/>
          <w:color w:val="2D2D2D"/>
        </w:rPr>
        <w:t>asociación, no causalidad</w:t>
      </w:r>
      <w:r>
        <w:rPr>
          <w:color w:val="2D2D2D"/>
        </w:rPr>
        <w:t xml:space="preserve">: la cifra de impacto (7) es una </w:t>
      </w:r>
      <w:r>
        <w:rPr>
          <w:b/>
          <w:color w:val="2D2D2D"/>
        </w:rPr>
        <w:t>hipótesis a validar con A/B (S02)</w:t>
      </w:r>
      <w:r>
        <w:rPr>
          <w:color w:val="2D2D2D"/>
        </w:rPr>
        <w:t>, no una promesa (la causalidad formal es S12). Desarrollo completo en la guía de supuestos de la sesión, Partes 3–6.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Control final (checklist)</w:t>
      </w:r>
    </w:p>
    <w:p>
      <w:pPr>
        <w:pStyle w:val="ListBullet"/>
        <w:spacing w:after="40"/>
      </w:pPr>
      <w:r>
        <w:t xml:space="preserve">[ ] Se ordenó por </w:t>
      </w:r>
      <w:r>
        <w:rPr>
          <w:b/>
        </w:rPr>
        <w:t>lift</w:t>
      </w:r>
      <w:r>
        <w:t xml:space="preserve"> (no por confianza) y se usó </w:t>
      </w:r>
      <w:r>
        <w:rPr>
          <w:b/>
        </w:rPr>
        <w:t>conviction</w:t>
      </w:r>
      <w:r>
        <w:t xml:space="preserve"> como desempate.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descartó</w:t>
      </w:r>
      <w:r>
        <w:t xml:space="preserve"> toda regla con </w:t>
      </w:r>
      <w:r>
        <w:rPr>
          <w:b/>
        </w:rPr>
        <w:t>`lift ≤ 1`</w:t>
      </w:r>
      <w:r>
        <w:t xml:space="preserve"> (triviales y sustituciones); se revisó el caso "confianza alta + lift ≈ 1".</w:t>
      </w:r>
    </w:p>
    <w:p>
      <w:pPr>
        <w:pStyle w:val="ListBullet"/>
        <w:spacing w:after="40"/>
      </w:pPr>
      <w:r>
        <w:t xml:space="preserve">[ ] Se colapsaron las reglas </w:t>
      </w:r>
      <w:r>
        <w:rPr>
          <w:b/>
        </w:rPr>
        <w:t>redundantes</w:t>
      </w:r>
      <w:r>
        <w:t xml:space="preserve"> (se conservó la más simple de cada familia).</w:t>
      </w:r>
    </w:p>
    <w:p>
      <w:pPr>
        <w:pStyle w:val="ListBullet"/>
        <w:spacing w:after="40"/>
      </w:pPr>
      <w:r>
        <w:t xml:space="preserve">[ ] Se eliminaron las reglas </w:t>
      </w:r>
      <w:r>
        <w:rPr>
          <w:b/>
        </w:rPr>
        <w:t>obvias por definición</w:t>
      </w:r>
      <w:r>
        <w:t xml:space="preserve"> y las que no admiten acción.</w:t>
      </w:r>
    </w:p>
    <w:p>
      <w:pPr>
        <w:pStyle w:val="ListBullet"/>
        <w:spacing w:after="40"/>
      </w:pPr>
      <w:r>
        <w:t xml:space="preserve">[ ] Cada regla del top-N tiene </w:t>
      </w:r>
      <w:r>
        <w:rPr>
          <w:b/>
        </w:rPr>
        <w:t>una</w:t>
      </w:r>
      <w:r>
        <w:t xml:space="preserve"> palanca de cross-sell concreta.</w:t>
      </w:r>
    </w:p>
    <w:p>
      <w:pPr>
        <w:pStyle w:val="ListBullet"/>
        <w:spacing w:after="40"/>
      </w:pPr>
      <w:r>
        <w:t xml:space="preserve">[ ] El impacto se estimó con la fórmula de </w:t>
      </w:r>
      <w:r>
        <w:rPr>
          <w:b/>
        </w:rPr>
        <w:t>exceso sobre base</w:t>
      </w:r>
      <w:r>
        <w:t xml:space="preserve"> y se reportó como </w:t>
      </w:r>
      <w:r>
        <w:rPr>
          <w:b/>
        </w:rPr>
        <w:t>rango</w:t>
      </w:r>
      <w:r>
        <w:t xml:space="preserve"> con </w:t>
      </w:r>
      <w:r>
        <w:rPr>
          <w:b/>
        </w:rPr>
        <w:t>supuestos declarados</w:t>
      </w:r>
      <w:r>
        <w:t xml:space="preserve"> (</w:t>
      </w:r>
      <w:r>
        <w:rPr>
          <w:rFonts w:ascii="Consolas" w:hAnsi="Consolas"/>
          <w:color w:val="9B1B30"/>
          <w:sz w:val="19"/>
        </w:rPr>
        <w:t>N</w:t>
      </w:r>
      <w:r>
        <w:t xml:space="preserve">, </w:t>
      </w:r>
      <w:r>
        <w:rPr>
          <w:rFonts w:ascii="Consolas" w:hAnsi="Consolas"/>
          <w:color w:val="9B1B30"/>
          <w:sz w:val="19"/>
        </w:rPr>
        <w:t>tasa_adopción</w:t>
      </w:r>
      <w:r>
        <w:t xml:space="preserve">, </w:t>
      </w:r>
      <w:r>
        <w:rPr>
          <w:rFonts w:ascii="Consolas" w:hAnsi="Consolas"/>
          <w:color w:val="9B1B30"/>
          <w:sz w:val="19"/>
        </w:rPr>
        <w:t>margen(Y)</w:t>
      </w:r>
      <w:r>
        <w:t>).</w:t>
      </w:r>
    </w:p>
    <w:p>
      <w:pPr>
        <w:pStyle w:val="ListBullet"/>
        <w:spacing w:after="40"/>
      </w:pPr>
      <w:r>
        <w:t xml:space="preserve">[ ] Se incluyó la </w:t>
      </w:r>
      <w:r>
        <w:rPr>
          <w:b/>
        </w:rPr>
        <w:t>advertencia causal</w:t>
      </w:r>
      <w:r>
        <w:t xml:space="preserve"> (asociación ≠ causalidad; validar con A/B).</w:t>
      </w:r>
    </w:p>
    <w:p>
      <w:pPr>
        <w:pStyle w:val="ListBullet"/>
        <w:spacing w:after="40"/>
      </w:pPr>
      <w:r>
        <w:t>[ ] Se remitió a la guía de supuestos de la sesión para los supuestos (soporte mínimo, sesgo de la confianza → lift, reglas espurias, anti-monotonía, Apriori == FP-Growth).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la tabla de reglas que produce el cuaderno </w:t>
      </w:r>
      <w:r>
        <w:rPr>
          <w:rFonts w:ascii="Consolas" w:hAnsi="Consolas"/>
          <w:color w:val="2D2D2D"/>
          <w:sz w:val="19"/>
        </w:rPr>
        <w:t>notebook/S08_reglas_asociacion.ipynb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association_rules</w:t>
      </w:r>
      <w:r>
        <w:rPr>
          <w:color w:val="2D2D2D"/>
        </w:rPr>
        <w:t xml:space="preserve"> sobre los itemsets de retail, ordenada por lift) y materializa la parte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que pide filtrar las triviales por lift/conviction, seleccionar el top-N con lectura de negocio y estimar el impacto de cross-selling. La tabla de reglas top con sus métricas y la estimación de impacto deben existir en </w:t>
      </w:r>
      <w:r>
        <w:rPr>
          <w:rFonts w:ascii="Consolas" w:hAnsi="Consolas"/>
          <w:color w:val="2D2D2D"/>
          <w:sz w:val="19"/>
        </w:rPr>
        <w:t>resultados/S08_resultados.xlsx</w:t>
      </w:r>
      <w:r>
        <w:rPr>
          <w:color w:val="2D2D2D"/>
        </w:rPr>
        <w:t xml:space="preserve"> y las figuras (distribución de lift, top-N) se generan </w:t>
      </w:r>
      <w:r>
        <w:rPr>
          <w:b/>
          <w:color w:val="2D2D2D"/>
        </w:rPr>
        <w:t>al leer ese Excel</w:t>
      </w:r>
      <w:r>
        <w:rPr>
          <w:color w:val="2D2D2D"/>
        </w:rPr>
        <w:t xml:space="preserve">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Derivada de la guía de interpretación de resultados (Sección 2 leer una fila de la tabla de reglas; Sección 3 confianza alta con lift &lt; 1 = trivial; Sección 4 orden de filtrado de triviales/redundantes; Sección 5 de una regla a una acción de cross-selling y su impacto) y de el glosario de la sesión (Sección 5 lift, Sección 6 conviction, Sección 7 reglas triviales/redundantes, Sección 12 cross-selling e impacto de negocio). Fuentes: Agrawal, Imieliński &amp; Swami (1993); Brin, Motwani, Ullman &amp; Tsur (1997), </w:t>
      </w:r>
      <w:r>
        <w:rPr>
          <w:i/>
          <w:color w:val="2D2D2D"/>
        </w:rPr>
        <w:t>Dynamic Itemset Counting…</w:t>
      </w:r>
      <w:r>
        <w:rPr>
          <w:color w:val="2D2D2D"/>
        </w:rPr>
        <w:t xml:space="preserve"> (lift/conviction); documentación de mlxtend </w:t>
      </w:r>
      <w:r>
        <w:rPr>
          <w:rFonts w:ascii="Consolas" w:hAnsi="Consolas"/>
          <w:color w:val="2D2D2D"/>
          <w:sz w:val="19"/>
        </w:rPr>
        <w:t>frequent_patterns.association_rules</w:t>
      </w:r>
      <w:r>
        <w:rPr>
          <w:color w:val="2D2D2D"/>
        </w:rPr>
        <w:t>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top-N reglas con lectura de negocio y estimación de impacto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